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294640</wp:posOffset>
            </wp:positionH>
            <wp:positionV relativeFrom="page">
              <wp:posOffset>540385</wp:posOffset>
            </wp:positionV>
            <wp:extent cx="69665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6585" cy="6985"/>
                    </a:xfrm>
                    <a:prstGeom prst="rect">
                      <a:avLst/>
                    </a:prstGeom>
                    <a:noFill/>
                  </pic:spPr>
                </pic:pic>
              </a:graphicData>
            </a:graphic>
          </wp:anchor>
        </w:drawing>
        <w:drawing>
          <wp:anchor simplePos="0" relativeHeight="251657728" behindDoc="1" locked="0" layoutInCell="0" allowOverlap="1">
            <wp:simplePos x="0" y="0"/>
            <wp:positionH relativeFrom="page">
              <wp:posOffset>294640</wp:posOffset>
            </wp:positionH>
            <wp:positionV relativeFrom="page">
              <wp:posOffset>560705</wp:posOffset>
            </wp:positionV>
            <wp:extent cx="69665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6585" cy="698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148" w:lineRule="exact"/>
        <w:rPr>
          <w:sz w:val="24"/>
          <w:szCs w:val="24"/>
          <w:color w:val="auto"/>
        </w:rPr>
      </w:pPr>
    </w:p>
    <w:p>
      <w:pPr>
        <w:ind w:left="500" w:hanging="300"/>
        <w:spacing w:after="0"/>
        <w:tabs>
          <w:tab w:leader="none" w:pos="500" w:val="left"/>
        </w:tabs>
        <w:numPr>
          <w:ilvl w:val="0"/>
          <w:numId w:val="1"/>
        </w:numPr>
        <w:rPr>
          <w:rFonts w:ascii="MS PGothic" w:cs="MS PGothic" w:eastAsia="MS PGothic" w:hAnsi="MS PGothic"/>
          <w:sz w:val="28"/>
          <w:szCs w:val="28"/>
          <w:color w:val="auto"/>
          <w:vertAlign w:val="superscript"/>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2022</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OR</w:t>
      </w:r>
    </w:p>
    <w:p>
      <w:pPr>
        <w:spacing w:after="0" w:line="120" w:lineRule="exact"/>
        <w:rPr>
          <w:sz w:val="24"/>
          <w:szCs w:val="24"/>
          <w:color w:val="auto"/>
        </w:rPr>
      </w:pPr>
    </w:p>
    <w:p>
      <w:pPr>
        <w:ind w:left="380" w:right="3580" w:hanging="200"/>
        <w:spacing w:after="0" w:line="401" w:lineRule="auto"/>
        <w:tabs>
          <w:tab w:leader="none" w:pos="49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1450975</wp:posOffset>
            </wp:positionH>
            <wp:positionV relativeFrom="paragraph">
              <wp:posOffset>-87630</wp:posOffset>
            </wp:positionV>
            <wp:extent cx="222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80" w:type="dxa"/>
            <w:vAlign w:val="bottom"/>
            <w:gridSpan w:val="3"/>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Commission file number 001-39291</w:t>
            </w:r>
          </w:p>
        </w:tc>
        <w:tc>
          <w:tcPr>
            <w:tcW w:w="7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72"/>
        </w:trPr>
        <w:tc>
          <w:tcPr>
            <w:tcW w:w="17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080" w:type="dxa"/>
            <w:vAlign w:val="bottom"/>
            <w:gridSpan w:val="3"/>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tc>
        <w:tc>
          <w:tcPr>
            <w:tcW w:w="70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84"/>
        </w:trPr>
        <w:tc>
          <w:tcPr>
            <w:tcW w:w="1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80" w:type="dxa"/>
            <w:vAlign w:val="bottom"/>
            <w:gridSpan w:val="3"/>
          </w:tcPr>
          <w:p>
            <w:pPr>
              <w:jc w:val="center"/>
              <w:ind w:left="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7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04"/>
        </w:trPr>
        <w:tc>
          <w:tcPr>
            <w:tcW w:w="1780" w:type="dxa"/>
            <w:vAlign w:val="bottom"/>
          </w:tcPr>
          <w:p>
            <w:pPr>
              <w:spacing w:after="0"/>
              <w:rPr>
                <w:sz w:val="24"/>
                <w:szCs w:val="24"/>
                <w:color w:val="auto"/>
              </w:rPr>
            </w:pPr>
          </w:p>
        </w:tc>
        <w:tc>
          <w:tcPr>
            <w:tcW w:w="228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84-4290188</w:t>
            </w:r>
          </w:p>
        </w:tc>
        <w:tc>
          <w:tcPr>
            <w:tcW w:w="800" w:type="dxa"/>
            <w:vAlign w:val="bottom"/>
          </w:tcPr>
          <w:p>
            <w:pPr>
              <w:spacing w:after="0"/>
              <w:rPr>
                <w:sz w:val="24"/>
                <w:szCs w:val="24"/>
                <w:color w:val="auto"/>
              </w:rPr>
            </w:pPr>
          </w:p>
        </w:tc>
      </w:tr>
      <w:tr>
        <w:trPr>
          <w:trHeight w:val="184"/>
        </w:trPr>
        <w:tc>
          <w:tcPr>
            <w:tcW w:w="7140" w:type="dxa"/>
            <w:vAlign w:val="bottom"/>
            <w:gridSpan w:val="6"/>
          </w:tcPr>
          <w:p>
            <w:pPr>
              <w:jc w:val="center"/>
              <w:ind w:right="104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700" w:type="dxa"/>
            <w:vAlign w:val="bottom"/>
          </w:tcPr>
          <w:p>
            <w:pPr>
              <w:spacing w:after="0"/>
              <w:rPr>
                <w:sz w:val="16"/>
                <w:szCs w:val="16"/>
                <w:color w:val="auto"/>
              </w:rPr>
            </w:pPr>
          </w:p>
        </w:tc>
        <w:tc>
          <w:tcPr>
            <w:tcW w:w="3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89"/>
        </w:trPr>
        <w:tc>
          <w:tcPr>
            <w:tcW w:w="1780" w:type="dxa"/>
            <w:vAlign w:val="bottom"/>
          </w:tcPr>
          <w:p>
            <w:pPr>
              <w:spacing w:after="0"/>
              <w:rPr>
                <w:sz w:val="24"/>
                <w:szCs w:val="24"/>
                <w:color w:val="auto"/>
              </w:rPr>
            </w:pPr>
          </w:p>
        </w:tc>
        <w:tc>
          <w:tcPr>
            <w:tcW w:w="228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3920 Park Avenue</w:t>
            </w:r>
          </w:p>
        </w:tc>
        <w:tc>
          <w:tcPr>
            <w:tcW w:w="1200" w:type="dxa"/>
            <w:vAlign w:val="bottom"/>
          </w:tcPr>
          <w:p>
            <w:pPr>
              <w:spacing w:after="0"/>
              <w:rPr>
                <w:sz w:val="24"/>
                <w:szCs w:val="24"/>
                <w:color w:val="auto"/>
              </w:rPr>
            </w:pPr>
          </w:p>
        </w:tc>
        <w:tc>
          <w:tcPr>
            <w:tcW w:w="188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Edison</w:t>
            </w: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NJ</w:t>
            </w:r>
          </w:p>
        </w:tc>
        <w:tc>
          <w:tcPr>
            <w:tcW w:w="2620" w:type="dxa"/>
            <w:vAlign w:val="bottom"/>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08820</w:t>
            </w:r>
          </w:p>
        </w:tc>
        <w:tc>
          <w:tcPr>
            <w:tcW w:w="800" w:type="dxa"/>
            <w:vAlign w:val="bottom"/>
          </w:tcPr>
          <w:p>
            <w:pPr>
              <w:spacing w:after="0"/>
              <w:rPr>
                <w:sz w:val="24"/>
                <w:szCs w:val="24"/>
                <w:color w:val="auto"/>
              </w:rPr>
            </w:pPr>
          </w:p>
        </w:tc>
      </w:tr>
      <w:tr>
        <w:trPr>
          <w:trHeight w:val="184"/>
        </w:trPr>
        <w:tc>
          <w:tcPr>
            <w:tcW w:w="1780" w:type="dxa"/>
            <w:vAlign w:val="bottom"/>
          </w:tcPr>
          <w:p>
            <w:pPr>
              <w:spacing w:after="0"/>
              <w:rPr>
                <w:sz w:val="16"/>
                <w:szCs w:val="16"/>
                <w:color w:val="auto"/>
              </w:rPr>
            </w:pPr>
          </w:p>
        </w:tc>
        <w:tc>
          <w:tcPr>
            <w:tcW w:w="5360" w:type="dxa"/>
            <w:vAlign w:val="bottom"/>
            <w:gridSpan w:val="5"/>
          </w:tcPr>
          <w:p>
            <w:pPr>
              <w:jc w:val="center"/>
              <w:ind w:right="282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00" w:type="dxa"/>
            <w:vAlign w:val="bottom"/>
          </w:tcPr>
          <w:p>
            <w:pPr>
              <w:spacing w:after="0"/>
              <w:rPr>
                <w:sz w:val="16"/>
                <w:szCs w:val="16"/>
                <w:color w:val="auto"/>
              </w:rPr>
            </w:pPr>
          </w:p>
        </w:tc>
        <w:tc>
          <w:tcPr>
            <w:tcW w:w="3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(Zip Code)</w:t>
            </w:r>
          </w:p>
        </w:tc>
      </w:tr>
      <w:tr>
        <w:trPr>
          <w:trHeight w:val="325"/>
        </w:trPr>
        <w:tc>
          <w:tcPr>
            <w:tcW w:w="1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20" w:type="dxa"/>
            <w:vAlign w:val="bottom"/>
            <w:gridSpan w:val="2"/>
          </w:tcPr>
          <w:p>
            <w:pPr>
              <w:jc w:val="center"/>
              <w:ind w:left="769"/>
              <w:spacing w:after="0"/>
              <w:rPr>
                <w:sz w:val="20"/>
                <w:szCs w:val="20"/>
                <w:color w:val="auto"/>
              </w:rPr>
            </w:pPr>
            <w:r>
              <w:rPr>
                <w:rFonts w:ascii="Times New Roman" w:cs="Times New Roman" w:eastAsia="Times New Roman" w:hAnsi="Times New Roman"/>
                <w:sz w:val="14"/>
                <w:szCs w:val="14"/>
                <w:b w:val="1"/>
                <w:bCs w:val="1"/>
                <w:color w:val="auto"/>
              </w:rPr>
              <w:t>(732) 225-8400</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4"/>
        </w:trPr>
        <w:tc>
          <w:tcPr>
            <w:tcW w:w="1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80" w:type="dxa"/>
            <w:vAlign w:val="bottom"/>
            <w:gridSpan w:val="3"/>
          </w:tcPr>
          <w:p>
            <w:pPr>
              <w:jc w:val="center"/>
              <w:ind w:left="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7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86"/>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060" w:type="dxa"/>
            <w:vAlign w:val="bottom"/>
            <w:gridSpan w:val="3"/>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80" w:type="dxa"/>
            <w:vAlign w:val="bottom"/>
            <w:gridSpan w:val="3"/>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700" w:type="dxa"/>
            <w:vAlign w:val="bottom"/>
          </w:tcPr>
          <w:p>
            <w:pPr>
              <w:spacing w:after="0"/>
              <w:rPr>
                <w:sz w:val="14"/>
                <w:szCs w:val="14"/>
                <w:color w:val="auto"/>
              </w:rPr>
            </w:pPr>
          </w:p>
        </w:tc>
        <w:tc>
          <w:tcPr>
            <w:tcW w:w="342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6"/>
        </w:trPr>
        <w:tc>
          <w:tcPr>
            <w:tcW w:w="17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r>
      <w:tr>
        <w:trPr>
          <w:trHeight w:val="186"/>
        </w:trPr>
        <w:tc>
          <w:tcPr>
            <w:tcW w:w="4060" w:type="dxa"/>
            <w:vAlign w:val="bottom"/>
            <w:gridSpan w:val="3"/>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120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center"/>
              <w:ind w:right="760"/>
              <w:spacing w:after="0"/>
              <w:rPr>
                <w:sz w:val="20"/>
                <w:szCs w:val="20"/>
                <w:color w:val="auto"/>
              </w:rPr>
            </w:pPr>
            <w:r>
              <w:rPr>
                <w:rFonts w:ascii="Times New Roman" w:cs="Times New Roman" w:eastAsia="Times New Roman" w:hAnsi="Times New Roman"/>
                <w:sz w:val="14"/>
                <w:szCs w:val="14"/>
                <w:color w:val="auto"/>
              </w:rPr>
              <w:t>EOSE</w:t>
            </w:r>
          </w:p>
        </w:tc>
        <w:tc>
          <w:tcPr>
            <w:tcW w:w="700" w:type="dxa"/>
            <w:vAlign w:val="bottom"/>
            <w:shd w:val="clear" w:color="auto" w:fill="CCEEFF"/>
          </w:tcPr>
          <w:p>
            <w:pPr>
              <w:spacing w:after="0"/>
              <w:rPr>
                <w:sz w:val="16"/>
                <w:szCs w:val="16"/>
                <w:color w:val="auto"/>
              </w:rPr>
            </w:pPr>
          </w:p>
        </w:tc>
        <w:tc>
          <w:tcPr>
            <w:tcW w:w="3420" w:type="dxa"/>
            <w:vAlign w:val="bottom"/>
            <w:gridSpan w:val="2"/>
            <w:shd w:val="clear" w:color="auto" w:fill="CCEEFF"/>
          </w:tcPr>
          <w:p>
            <w:pPr>
              <w:jc w:val="center"/>
              <w:ind w:right="800"/>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84"/>
        </w:trPr>
        <w:tc>
          <w:tcPr>
            <w:tcW w:w="4060" w:type="dxa"/>
            <w:vAlign w:val="bottom"/>
            <w:gridSpan w:val="3"/>
          </w:tcPr>
          <w:p>
            <w:pPr>
              <w:jc w:val="center"/>
              <w:ind w:left="489"/>
              <w:spacing w:after="0"/>
              <w:rPr>
                <w:sz w:val="20"/>
                <w:szCs w:val="20"/>
                <w:color w:val="auto"/>
              </w:rPr>
            </w:pPr>
            <w:r>
              <w:rPr>
                <w:rFonts w:ascii="Times New Roman" w:cs="Times New Roman" w:eastAsia="Times New Roman" w:hAnsi="Times New Roman"/>
                <w:sz w:val="14"/>
                <w:szCs w:val="14"/>
                <w:color w:val="auto"/>
              </w:rPr>
              <w:t>Warrants, each exercisable for one share of common stock</w:t>
            </w:r>
          </w:p>
        </w:tc>
        <w:tc>
          <w:tcPr>
            <w:tcW w:w="1200" w:type="dxa"/>
            <w:vAlign w:val="bottom"/>
          </w:tcPr>
          <w:p>
            <w:pPr>
              <w:spacing w:after="0"/>
              <w:rPr>
                <w:sz w:val="16"/>
                <w:szCs w:val="16"/>
                <w:color w:val="auto"/>
              </w:rPr>
            </w:pPr>
          </w:p>
        </w:tc>
        <w:tc>
          <w:tcPr>
            <w:tcW w:w="18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w w:val="99"/>
              </w:rPr>
              <w:t>EOSEW</w:t>
            </w:r>
          </w:p>
        </w:tc>
        <w:tc>
          <w:tcPr>
            <w:tcW w:w="700" w:type="dxa"/>
            <w:vAlign w:val="bottom"/>
          </w:tcPr>
          <w:p>
            <w:pPr>
              <w:spacing w:after="0"/>
              <w:rPr>
                <w:sz w:val="16"/>
                <w:szCs w:val="16"/>
                <w:color w:val="auto"/>
              </w:rPr>
            </w:pPr>
          </w:p>
        </w:tc>
        <w:tc>
          <w:tcPr>
            <w:tcW w:w="342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51" w:lineRule="exact"/>
        <w:rPr>
          <w:sz w:val="24"/>
          <w:szCs w:val="24"/>
          <w:color w:val="auto"/>
        </w:rPr>
      </w:pPr>
    </w:p>
    <w:p>
      <w:pPr>
        <w:ind w:right="120"/>
        <w:spacing w:after="0" w:line="18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2"/>
          <w:szCs w:val="12"/>
          <w:color w:val="auto"/>
        </w:rPr>
        <w:t>☐</w:t>
      </w:r>
    </w:p>
    <w:p>
      <w:pPr>
        <w:spacing w:after="0" w:line="140" w:lineRule="exact"/>
        <w:rPr>
          <w:sz w:val="24"/>
          <w:szCs w:val="24"/>
          <w:color w:val="auto"/>
        </w:rPr>
      </w:pPr>
    </w:p>
    <w:p>
      <w:pPr>
        <w:spacing w:after="0" w:line="18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2"/>
          <w:szCs w:val="12"/>
          <w:color w:val="auto"/>
        </w:rPr>
        <w:t>☐</w:t>
      </w:r>
    </w:p>
    <w:p>
      <w:pPr>
        <w:spacing w:after="0" w:line="140"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180" w:type="dxa"/>
            <w:vAlign w:val="bottom"/>
          </w:tcPr>
          <w:p>
            <w:pPr>
              <w:ind w:left="188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Accelerated filer</w:t>
            </w:r>
          </w:p>
        </w:tc>
        <w:tc>
          <w:tcPr>
            <w:tcW w:w="186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8"/>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180" w:type="dxa"/>
            <w:vAlign w:val="bottom"/>
          </w:tcPr>
          <w:p>
            <w:pPr>
              <w:ind w:left="188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6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4"/>
        </w:trPr>
        <w:tc>
          <w:tcPr>
            <w:tcW w:w="31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3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Emerging growth company</w:t>
            </w:r>
          </w:p>
        </w:tc>
        <w:tc>
          <w:tcPr>
            <w:tcW w:w="186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56" w:lineRule="exact"/>
        <w:rPr>
          <w:sz w:val="24"/>
          <w:szCs w:val="24"/>
          <w:color w:val="auto"/>
        </w:rPr>
      </w:pPr>
    </w:p>
    <w:p>
      <w:pPr>
        <w:ind w:right="22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24" w:lineRule="exact"/>
        <w:rPr>
          <w:sz w:val="24"/>
          <w:szCs w:val="24"/>
          <w:color w:val="auto"/>
        </w:rPr>
      </w:pPr>
    </w:p>
    <w:p>
      <w:pPr>
        <w:spacing w:after="0" w:line="161" w:lineRule="exact"/>
        <w:tabs>
          <w:tab w:leader="none" w:pos="5980" w:val="left"/>
          <w:tab w:leader="none" w:pos="66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0"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color w:val="auto"/>
        </w:rPr>
        <w:t>The registrant had outstanding 59,650,960 shares of common stock as of July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601980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163195</wp:posOffset>
            </wp:positionV>
            <wp:extent cx="69665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6585" cy="698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183515</wp:posOffset>
            </wp:positionV>
            <wp:extent cx="69665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6585" cy="6985"/>
                    </a:xfrm>
                    <a:prstGeom prst="rect">
                      <a:avLst/>
                    </a:prstGeom>
                    <a:noFill/>
                  </pic:spPr>
                </pic:pic>
              </a:graphicData>
            </a:graphic>
          </wp:anchor>
        </w:drawing>
      </w:r>
    </w:p>
    <w:p>
      <w:pPr>
        <w:sectPr>
          <w:pgSz w:w="11900" w:h="16838" w:orient="portrait"/>
          <w:cols w:equalWidth="0" w:num="1">
            <w:col w:w="11280"/>
          </w:cols>
          <w:pgMar w:left="300" w:top="111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9680" w:type="dxa"/>
            <w:vAlign w:val="bottom"/>
          </w:tcPr>
          <w:p>
            <w:pPr>
              <w:ind w:left="43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800" w:type="dxa"/>
            <w:vAlign w:val="bottom"/>
          </w:tcPr>
          <w:p>
            <w:pPr>
              <w:spacing w:after="0"/>
              <w:rPr>
                <w:sz w:val="16"/>
                <w:szCs w:val="16"/>
                <w:color w:val="auto"/>
              </w:rPr>
            </w:pPr>
          </w:p>
        </w:tc>
      </w:tr>
      <w:tr>
        <w:trPr>
          <w:trHeight w:val="202"/>
        </w:trPr>
        <w:tc>
          <w:tcPr>
            <w:tcW w:w="800" w:type="dxa"/>
            <w:vAlign w:val="bottom"/>
          </w:tcPr>
          <w:p>
            <w:pPr>
              <w:spacing w:after="0"/>
              <w:rPr>
                <w:sz w:val="17"/>
                <w:szCs w:val="17"/>
                <w:color w:val="auto"/>
              </w:rPr>
            </w:pPr>
          </w:p>
        </w:tc>
        <w:tc>
          <w:tcPr>
            <w:tcW w:w="9680" w:type="dxa"/>
            <w:vAlign w:val="bottom"/>
          </w:tcPr>
          <w:p>
            <w:pPr>
              <w:spacing w:after="0"/>
              <w:rPr>
                <w:sz w:val="17"/>
                <w:szCs w:val="17"/>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Page</w:t>
            </w:r>
          </w:p>
        </w:tc>
      </w:tr>
      <w:tr>
        <w:trPr>
          <w:trHeight w:val="181"/>
        </w:trPr>
        <w:tc>
          <w:tcPr>
            <w:tcW w:w="800" w:type="dxa"/>
            <w:vAlign w:val="bottom"/>
            <w:shd w:val="clear" w:color="auto" w:fill="CCEEFF"/>
          </w:tcPr>
          <w:p>
            <w:pPr>
              <w:spacing w:after="0"/>
              <w:rPr>
                <w:sz w:val="15"/>
                <w:szCs w:val="15"/>
                <w:color w:val="auto"/>
              </w:rPr>
            </w:pPr>
          </w:p>
        </w:tc>
        <w:tc>
          <w:tcPr>
            <w:tcW w:w="968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4"/>
                <w:szCs w:val="14"/>
                <w:color w:val="auto"/>
              </w:rPr>
              <w:t>PART I - FINANCIAL INFORMATION</w:t>
            </w:r>
          </w:p>
        </w:tc>
        <w:tc>
          <w:tcPr>
            <w:tcW w:w="800" w:type="dxa"/>
            <w:vAlign w:val="bottom"/>
            <w:shd w:val="clear" w:color="auto" w:fill="CCEEFF"/>
          </w:tcPr>
          <w:p>
            <w:pPr>
              <w:spacing w:after="0"/>
              <w:rPr>
                <w:sz w:val="15"/>
                <w:szCs w:val="15"/>
                <w:color w:val="auto"/>
              </w:rPr>
            </w:pPr>
          </w:p>
        </w:tc>
      </w:tr>
      <w:tr>
        <w:trPr>
          <w:trHeight w:val="180"/>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9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Financial Statements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800" w:type="dxa"/>
            <w:vAlign w:val="bottom"/>
            <w:shd w:val="clear" w:color="auto" w:fill="CCEEFF"/>
          </w:tcPr>
          <w:p>
            <w:pPr>
              <w:spacing w:after="0"/>
              <w:rPr>
                <w:sz w:val="15"/>
                <w:szCs w:val="15"/>
                <w:color w:val="auto"/>
              </w:rPr>
            </w:pPr>
          </w:p>
        </w:tc>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Condensed Consolidated Balance Sheets as of June 30, 2022 (Unaudited) and December 31, 2021</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800" w:type="dxa"/>
            <w:vAlign w:val="bottom"/>
          </w:tcPr>
          <w:p>
            <w:pPr>
              <w:spacing w:after="0"/>
              <w:rPr>
                <w:sz w:val="15"/>
                <w:szCs w:val="15"/>
                <w:color w:val="auto"/>
              </w:rPr>
            </w:pPr>
          </w:p>
        </w:tc>
        <w:tc>
          <w:tcPr>
            <w:tcW w:w="9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Condensed Consolidated Statements of Operations and Comprehensive Loss for the Three and Six Months Ended June 30, 2022 (Unaudited) and 2021 (Unaudited)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800" w:type="dxa"/>
            <w:vAlign w:val="bottom"/>
            <w:shd w:val="clear" w:color="auto" w:fill="CCEEFF"/>
          </w:tcPr>
          <w:p>
            <w:pPr>
              <w:spacing w:after="0"/>
              <w:rPr>
                <w:sz w:val="15"/>
                <w:szCs w:val="15"/>
                <w:color w:val="auto"/>
              </w:rPr>
            </w:pPr>
          </w:p>
        </w:tc>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Condensed Consolidated Statements of Shareholders’ Equity (Deficit) for the Three and Six Months Ended June 30, 2022 (Unaudited) and 2021 (Unaudited)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800" w:type="dxa"/>
            <w:vAlign w:val="bottom"/>
          </w:tcPr>
          <w:p>
            <w:pPr>
              <w:spacing w:after="0"/>
              <w:rPr>
                <w:sz w:val="15"/>
                <w:szCs w:val="15"/>
                <w:color w:val="auto"/>
              </w:rPr>
            </w:pPr>
          </w:p>
        </w:tc>
        <w:tc>
          <w:tcPr>
            <w:tcW w:w="9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Condensed Consolidated Statements of Cash Flows for the Six Months Ended June 30, 2022 (Unaudited) and 2021 (Unaudited)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800" w:type="dxa"/>
            <w:vAlign w:val="bottom"/>
            <w:shd w:val="clear" w:color="auto" w:fill="CCEEFF"/>
          </w:tcPr>
          <w:p>
            <w:pPr>
              <w:spacing w:after="0"/>
              <w:rPr>
                <w:sz w:val="15"/>
                <w:szCs w:val="15"/>
                <w:color w:val="auto"/>
              </w:rPr>
            </w:pPr>
          </w:p>
        </w:tc>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Notes to Unaudited Condensed Consolidated Financial Statements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9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w:t>
            </w:r>
          </w:p>
        </w:tc>
      </w:tr>
      <w:tr>
        <w:trPr>
          <w:trHeight w:val="180"/>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w:t>
            </w:r>
          </w:p>
        </w:tc>
      </w:tr>
      <w:tr>
        <w:trPr>
          <w:trHeight w:val="180"/>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9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Controls and Procedures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w:t>
            </w:r>
          </w:p>
        </w:tc>
      </w:tr>
      <w:tr>
        <w:trPr>
          <w:trHeight w:val="202"/>
        </w:trPr>
        <w:tc>
          <w:tcPr>
            <w:tcW w:w="800" w:type="dxa"/>
            <w:vAlign w:val="bottom"/>
            <w:shd w:val="clear" w:color="auto" w:fill="CCEEFF"/>
          </w:tcPr>
          <w:p>
            <w:pPr>
              <w:spacing w:after="0"/>
              <w:rPr>
                <w:sz w:val="17"/>
                <w:szCs w:val="17"/>
                <w:color w:val="auto"/>
              </w:rPr>
            </w:pPr>
          </w:p>
        </w:tc>
        <w:tc>
          <w:tcPr>
            <w:tcW w:w="9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80"/>
        </w:trPr>
        <w:tc>
          <w:tcPr>
            <w:tcW w:w="800" w:type="dxa"/>
            <w:vAlign w:val="bottom"/>
          </w:tcPr>
          <w:p>
            <w:pPr>
              <w:spacing w:after="0"/>
              <w:rPr>
                <w:sz w:val="15"/>
                <w:szCs w:val="15"/>
                <w:color w:val="auto"/>
              </w:rPr>
            </w:pPr>
          </w:p>
        </w:tc>
        <w:tc>
          <w:tcPr>
            <w:tcW w:w="9680" w:type="dxa"/>
            <w:vAlign w:val="bottom"/>
          </w:tcPr>
          <w:p>
            <w:pPr>
              <w:ind w:left="3860"/>
              <w:spacing w:after="0"/>
              <w:rPr>
                <w:sz w:val="20"/>
                <w:szCs w:val="20"/>
                <w:color w:val="auto"/>
              </w:rPr>
            </w:pPr>
            <w:r>
              <w:rPr>
                <w:rFonts w:ascii="Times New Roman" w:cs="Times New Roman" w:eastAsia="Times New Roman" w:hAnsi="Times New Roman"/>
                <w:sz w:val="14"/>
                <w:szCs w:val="14"/>
                <w:color w:val="auto"/>
              </w:rPr>
              <w:t>PART II - OTHER INFORMATION</w:t>
            </w:r>
          </w:p>
        </w:tc>
        <w:tc>
          <w:tcPr>
            <w:tcW w:w="800" w:type="dxa"/>
            <w:vAlign w:val="bottom"/>
          </w:tcPr>
          <w:p>
            <w:pPr>
              <w:spacing w:after="0"/>
              <w:rPr>
                <w:sz w:val="15"/>
                <w:szCs w:val="15"/>
                <w:color w:val="auto"/>
              </w:rPr>
            </w:pPr>
          </w:p>
        </w:tc>
      </w:tr>
      <w:tr>
        <w:trPr>
          <w:trHeight w:val="180"/>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Legal Proceedings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w:t>
            </w:r>
          </w:p>
        </w:tc>
      </w:tr>
      <w:tr>
        <w:trPr>
          <w:trHeight w:val="180"/>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1a.</w:t>
            </w:r>
          </w:p>
        </w:tc>
        <w:tc>
          <w:tcPr>
            <w:tcW w:w="9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Risk Factors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w:t>
            </w:r>
          </w:p>
        </w:tc>
      </w:tr>
      <w:tr>
        <w:trPr>
          <w:trHeight w:val="180"/>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Unregistered Sales of Equity Securities and Use of Proceeds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r>
      <w:tr>
        <w:trPr>
          <w:trHeight w:val="180"/>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9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Defaults Upon Senior Securities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r>
      <w:tr>
        <w:trPr>
          <w:trHeight w:val="180"/>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Mine Safety Disclosures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r>
      <w:tr>
        <w:trPr>
          <w:trHeight w:val="180"/>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5.</w:t>
            </w:r>
          </w:p>
        </w:tc>
        <w:tc>
          <w:tcPr>
            <w:tcW w:w="9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Information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r>
      <w:tr>
        <w:trPr>
          <w:trHeight w:val="180"/>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6.</w:t>
            </w:r>
          </w:p>
        </w:tc>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Exhibits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w:t>
            </w:r>
          </w:p>
        </w:tc>
      </w:tr>
      <w:tr>
        <w:trPr>
          <w:trHeight w:val="184"/>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Signatures</w:t>
            </w:r>
          </w:p>
        </w:tc>
        <w:tc>
          <w:tcPr>
            <w:tcW w:w="96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UNAUDITED CONDENSED CONSOLIDATED BALANCE SHEETS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3400" w:type="dxa"/>
            <w:vAlign w:val="bottom"/>
          </w:tcPr>
          <w:p>
            <w:pPr>
              <w:spacing w:after="0"/>
              <w:rPr>
                <w:sz w:val="16"/>
                <w:szCs w:val="16"/>
                <w:color w:val="auto"/>
              </w:rPr>
            </w:pPr>
          </w:p>
        </w:tc>
        <w:tc>
          <w:tcPr>
            <w:tcW w:w="554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3"/>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4420" w:type="dxa"/>
            <w:vAlign w:val="bottom"/>
          </w:tcPr>
          <w:p>
            <w:pPr>
              <w:jc w:val="center"/>
              <w:ind w:right="3309"/>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1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400" w:type="dxa"/>
            <w:vAlign w:val="bottom"/>
            <w:vMerge w:val="continue"/>
          </w:tcPr>
          <w:p>
            <w:pPr>
              <w:spacing w:after="0"/>
              <w:rPr>
                <w:sz w:val="15"/>
                <w:szCs w:val="15"/>
                <w:color w:val="auto"/>
              </w:rPr>
            </w:pPr>
          </w:p>
        </w:tc>
        <w:tc>
          <w:tcPr>
            <w:tcW w:w="4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540" w:type="dxa"/>
            <w:vAlign w:val="bottom"/>
            <w:gridSpan w:val="2"/>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104,831</w:t>
            </w:r>
          </w:p>
        </w:tc>
        <w:tc>
          <w:tcPr>
            <w:tcW w:w="0" w:type="dxa"/>
            <w:vAlign w:val="bottom"/>
          </w:tcPr>
          <w:p>
            <w:pPr>
              <w:spacing w:after="0"/>
              <w:rPr>
                <w:sz w:val="1"/>
                <w:szCs w:val="1"/>
                <w:color w:val="auto"/>
              </w:rPr>
            </w:pPr>
          </w:p>
        </w:tc>
      </w:tr>
      <w:tr>
        <w:trPr>
          <w:trHeight w:val="18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4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4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0" w:type="dxa"/>
            <w:vAlign w:val="bottom"/>
          </w:tcPr>
          <w:p>
            <w:pPr>
              <w:spacing w:after="0"/>
              <w:rPr>
                <w:sz w:val="1"/>
                <w:szCs w:val="1"/>
                <w:color w:val="auto"/>
              </w:rPr>
            </w:pPr>
          </w:p>
        </w:tc>
      </w:tr>
      <w:tr>
        <w:trPr>
          <w:trHeight w:val="18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Inventory, net</w:t>
            </w:r>
          </w:p>
        </w:tc>
        <w:tc>
          <w:tcPr>
            <w:tcW w:w="4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12,976</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Vendor deposits</w:t>
            </w:r>
          </w:p>
        </w:tc>
        <w:tc>
          <w:tcPr>
            <w:tcW w:w="4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16,653</w:t>
            </w:r>
          </w:p>
        </w:tc>
        <w:tc>
          <w:tcPr>
            <w:tcW w:w="0" w:type="dxa"/>
            <w:vAlign w:val="bottom"/>
          </w:tcPr>
          <w:p>
            <w:pPr>
              <w:spacing w:after="0"/>
              <w:rPr>
                <w:sz w:val="1"/>
                <w:szCs w:val="1"/>
                <w:color w:val="auto"/>
              </w:rPr>
            </w:pPr>
          </w:p>
        </w:tc>
      </w:tr>
      <w:tr>
        <w:trPr>
          <w:trHeight w:val="18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Notes receivable, net</w:t>
            </w:r>
          </w:p>
        </w:tc>
        <w:tc>
          <w:tcPr>
            <w:tcW w:w="4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w:t>
            </w:r>
          </w:p>
        </w:tc>
        <w:tc>
          <w:tcPr>
            <w:tcW w:w="4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2,595</w:t>
            </w:r>
          </w:p>
        </w:tc>
        <w:tc>
          <w:tcPr>
            <w:tcW w:w="0" w:type="dxa"/>
            <w:vAlign w:val="bottom"/>
          </w:tcPr>
          <w:p>
            <w:pPr>
              <w:spacing w:after="0"/>
              <w:rPr>
                <w:sz w:val="1"/>
                <w:szCs w:val="1"/>
                <w:color w:val="auto"/>
              </w:rPr>
            </w:pPr>
          </w:p>
        </w:tc>
      </w:tr>
      <w:tr>
        <w:trPr>
          <w:trHeight w:val="180"/>
        </w:trPr>
        <w:tc>
          <w:tcPr>
            <w:tcW w:w="3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current assets</w:t>
            </w:r>
          </w:p>
        </w:tc>
        <w:tc>
          <w:tcPr>
            <w:tcW w:w="44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2,637</w:t>
            </w:r>
          </w:p>
        </w:tc>
        <w:tc>
          <w:tcPr>
            <w:tcW w:w="0" w:type="dxa"/>
            <w:vAlign w:val="bottom"/>
          </w:tcPr>
          <w:p>
            <w:pPr>
              <w:spacing w:after="0"/>
              <w:rPr>
                <w:sz w:val="1"/>
                <w:szCs w:val="1"/>
                <w:color w:val="auto"/>
              </w:rPr>
            </w:pPr>
          </w:p>
        </w:tc>
      </w:tr>
      <w:tr>
        <w:trPr>
          <w:trHeight w:val="171"/>
        </w:trPr>
        <w:tc>
          <w:tcPr>
            <w:tcW w:w="3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4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60,456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142,572</w:t>
            </w:r>
          </w:p>
        </w:tc>
        <w:tc>
          <w:tcPr>
            <w:tcW w:w="0" w:type="dxa"/>
            <w:vAlign w:val="bottom"/>
          </w:tcPr>
          <w:p>
            <w:pPr>
              <w:spacing w:after="0"/>
              <w:rPr>
                <w:sz w:val="1"/>
                <w:szCs w:val="1"/>
                <w:color w:val="auto"/>
              </w:rPr>
            </w:pPr>
          </w:p>
        </w:tc>
      </w:tr>
      <w:tr>
        <w:trPr>
          <w:trHeight w:val="180"/>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4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20,992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12,890</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4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80"/>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4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4,331</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Security deposits, net</w:t>
            </w:r>
          </w:p>
        </w:tc>
        <w:tc>
          <w:tcPr>
            <w:tcW w:w="4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0" w:type="dxa"/>
            <w:vAlign w:val="bottom"/>
          </w:tcPr>
          <w:p>
            <w:pPr>
              <w:spacing w:after="0"/>
              <w:rPr>
                <w:sz w:val="1"/>
                <w:szCs w:val="1"/>
                <w:color w:val="auto"/>
              </w:rPr>
            </w:pPr>
          </w:p>
        </w:tc>
      </w:tr>
      <w:tr>
        <w:trPr>
          <w:trHeight w:val="180"/>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receivable, long-term, net</w:t>
            </w:r>
          </w:p>
        </w:tc>
        <w:tc>
          <w:tcPr>
            <w:tcW w:w="4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3,547</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 net</w:t>
            </w:r>
          </w:p>
        </w:tc>
        <w:tc>
          <w:tcPr>
            <w:tcW w:w="4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3,468</w:t>
            </w:r>
          </w:p>
        </w:tc>
        <w:tc>
          <w:tcPr>
            <w:tcW w:w="0" w:type="dxa"/>
            <w:vAlign w:val="bottom"/>
          </w:tcPr>
          <w:p>
            <w:pPr>
              <w:spacing w:after="0"/>
              <w:rPr>
                <w:sz w:val="1"/>
                <w:szCs w:val="1"/>
                <w:color w:val="auto"/>
              </w:rPr>
            </w:pPr>
          </w:p>
        </w:tc>
      </w:tr>
      <w:tr>
        <w:trPr>
          <w:trHeight w:val="180"/>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 net</w:t>
            </w:r>
          </w:p>
        </w:tc>
        <w:tc>
          <w:tcPr>
            <w:tcW w:w="44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0" w:type="dxa"/>
            <w:vAlign w:val="bottom"/>
          </w:tcPr>
          <w:p>
            <w:pPr>
              <w:spacing w:after="0"/>
              <w:rPr>
                <w:sz w:val="1"/>
                <w:szCs w:val="1"/>
                <w:color w:val="auto"/>
              </w:rPr>
            </w:pPr>
          </w:p>
        </w:tc>
      </w:tr>
      <w:tr>
        <w:trPr>
          <w:trHeight w:val="175"/>
        </w:trPr>
        <w:tc>
          <w:tcPr>
            <w:tcW w:w="3400" w:type="dxa"/>
            <w:vAlign w:val="bottom"/>
            <w:tcBorders>
              <w:bottom w:val="single" w:sz="8" w:color="CCEEFF"/>
            </w:tcBorders>
            <w:shd w:val="clear" w:color="auto" w:fill="CCEEFF"/>
          </w:tcPr>
          <w:p>
            <w:pPr>
              <w:ind w:left="280"/>
              <w:spacing w:after="0" w:line="150"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44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97,740</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89"/>
              <w:spacing w:after="0" w:line="150"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169,175</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bottom w:val="single" w:sz="8" w:color="CCEEFF"/>
            </w:tcBorders>
            <w:vMerge w:val="restart"/>
          </w:tcPr>
          <w:p>
            <w:pPr>
              <w:jc w:val="center"/>
              <w:ind w:right="3309"/>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400" w:type="dxa"/>
            <w:vAlign w:val="bottom"/>
          </w:tcPr>
          <w:p>
            <w:pPr>
              <w:spacing w:after="0"/>
              <w:rPr>
                <w:sz w:val="10"/>
                <w:szCs w:val="10"/>
                <w:color w:val="auto"/>
              </w:rPr>
            </w:pPr>
          </w:p>
        </w:tc>
        <w:tc>
          <w:tcPr>
            <w:tcW w:w="44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4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5540" w:type="dxa"/>
            <w:vAlign w:val="bottom"/>
            <w:gridSpan w:val="2"/>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29,088</w:t>
            </w:r>
          </w:p>
        </w:tc>
        <w:tc>
          <w:tcPr>
            <w:tcW w:w="10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12,531</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4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7,674</w:t>
            </w:r>
          </w:p>
        </w:tc>
        <w:tc>
          <w:tcPr>
            <w:tcW w:w="0" w:type="dxa"/>
            <w:vAlign w:val="bottom"/>
          </w:tcPr>
          <w:p>
            <w:pPr>
              <w:spacing w:after="0"/>
              <w:rPr>
                <w:sz w:val="1"/>
                <w:szCs w:val="1"/>
                <w:color w:val="auto"/>
              </w:rPr>
            </w:pPr>
          </w:p>
        </w:tc>
      </w:tr>
      <w:tr>
        <w:trPr>
          <w:trHeight w:val="18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 and accrued expenses - related parties</w:t>
            </w:r>
          </w:p>
        </w:tc>
        <w:tc>
          <w:tcPr>
            <w:tcW w:w="4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liability, current portion</w:t>
            </w:r>
          </w:p>
        </w:tc>
        <w:tc>
          <w:tcPr>
            <w:tcW w:w="4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0" w:type="dxa"/>
            <w:vAlign w:val="bottom"/>
          </w:tcPr>
          <w:p>
            <w:pPr>
              <w:spacing w:after="0"/>
              <w:rPr>
                <w:sz w:val="1"/>
                <w:szCs w:val="1"/>
                <w:color w:val="auto"/>
              </w:rPr>
            </w:pPr>
          </w:p>
        </w:tc>
      </w:tr>
      <w:tr>
        <w:trPr>
          <w:trHeight w:val="18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 payable, current portion</w:t>
            </w:r>
          </w:p>
        </w:tc>
        <w:tc>
          <w:tcPr>
            <w:tcW w:w="4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4,926</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debt, current portion</w:t>
            </w:r>
          </w:p>
        </w:tc>
        <w:tc>
          <w:tcPr>
            <w:tcW w:w="4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0" w:type="dxa"/>
            <w:vAlign w:val="bottom"/>
          </w:tcPr>
          <w:p>
            <w:pPr>
              <w:spacing w:after="0"/>
              <w:rPr>
                <w:sz w:val="1"/>
                <w:szCs w:val="1"/>
                <w:color w:val="auto"/>
              </w:rPr>
            </w:pPr>
          </w:p>
        </w:tc>
      </w:tr>
      <w:tr>
        <w:trPr>
          <w:trHeight w:val="18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Convertible note payable, current portion - related party</w:t>
            </w:r>
          </w:p>
        </w:tc>
        <w:tc>
          <w:tcPr>
            <w:tcW w:w="4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liabilities, current portion</w:t>
            </w:r>
          </w:p>
        </w:tc>
        <w:tc>
          <w:tcPr>
            <w:tcW w:w="4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0" w:type="dxa"/>
            <w:vAlign w:val="bottom"/>
          </w:tcPr>
          <w:p>
            <w:pPr>
              <w:spacing w:after="0"/>
              <w:rPr>
                <w:sz w:val="1"/>
                <w:szCs w:val="1"/>
                <w:color w:val="auto"/>
              </w:rPr>
            </w:pPr>
          </w:p>
        </w:tc>
      </w:tr>
      <w:tr>
        <w:trPr>
          <w:trHeight w:val="180"/>
        </w:trPr>
        <w:tc>
          <w:tcPr>
            <w:tcW w:w="3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44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1"/>
        </w:trPr>
        <w:tc>
          <w:tcPr>
            <w:tcW w:w="3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4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59,619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29,917</w:t>
            </w:r>
          </w:p>
        </w:tc>
        <w:tc>
          <w:tcPr>
            <w:tcW w:w="0" w:type="dxa"/>
            <w:vAlign w:val="bottom"/>
          </w:tcPr>
          <w:p>
            <w:pPr>
              <w:spacing w:after="0"/>
              <w:rPr>
                <w:sz w:val="1"/>
                <w:szCs w:val="1"/>
                <w:color w:val="auto"/>
              </w:rPr>
            </w:pPr>
          </w:p>
        </w:tc>
      </w:tr>
      <w:tr>
        <w:trPr>
          <w:trHeight w:val="180"/>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4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liability, long-term</w:t>
            </w:r>
          </w:p>
        </w:tc>
        <w:tc>
          <w:tcPr>
            <w:tcW w:w="4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w:t>
            </w:r>
          </w:p>
        </w:tc>
        <w:tc>
          <w:tcPr>
            <w:tcW w:w="0" w:type="dxa"/>
            <w:vAlign w:val="bottom"/>
          </w:tcPr>
          <w:p>
            <w:pPr>
              <w:spacing w:after="0"/>
              <w:rPr>
                <w:sz w:val="1"/>
                <w:szCs w:val="1"/>
                <w:color w:val="auto"/>
              </w:rPr>
            </w:pPr>
          </w:p>
        </w:tc>
      </w:tr>
      <w:tr>
        <w:trPr>
          <w:trHeight w:val="18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 payable, excluding current portion</w:t>
            </w:r>
          </w:p>
        </w:tc>
        <w:tc>
          <w:tcPr>
            <w:tcW w:w="4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13,769</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debt, excluding current portion</w:t>
            </w:r>
          </w:p>
        </w:tc>
        <w:tc>
          <w:tcPr>
            <w:tcW w:w="4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4,727</w:t>
            </w:r>
          </w:p>
        </w:tc>
        <w:tc>
          <w:tcPr>
            <w:tcW w:w="0" w:type="dxa"/>
            <w:vAlign w:val="bottom"/>
          </w:tcPr>
          <w:p>
            <w:pPr>
              <w:spacing w:after="0"/>
              <w:rPr>
                <w:sz w:val="1"/>
                <w:szCs w:val="1"/>
                <w:color w:val="auto"/>
              </w:rPr>
            </w:pPr>
          </w:p>
        </w:tc>
      </w:tr>
      <w:tr>
        <w:trPr>
          <w:trHeight w:val="18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Convertible notes payable - related party</w:t>
            </w:r>
          </w:p>
        </w:tc>
        <w:tc>
          <w:tcPr>
            <w:tcW w:w="4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77,205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84,148</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liabilities, long-term</w:t>
            </w:r>
          </w:p>
        </w:tc>
        <w:tc>
          <w:tcPr>
            <w:tcW w:w="4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Warrants liability - related party</w:t>
            </w:r>
          </w:p>
        </w:tc>
        <w:tc>
          <w:tcPr>
            <w:tcW w:w="4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liabilities</w:t>
            </w:r>
          </w:p>
        </w:tc>
        <w:tc>
          <w:tcPr>
            <w:tcW w:w="442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1"/>
        </w:trPr>
        <w:tc>
          <w:tcPr>
            <w:tcW w:w="3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44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95,950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106,811</w:t>
            </w:r>
          </w:p>
        </w:tc>
        <w:tc>
          <w:tcPr>
            <w:tcW w:w="0" w:type="dxa"/>
            <w:vAlign w:val="bottom"/>
          </w:tcPr>
          <w:p>
            <w:pPr>
              <w:spacing w:after="0"/>
              <w:rPr>
                <w:sz w:val="1"/>
                <w:szCs w:val="1"/>
                <w:color w:val="auto"/>
              </w:rPr>
            </w:pPr>
          </w:p>
        </w:tc>
      </w:tr>
      <w:tr>
        <w:trPr>
          <w:trHeight w:val="171"/>
        </w:trPr>
        <w:tc>
          <w:tcPr>
            <w:tcW w:w="3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442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155,569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136,728</w:t>
            </w:r>
          </w:p>
        </w:tc>
        <w:tc>
          <w:tcPr>
            <w:tcW w:w="0" w:type="dxa"/>
            <w:vAlign w:val="bottom"/>
          </w:tcPr>
          <w:p>
            <w:pPr>
              <w:spacing w:after="0"/>
              <w:rPr>
                <w:sz w:val="1"/>
                <w:szCs w:val="1"/>
                <w:color w:val="auto"/>
              </w:rPr>
            </w:pPr>
          </w:p>
        </w:tc>
      </w:tr>
      <w:tr>
        <w:trPr>
          <w:trHeight w:val="648"/>
        </w:trPr>
        <w:tc>
          <w:tcPr>
            <w:tcW w:w="3400" w:type="dxa"/>
            <w:vAlign w:val="bottom"/>
          </w:tcPr>
          <w:p>
            <w:pPr>
              <w:spacing w:after="0"/>
              <w:rPr>
                <w:sz w:val="24"/>
                <w:szCs w:val="24"/>
                <w:color w:val="auto"/>
              </w:rPr>
            </w:pPr>
          </w:p>
        </w:tc>
        <w:tc>
          <w:tcPr>
            <w:tcW w:w="4420" w:type="dxa"/>
            <w:vAlign w:val="bottom"/>
          </w:tcPr>
          <w:p>
            <w:pPr>
              <w:jc w:val="right"/>
              <w:ind w:right="2069"/>
              <w:spacing w:after="0"/>
              <w:rPr>
                <w:sz w:val="20"/>
                <w:szCs w:val="20"/>
                <w:color w:val="auto"/>
              </w:rPr>
            </w:pPr>
            <w:r>
              <w:rPr>
                <w:rFonts w:ascii="Times New Roman" w:cs="Times New Roman" w:eastAsia="Times New Roman" w:hAnsi="Times New Roman"/>
                <w:sz w:val="14"/>
                <w:szCs w:val="14"/>
                <w:color w:val="auto"/>
              </w:rPr>
              <w:t>2</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400" w:type="dxa"/>
            <w:vAlign w:val="bottom"/>
            <w:tcBorders>
              <w:bottom w:val="single" w:sz="8" w:color="9A9A9A"/>
            </w:tcBorders>
          </w:tcPr>
          <w:p>
            <w:pPr>
              <w:spacing w:after="0"/>
              <w:rPr>
                <w:sz w:val="7"/>
                <w:szCs w:val="7"/>
                <w:color w:val="auto"/>
              </w:rPr>
            </w:pPr>
          </w:p>
        </w:tc>
        <w:tc>
          <w:tcPr>
            <w:tcW w:w="44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UNAUDITED CONDENSED CONSOLIDATED BALANCE SHEETS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100" w:type="dxa"/>
            <w:vAlign w:val="bottom"/>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78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9)</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02"/>
        </w:trPr>
        <w:tc>
          <w:tcPr>
            <w:tcW w:w="7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80"/>
        </w:trPr>
        <w:tc>
          <w:tcPr>
            <w:tcW w:w="7820" w:type="dxa"/>
            <w:vAlign w:val="bottom"/>
            <w:shd w:val="clear" w:color="auto" w:fill="CCEEFF"/>
          </w:tcPr>
          <w:p>
            <w:pPr>
              <w:ind w:left="2640"/>
              <w:spacing w:after="0"/>
              <w:rPr>
                <w:sz w:val="20"/>
                <w:szCs w:val="20"/>
                <w:color w:val="auto"/>
              </w:rPr>
            </w:pPr>
            <w:r>
              <w:rPr>
                <w:rFonts w:ascii="Times New Roman" w:cs="Times New Roman" w:eastAsia="Times New Roman" w:hAnsi="Times New Roman"/>
                <w:sz w:val="14"/>
                <w:szCs w:val="14"/>
                <w:b w:val="1"/>
                <w:bCs w:val="1"/>
                <w:color w:val="auto"/>
              </w:rPr>
              <w:t>SHAREHOLDERS' EQUITY (DEFICIT)</w:t>
            </w:r>
          </w:p>
        </w:tc>
        <w:tc>
          <w:tcPr>
            <w:tcW w:w="1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38"/>
        </w:trPr>
        <w:tc>
          <w:tcPr>
            <w:tcW w:w="7820" w:type="dxa"/>
            <w:vAlign w:val="bottom"/>
          </w:tcPr>
          <w:p>
            <w:pPr>
              <w:ind w:left="140"/>
              <w:spacing w:after="0" w:line="138" w:lineRule="exact"/>
              <w:rPr>
                <w:sz w:val="20"/>
                <w:szCs w:val="20"/>
                <w:color w:val="auto"/>
              </w:rPr>
            </w:pPr>
            <w:r>
              <w:rPr>
                <w:rFonts w:ascii="Times New Roman" w:cs="Times New Roman" w:eastAsia="Times New Roman" w:hAnsi="Times New Roman"/>
                <w:sz w:val="14"/>
                <w:szCs w:val="14"/>
                <w:color w:val="auto"/>
              </w:rPr>
              <w:t>Common Stock, $0.0001 par value, 300,000,000 and 200,000,000 shares authorized, 58,519,739 and 53,786,632 shares outstanding at</w:t>
            </w: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91"/>
        </w:trPr>
        <w:tc>
          <w:tcPr>
            <w:tcW w:w="7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June 30, 2022 and December 31, 2021, respectively</w:t>
            </w:r>
          </w:p>
        </w:tc>
        <w:tc>
          <w:tcPr>
            <w:tcW w:w="1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1"/>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stock, $0.0001 par value, 1,000,000 shares authorized, no shares outstanding at June 30, 2022 and December 31, 2021</w:t>
            </w:r>
          </w:p>
        </w:tc>
        <w:tc>
          <w:tcPr>
            <w:tcW w:w="1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 in capital</w:t>
            </w: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461,165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448,969</w:t>
            </w:r>
          </w:p>
        </w:tc>
      </w:tr>
      <w:tr>
        <w:trPr>
          <w:trHeight w:val="18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(519,005)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(416,527)</w:t>
            </w:r>
          </w:p>
        </w:tc>
      </w:tr>
      <w:tr>
        <w:trPr>
          <w:trHeight w:val="180"/>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shareholders' equity (deficit)</w:t>
            </w:r>
          </w:p>
        </w:tc>
        <w:tc>
          <w:tcPr>
            <w:tcW w:w="1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(57,829)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32,447</w:t>
            </w:r>
          </w:p>
        </w:tc>
      </w:tr>
      <w:tr>
        <w:trPr>
          <w:trHeight w:val="171"/>
        </w:trPr>
        <w:tc>
          <w:tcPr>
            <w:tcW w:w="78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 (deficit)</w:t>
            </w: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97,740</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169,175</w:t>
            </w:r>
          </w:p>
        </w:tc>
      </w:tr>
      <w:tr>
        <w:trPr>
          <w:trHeight w:val="20"/>
        </w:trPr>
        <w:tc>
          <w:tcPr>
            <w:tcW w:w="7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168" w:lineRule="exact"/>
        <w:rPr>
          <w:sz w:val="20"/>
          <w:szCs w:val="20"/>
          <w:color w:val="auto"/>
        </w:rPr>
      </w:pPr>
    </w:p>
    <w:p>
      <w:pPr>
        <w:ind w:left="20" w:right="4100"/>
        <w:spacing w:after="0" w:line="322" w:lineRule="auto"/>
        <w:rPr>
          <w:sz w:val="20"/>
          <w:szCs w:val="20"/>
          <w:color w:val="auto"/>
        </w:rPr>
      </w:pPr>
      <w:r>
        <w:rPr>
          <w:rFonts w:ascii="Times New Roman" w:cs="Times New Roman" w:eastAsia="Times New Roman" w:hAnsi="Times New Roman"/>
          <w:sz w:val="14"/>
          <w:szCs w:val="14"/>
          <w:b w:val="1"/>
          <w:bCs w:val="1"/>
          <w:color w:val="auto"/>
        </w:rPr>
        <w:t xml:space="preserve">UNAUDITED CONDENSED CONSOLIDATED STATEMENTS OF OPERATIONS AND COMPREHENSIVE LOSS </w:t>
      </w:r>
      <w:r>
        <w:rPr>
          <w:rFonts w:ascii="Times New Roman" w:cs="Times New Roman" w:eastAsia="Times New Roman" w:hAnsi="Times New Roman"/>
          <w:sz w:val="14"/>
          <w:szCs w:val="14"/>
          <w:color w:val="auto"/>
        </w:rPr>
        <w:t>(In thousands, except share and per share amounts)</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 the three and six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469"/>
              <w:spacing w:after="0" w:line="12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469"/>
              <w:spacing w:after="0" w:line="12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0" w:type="dxa"/>
            <w:vAlign w:val="bottom"/>
          </w:tcPr>
          <w:p>
            <w:pPr>
              <w:spacing w:after="0"/>
              <w:rPr>
                <w:sz w:val="1"/>
                <w:szCs w:val="1"/>
                <w:color w:val="auto"/>
              </w:rPr>
            </w:pPr>
          </w:p>
        </w:tc>
      </w:tr>
      <w:tr>
        <w:trPr>
          <w:trHeight w:val="188"/>
        </w:trPr>
        <w:tc>
          <w:tcPr>
            <w:tcW w:w="47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9,193</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0" w:type="dxa"/>
            <w:vAlign w:val="bottom"/>
          </w:tcPr>
          <w:p>
            <w:pPr>
              <w:spacing w:after="0"/>
              <w:rPr>
                <w:sz w:val="1"/>
                <w:szCs w:val="1"/>
                <w:color w:val="auto"/>
              </w:rPr>
            </w:pPr>
          </w:p>
        </w:tc>
      </w:tr>
      <w:tr>
        <w:trPr>
          <w:trHeight w:val="16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of goods sold</w:t>
            </w: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36,866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72,443</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12,453</w:t>
            </w: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10,427</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8,700</w:t>
            </w:r>
          </w:p>
        </w:tc>
        <w:tc>
          <w:tcPr>
            <w:tcW w:w="0" w:type="dxa"/>
            <w:vAlign w:val="bottom"/>
          </w:tcPr>
          <w:p>
            <w:pPr>
              <w:spacing w:after="0"/>
              <w:rPr>
                <w:sz w:val="1"/>
                <w:szCs w:val="1"/>
                <w:color w:val="auto"/>
              </w:rPr>
            </w:pPr>
          </w:p>
        </w:tc>
      </w:tr>
      <w:tr>
        <w:trPr>
          <w:trHeight w:val="180"/>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33,394</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20,127</w:t>
            </w: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pre-existing agreement</w:t>
            </w:r>
          </w:p>
        </w:tc>
        <w:tc>
          <w:tcPr>
            <w:tcW w:w="3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30,368</w:t>
            </w:r>
          </w:p>
        </w:tc>
        <w:tc>
          <w:tcPr>
            <w:tcW w:w="0" w:type="dxa"/>
            <w:vAlign w:val="bottom"/>
          </w:tcPr>
          <w:p>
            <w:pPr>
              <w:spacing w:after="0"/>
              <w:rPr>
                <w:sz w:val="1"/>
                <w:szCs w:val="1"/>
                <w:color w:val="auto"/>
              </w:rPr>
            </w:pPr>
          </w:p>
        </w:tc>
      </w:tr>
      <w:tr>
        <w:trPr>
          <w:trHeight w:val="180"/>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from write-down of property, plant and equipment</w:t>
            </w: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Grant (income) expense, net</w:t>
            </w:r>
          </w:p>
        </w:tc>
        <w:tc>
          <w:tcPr>
            <w:tcW w:w="3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1"/>
        </w:trPr>
        <w:tc>
          <w:tcPr>
            <w:tcW w:w="47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Total costs and expenses</w:t>
            </w: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63,273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49,800</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118,273</w:t>
            </w: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71,615</w:t>
            </w:r>
          </w:p>
        </w:tc>
        <w:tc>
          <w:tcPr>
            <w:tcW w:w="0" w:type="dxa"/>
            <w:vAlign w:val="bottom"/>
          </w:tcPr>
          <w:p>
            <w:pPr>
              <w:spacing w:after="0"/>
              <w:rPr>
                <w:sz w:val="1"/>
                <w:szCs w:val="1"/>
                <w:color w:val="auto"/>
              </w:rPr>
            </w:pPr>
          </w:p>
        </w:tc>
      </w:tr>
      <w:tr>
        <w:trPr>
          <w:trHeight w:val="17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(57,378)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(49,188)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(109,080)</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(70,839)</w:t>
            </w:r>
          </w:p>
        </w:tc>
        <w:tc>
          <w:tcPr>
            <w:tcW w:w="0" w:type="dxa"/>
            <w:vAlign w:val="bottom"/>
          </w:tcPr>
          <w:p>
            <w:pPr>
              <w:spacing w:after="0"/>
              <w:rPr>
                <w:sz w:val="1"/>
                <w:szCs w:val="1"/>
                <w:color w:val="auto"/>
              </w:rPr>
            </w:pP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80"/>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 related party</w:t>
            </w: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(4,838)</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Remeasurement of equity method investment</w:t>
            </w:r>
          </w:p>
        </w:tc>
        <w:tc>
          <w:tcPr>
            <w:tcW w:w="3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(7,480)</w:t>
            </w:r>
          </w:p>
        </w:tc>
        <w:tc>
          <w:tcPr>
            <w:tcW w:w="0" w:type="dxa"/>
            <w:vAlign w:val="bottom"/>
          </w:tcPr>
          <w:p>
            <w:pPr>
              <w:spacing w:after="0"/>
              <w:rPr>
                <w:sz w:val="1"/>
                <w:szCs w:val="1"/>
                <w:color w:val="auto"/>
              </w:rPr>
            </w:pPr>
          </w:p>
        </w:tc>
      </w:tr>
      <w:tr>
        <w:trPr>
          <w:trHeight w:val="180"/>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embedded derivative - related party</w:t>
            </w: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11,673</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warrants liability - related party</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0" w:type="dxa"/>
            <w:vAlign w:val="bottom"/>
          </w:tcPr>
          <w:p>
            <w:pPr>
              <w:spacing w:after="0"/>
              <w:rPr>
                <w:sz w:val="1"/>
                <w:szCs w:val="1"/>
                <w:color w:val="auto"/>
              </w:rPr>
            </w:pPr>
          </w:p>
        </w:tc>
      </w:tr>
      <w:tr>
        <w:trPr>
          <w:trHeight w:val="180"/>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from equity in unconsolidated joint venture</w:t>
            </w:r>
          </w:p>
        </w:tc>
        <w:tc>
          <w:tcPr>
            <w:tcW w:w="3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 of state tax attributes</w:t>
            </w:r>
          </w:p>
        </w:tc>
        <w:tc>
          <w:tcPr>
            <w:tcW w:w="3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0" w:type="dxa"/>
            <w:vAlign w:val="bottom"/>
          </w:tcPr>
          <w:p>
            <w:pPr>
              <w:spacing w:after="0"/>
              <w:rPr>
                <w:sz w:val="1"/>
                <w:szCs w:val="1"/>
                <w:color w:val="auto"/>
              </w:rPr>
            </w:pPr>
          </w:p>
        </w:tc>
      </w:tr>
      <w:tr>
        <w:trPr>
          <w:trHeight w:val="180"/>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income (expense)</w:t>
            </w: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(56,710)</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(54,043)</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(102,543)</w:t>
            </w:r>
          </w:p>
        </w:tc>
        <w:tc>
          <w:tcPr>
            <w:tcW w:w="1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(75,499)</w:t>
            </w:r>
          </w:p>
        </w:tc>
        <w:tc>
          <w:tcPr>
            <w:tcW w:w="0" w:type="dxa"/>
            <w:vAlign w:val="bottom"/>
          </w:tcPr>
          <w:p>
            <w:pPr>
              <w:spacing w:after="0"/>
              <w:rPr>
                <w:sz w:val="1"/>
                <w:szCs w:val="1"/>
                <w:color w:val="auto"/>
              </w:rPr>
            </w:pPr>
          </w:p>
        </w:tc>
      </w:tr>
      <w:tr>
        <w:trPr>
          <w:trHeight w:val="180"/>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 benefit</w:t>
            </w: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720" w:type="dxa"/>
            <w:vAlign w:val="bottom"/>
            <w:tcBorders>
              <w:top w:val="single" w:sz="8" w:color="CCEEFF"/>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320" w:type="dxa"/>
            <w:vAlign w:val="bottom"/>
            <w:tcBorders>
              <w:top w:val="single" w:sz="8" w:color="auto"/>
              <w:bottom w:val="single" w:sz="8" w:color="auto"/>
            </w:tcBorders>
            <w:shd w:val="clear" w:color="auto" w:fill="CCEEFF"/>
          </w:tcPr>
          <w:p>
            <w:pPr>
              <w:jc w:val="right"/>
              <w:ind w:right="149"/>
              <w:spacing w:after="0" w:line="150"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(56,687)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6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(54,043)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4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(102,478)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ind w:right="36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(75,499)</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7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 net of tax</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0"/>
        </w:trPr>
        <w:tc>
          <w:tcPr>
            <w:tcW w:w="472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320" w:type="dxa"/>
            <w:vAlign w:val="bottom"/>
            <w:tcBorders>
              <w:top w:val="single" w:sz="8" w:color="auto"/>
              <w:bottom w:val="single" w:sz="8" w:color="auto"/>
            </w:tcBorders>
          </w:tcPr>
          <w:p>
            <w:pPr>
              <w:jc w:val="right"/>
              <w:ind w:right="149"/>
              <w:spacing w:after="0" w:line="150"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(56,682)</w:t>
            </w: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6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(54,043)</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(102,473)</w:t>
            </w:r>
          </w:p>
        </w:tc>
        <w:tc>
          <w:tcPr>
            <w:tcW w:w="1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ind w:right="36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(75,499)</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Basic and diluted loss per share attributable to common shareholders</w:t>
            </w: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shares of common stock</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56,021,185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51,792,365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54,991,475</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51,630,088</w:t>
            </w:r>
          </w:p>
        </w:tc>
        <w:tc>
          <w:tcPr>
            <w:tcW w:w="0" w:type="dxa"/>
            <w:vAlign w:val="bottom"/>
          </w:tcPr>
          <w:p>
            <w:pPr>
              <w:spacing w:after="0"/>
              <w:rPr>
                <w:sz w:val="1"/>
                <w:szCs w:val="1"/>
                <w:color w:val="auto"/>
              </w:rPr>
            </w:pPr>
          </w:p>
        </w:tc>
      </w:tr>
      <w:tr>
        <w:trPr>
          <w:trHeight w:val="184"/>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56,021,185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51,792,365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54,991,475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51,630,088</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STATEMENTS OF SHAREHOLDERS' EQUITY (DEFICIT)</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 the three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664273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42735" cy="698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2080" w:type="dxa"/>
            <w:vAlign w:val="bottom"/>
            <w:gridSpan w:val="3"/>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Contingently</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640" w:type="dxa"/>
            <w:vAlign w:val="bottom"/>
          </w:tcPr>
          <w:p>
            <w:pPr>
              <w:spacing w:after="0"/>
              <w:rPr>
                <w:sz w:val="11"/>
                <w:szCs w:val="11"/>
                <w:color w:val="auto"/>
              </w:rPr>
            </w:pPr>
          </w:p>
        </w:tc>
        <w:tc>
          <w:tcPr>
            <w:tcW w:w="208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Additional Paid in</w:t>
            </w:r>
          </w:p>
        </w:tc>
        <w:tc>
          <w:tcPr>
            <w:tcW w:w="80" w:type="dxa"/>
            <w:vAlign w:val="bottom"/>
          </w:tcPr>
          <w:p>
            <w:pPr>
              <w:spacing w:after="0"/>
              <w:rPr>
                <w:sz w:val="11"/>
                <w:szCs w:val="11"/>
                <w:color w:val="auto"/>
              </w:rPr>
            </w:pPr>
          </w:p>
        </w:tc>
        <w:tc>
          <w:tcPr>
            <w:tcW w:w="12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Issuable Common</w:t>
            </w:r>
          </w:p>
        </w:tc>
        <w:tc>
          <w:tcPr>
            <w:tcW w:w="120" w:type="dxa"/>
            <w:vAlign w:val="bottom"/>
          </w:tcPr>
          <w:p>
            <w:pPr>
              <w:spacing w:after="0"/>
              <w:rPr>
                <w:sz w:val="11"/>
                <w:szCs w:val="11"/>
                <w:color w:val="auto"/>
              </w:rPr>
            </w:pPr>
          </w:p>
        </w:tc>
        <w:tc>
          <w:tcPr>
            <w:tcW w:w="120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1"/>
                <w:szCs w:val="11"/>
                <w:color w:val="auto"/>
              </w:rPr>
            </w:pPr>
          </w:p>
        </w:tc>
        <w:tc>
          <w:tcPr>
            <w:tcW w:w="108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640" w:type="dxa"/>
            <w:vAlign w:val="bottom"/>
          </w:tcPr>
          <w:p>
            <w:pPr>
              <w:spacing w:after="0"/>
              <w:rPr>
                <w:sz w:val="15"/>
                <w:szCs w:val="15"/>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5"/>
                <w:szCs w:val="15"/>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5"/>
                <w:szCs w:val="15"/>
                <w:color w:val="auto"/>
              </w:rPr>
            </w:pPr>
          </w:p>
        </w:tc>
        <w:tc>
          <w:tcPr>
            <w:tcW w:w="9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51,801,267</w:t>
            </w:r>
          </w:p>
        </w:tc>
        <w:tc>
          <w:tcPr>
            <w:tcW w:w="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415,569</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(313,767)</w:t>
            </w: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101,807</w:t>
            </w:r>
          </w:p>
        </w:tc>
        <w:tc>
          <w:tcPr>
            <w:tcW w:w="0" w:type="dxa"/>
            <w:vAlign w:val="bottom"/>
          </w:tcPr>
          <w:p>
            <w:pPr>
              <w:spacing w:after="0"/>
              <w:rPr>
                <w:sz w:val="1"/>
                <w:szCs w:val="1"/>
                <w:color w:val="auto"/>
              </w:rPr>
            </w:pPr>
          </w:p>
        </w:tc>
      </w:tr>
      <w:tr>
        <w:trPr>
          <w:trHeight w:val="180"/>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3,195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3,195</w:t>
            </w: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87,177</w:t>
            </w: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756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0" w:type="dxa"/>
            <w:vAlign w:val="bottom"/>
          </w:tcPr>
          <w:p>
            <w:pPr>
              <w:spacing w:after="0"/>
              <w:rPr>
                <w:sz w:val="1"/>
                <w:szCs w:val="1"/>
                <w:color w:val="auto"/>
              </w:rPr>
            </w:pPr>
          </w:p>
        </w:tc>
      </w:tr>
      <w:tr>
        <w:trPr>
          <w:trHeight w:val="180"/>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Exercise of warrants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1,465,414</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16,852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16,852</w:t>
            </w: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(54,043)</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(54,043)</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2021</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53,353,858</w:t>
            </w:r>
          </w:p>
        </w:tc>
        <w:tc>
          <w:tcPr>
            <w:tcW w:w="60" w:type="dxa"/>
            <w:vAlign w:val="bottom"/>
          </w:tcPr>
          <w:p>
            <w:pPr>
              <w:spacing w:after="0"/>
              <w:rPr>
                <w:sz w:val="14"/>
                <w:szCs w:val="14"/>
                <w:color w:val="auto"/>
              </w:rPr>
            </w:pPr>
          </w:p>
        </w:tc>
        <w:tc>
          <w:tcPr>
            <w:tcW w:w="880" w:type="dxa"/>
            <w:vAlign w:val="bottom"/>
            <w:tcBorders>
              <w:top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4"/>
                <w:szCs w:val="14"/>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436,372</w:t>
            </w:r>
          </w:p>
        </w:tc>
        <w:tc>
          <w:tcPr>
            <w:tcW w:w="6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(367,810)</w:t>
            </w:r>
          </w:p>
        </w:tc>
        <w:tc>
          <w:tcPr>
            <w:tcW w:w="60" w:type="dxa"/>
            <w:vAlign w:val="bottom"/>
          </w:tcPr>
          <w:p>
            <w:pPr>
              <w:spacing w:after="0"/>
              <w:rPr>
                <w:sz w:val="14"/>
                <w:szCs w:val="14"/>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68,567</w:t>
            </w: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53,980,608</w:t>
            </w:r>
          </w:p>
        </w:tc>
        <w:tc>
          <w:tcPr>
            <w:tcW w:w="60" w:type="dxa"/>
            <w:vAlign w:val="bottom"/>
          </w:tcPr>
          <w:p>
            <w:pPr>
              <w:spacing w:after="0"/>
              <w:rPr>
                <w:sz w:val="15"/>
                <w:szCs w:val="15"/>
                <w:color w:val="auto"/>
              </w:rPr>
            </w:pP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452,093</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(462,318)</w:t>
            </w:r>
          </w:p>
        </w:tc>
        <w:tc>
          <w:tcPr>
            <w:tcW w:w="6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(10,220)</w:t>
            </w: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3,434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3,434</w:t>
            </w:r>
          </w:p>
        </w:tc>
        <w:tc>
          <w:tcPr>
            <w:tcW w:w="0" w:type="dxa"/>
            <w:vAlign w:val="bottom"/>
          </w:tcPr>
          <w:p>
            <w:pPr>
              <w:spacing w:after="0"/>
              <w:rPr>
                <w:sz w:val="1"/>
                <w:szCs w:val="1"/>
                <w:color w:val="auto"/>
              </w:rPr>
            </w:pPr>
          </w:p>
        </w:tc>
      </w:tr>
      <w:tr>
        <w:trPr>
          <w:trHeight w:val="180"/>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Release of 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121,956</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26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Cancellation of shares used to settle payroll</w:t>
            </w: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withholding</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(15,881)</w:t>
            </w: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0"/>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under SEPA</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3,967,939</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4,603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4,604</w:t>
            </w:r>
          </w:p>
        </w:tc>
        <w:tc>
          <w:tcPr>
            <w:tcW w:w="0" w:type="dxa"/>
            <w:vAlign w:val="bottom"/>
          </w:tcPr>
          <w:p>
            <w:pPr>
              <w:spacing w:after="0"/>
              <w:rPr>
                <w:sz w:val="1"/>
                <w:szCs w:val="1"/>
                <w:color w:val="auto"/>
              </w:rPr>
            </w:pPr>
          </w:p>
        </w:tc>
      </w:tr>
      <w:tr>
        <w:trPr>
          <w:trHeight w:val="138"/>
        </w:trPr>
        <w:tc>
          <w:tcPr>
            <w:tcW w:w="26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Commitment fee for SEPA settled by</w:t>
            </w: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465,117</w:t>
            </w: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1,061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0" w:type="dxa"/>
            <w:vAlign w:val="bottom"/>
          </w:tcPr>
          <w:p>
            <w:pPr>
              <w:spacing w:after="0"/>
              <w:rPr>
                <w:sz w:val="1"/>
                <w:szCs w:val="1"/>
                <w:color w:val="auto"/>
              </w:rPr>
            </w:pPr>
          </w:p>
        </w:tc>
      </w:tr>
      <w:tr>
        <w:trPr>
          <w:trHeight w:val="180"/>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(56,687)</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(56,687)</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2022</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58,519,739</w:t>
            </w:r>
          </w:p>
        </w:tc>
        <w:tc>
          <w:tcPr>
            <w:tcW w:w="6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4"/>
                <w:szCs w:val="1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461,165</w:t>
            </w: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(519,005)</w:t>
            </w:r>
          </w:p>
        </w:tc>
        <w:tc>
          <w:tcPr>
            <w:tcW w:w="6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(57,829)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STATEMENTS OF SHAREHOLDERS' EQUITY (DEFICIT)</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 the six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664273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42735" cy="698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2080" w:type="dxa"/>
            <w:vAlign w:val="bottom"/>
            <w:gridSpan w:val="3"/>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Contingently</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640" w:type="dxa"/>
            <w:vAlign w:val="bottom"/>
          </w:tcPr>
          <w:p>
            <w:pPr>
              <w:spacing w:after="0"/>
              <w:rPr>
                <w:sz w:val="11"/>
                <w:szCs w:val="11"/>
                <w:color w:val="auto"/>
              </w:rPr>
            </w:pPr>
          </w:p>
        </w:tc>
        <w:tc>
          <w:tcPr>
            <w:tcW w:w="2080" w:type="dxa"/>
            <w:vAlign w:val="bottom"/>
            <w:tcBorders>
              <w:bottom w:val="single" w:sz="8" w:color="auto"/>
            </w:tcBorders>
            <w:gridSpan w:val="3"/>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Additional Paid in</w:t>
            </w:r>
          </w:p>
        </w:tc>
        <w:tc>
          <w:tcPr>
            <w:tcW w:w="80" w:type="dxa"/>
            <w:vAlign w:val="bottom"/>
          </w:tcPr>
          <w:p>
            <w:pPr>
              <w:spacing w:after="0"/>
              <w:rPr>
                <w:sz w:val="11"/>
                <w:szCs w:val="11"/>
                <w:color w:val="auto"/>
              </w:rPr>
            </w:pPr>
          </w:p>
        </w:tc>
        <w:tc>
          <w:tcPr>
            <w:tcW w:w="12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Issuable Common</w:t>
            </w:r>
          </w:p>
        </w:tc>
        <w:tc>
          <w:tcPr>
            <w:tcW w:w="100" w:type="dxa"/>
            <w:vAlign w:val="bottom"/>
          </w:tcPr>
          <w:p>
            <w:pPr>
              <w:spacing w:after="0"/>
              <w:rPr>
                <w:sz w:val="11"/>
                <w:szCs w:val="11"/>
                <w:color w:val="auto"/>
              </w:rPr>
            </w:pPr>
          </w:p>
        </w:tc>
        <w:tc>
          <w:tcPr>
            <w:tcW w:w="12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1"/>
                <w:szCs w:val="11"/>
                <w:color w:val="auto"/>
              </w:rPr>
            </w:pPr>
          </w:p>
        </w:tc>
        <w:tc>
          <w:tcPr>
            <w:tcW w:w="108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640" w:type="dxa"/>
            <w:vAlign w:val="bottom"/>
          </w:tcPr>
          <w:p>
            <w:pPr>
              <w:spacing w:after="0"/>
              <w:rPr>
                <w:sz w:val="15"/>
                <w:szCs w:val="15"/>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5"/>
                <w:szCs w:val="15"/>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5"/>
                <w:szCs w:val="15"/>
                <w:color w:val="auto"/>
              </w:rPr>
            </w:pPr>
          </w:p>
        </w:tc>
        <w:tc>
          <w:tcPr>
            <w:tcW w:w="8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48,943,082</w:t>
            </w: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395,491</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(292,311)</w:t>
            </w:r>
          </w:p>
        </w:tc>
        <w:tc>
          <w:tcPr>
            <w:tcW w:w="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120,785</w:t>
            </w:r>
          </w:p>
        </w:tc>
        <w:tc>
          <w:tcPr>
            <w:tcW w:w="0" w:type="dxa"/>
            <w:vAlign w:val="bottom"/>
          </w:tcPr>
          <w:p>
            <w:pPr>
              <w:spacing w:after="0"/>
              <w:rPr>
                <w:sz w:val="1"/>
                <w:szCs w:val="1"/>
                <w:color w:val="auto"/>
              </w:rPr>
            </w:pPr>
          </w:p>
        </w:tc>
      </w:tr>
      <w:tr>
        <w:trPr>
          <w:trHeight w:val="180"/>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5,673</w:t>
            </w:r>
          </w:p>
        </w:tc>
        <w:tc>
          <w:tcPr>
            <w:tcW w:w="0" w:type="dxa"/>
            <w:vAlign w:val="bottom"/>
          </w:tcPr>
          <w:p>
            <w:pPr>
              <w:spacing w:after="0"/>
              <w:rPr>
                <w:sz w:val="1"/>
                <w:szCs w:val="1"/>
                <w:color w:val="auto"/>
              </w:rPr>
            </w:pPr>
          </w:p>
        </w:tc>
      </w:tr>
      <w:tr>
        <w:trPr>
          <w:trHeight w:val="138"/>
        </w:trPr>
        <w:tc>
          <w:tcPr>
            <w:tcW w:w="26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Release of Block B Sponsor Earnout Shares</w:t>
            </w: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from restriction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859,000</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264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Issuance of Contingently Issuable Common</w:t>
            </w: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1,999,185</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87,177</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0" w:type="dxa"/>
            <w:vAlign w:val="bottom"/>
          </w:tcPr>
          <w:p>
            <w:pPr>
              <w:spacing w:after="0"/>
              <w:rPr>
                <w:sz w:val="1"/>
                <w:szCs w:val="1"/>
                <w:color w:val="auto"/>
              </w:rPr>
            </w:pPr>
          </w:p>
        </w:tc>
      </w:tr>
      <w:tr>
        <w:trPr>
          <w:trHeight w:val="180"/>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Exercise of warrants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1,465,414</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16,852</w:t>
            </w: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(75,499)</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(75,499)</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2021</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53,353,858</w:t>
            </w:r>
          </w:p>
        </w:tc>
        <w:tc>
          <w:tcPr>
            <w:tcW w:w="60" w:type="dxa"/>
            <w:vAlign w:val="bottom"/>
          </w:tcPr>
          <w:p>
            <w:pPr>
              <w:spacing w:after="0"/>
              <w:rPr>
                <w:sz w:val="14"/>
                <w:szCs w:val="14"/>
                <w:color w:val="auto"/>
              </w:rPr>
            </w:pPr>
          </w:p>
        </w:tc>
        <w:tc>
          <w:tcPr>
            <w:tcW w:w="860" w:type="dxa"/>
            <w:vAlign w:val="bottom"/>
            <w:tcBorders>
              <w:top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4"/>
                <w:szCs w:val="14"/>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436,372</w:t>
            </w:r>
          </w:p>
        </w:tc>
        <w:tc>
          <w:tcPr>
            <w:tcW w:w="6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(367,810)</w:t>
            </w:r>
          </w:p>
        </w:tc>
        <w:tc>
          <w:tcPr>
            <w:tcW w:w="60" w:type="dxa"/>
            <w:vAlign w:val="bottom"/>
          </w:tcPr>
          <w:p>
            <w:pPr>
              <w:spacing w:after="0"/>
              <w:rPr>
                <w:sz w:val="14"/>
                <w:szCs w:val="14"/>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68,567</w:t>
            </w: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53,786,632</w:t>
            </w:r>
          </w:p>
        </w:tc>
        <w:tc>
          <w:tcPr>
            <w:tcW w:w="60" w:type="dxa"/>
            <w:vAlign w:val="bottom"/>
          </w:tcPr>
          <w:p>
            <w:pPr>
              <w:spacing w:after="0"/>
              <w:rPr>
                <w:sz w:val="15"/>
                <w:szCs w:val="15"/>
                <w:color w:val="auto"/>
              </w:rPr>
            </w:pP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448,969</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(416,527)</w:t>
            </w:r>
          </w:p>
        </w:tc>
        <w:tc>
          <w:tcPr>
            <w:tcW w:w="6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32,447</w:t>
            </w: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7,377</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7,377</w:t>
            </w:r>
          </w:p>
        </w:tc>
        <w:tc>
          <w:tcPr>
            <w:tcW w:w="0" w:type="dxa"/>
            <w:vAlign w:val="bottom"/>
          </w:tcPr>
          <w:p>
            <w:pPr>
              <w:spacing w:after="0"/>
              <w:rPr>
                <w:sz w:val="1"/>
                <w:szCs w:val="1"/>
                <w:color w:val="auto"/>
              </w:rPr>
            </w:pPr>
          </w:p>
        </w:tc>
      </w:tr>
      <w:tr>
        <w:trPr>
          <w:trHeight w:val="180"/>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Exercise of warrants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Release of restricted stock units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427,607</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264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Cancellation of shares used to settle payroll</w:t>
            </w: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tax withholding</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(128,156)</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0" w:type="dxa"/>
            <w:vAlign w:val="bottom"/>
          </w:tcPr>
          <w:p>
            <w:pPr>
              <w:spacing w:after="0"/>
              <w:rPr>
                <w:sz w:val="1"/>
                <w:szCs w:val="1"/>
                <w:color w:val="auto"/>
              </w:rPr>
            </w:pPr>
          </w:p>
        </w:tc>
      </w:tr>
      <w:tr>
        <w:trPr>
          <w:trHeight w:val="18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 under SEPA</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3,967,939</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4,603</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4,604</w:t>
            </w:r>
          </w:p>
        </w:tc>
        <w:tc>
          <w:tcPr>
            <w:tcW w:w="0" w:type="dxa"/>
            <w:vAlign w:val="bottom"/>
          </w:tcPr>
          <w:p>
            <w:pPr>
              <w:spacing w:after="0"/>
              <w:rPr>
                <w:sz w:val="1"/>
                <w:szCs w:val="1"/>
                <w:color w:val="auto"/>
              </w:rPr>
            </w:pPr>
          </w:p>
        </w:tc>
      </w:tr>
      <w:tr>
        <w:trPr>
          <w:trHeight w:val="138"/>
        </w:trPr>
        <w:tc>
          <w:tcPr>
            <w:tcW w:w="264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Commitment fee for SEPA settled by</w:t>
            </w: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465,117</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0" w:type="dxa"/>
            <w:vAlign w:val="bottom"/>
          </w:tcPr>
          <w:p>
            <w:pPr>
              <w:spacing w:after="0"/>
              <w:rPr>
                <w:sz w:val="1"/>
                <w:szCs w:val="1"/>
                <w:color w:val="auto"/>
              </w:rPr>
            </w:pPr>
          </w:p>
        </w:tc>
      </w:tr>
      <w:tr>
        <w:trPr>
          <w:trHeight w:val="18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0"/>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(102,478)</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(102,478)</w:t>
            </w:r>
          </w:p>
        </w:tc>
        <w:tc>
          <w:tcPr>
            <w:tcW w:w="0" w:type="dxa"/>
            <w:vAlign w:val="bottom"/>
          </w:tcPr>
          <w:p>
            <w:pPr>
              <w:spacing w:after="0"/>
              <w:rPr>
                <w:sz w:val="1"/>
                <w:szCs w:val="1"/>
                <w:color w:val="auto"/>
              </w:rPr>
            </w:pPr>
          </w:p>
        </w:tc>
      </w:tr>
      <w:tr>
        <w:trPr>
          <w:trHeight w:val="196"/>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58,519,739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461,165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(519,005)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(57,829)</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STATEMENTS OF CASH FLOWS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 the six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Pr>
          <w:p>
            <w:pPr>
              <w:spacing w:after="0"/>
              <w:rPr>
                <w:sz w:val="16"/>
                <w:szCs w:val="16"/>
                <w:color w:val="auto"/>
              </w:rPr>
            </w:pPr>
          </w:p>
        </w:tc>
        <w:tc>
          <w:tcPr>
            <w:tcW w:w="13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7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r>
      <w:tr>
        <w:trPr>
          <w:trHeight w:val="18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(102,478)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(75,499)</w:t>
            </w:r>
          </w:p>
        </w:tc>
      </w:tr>
      <w:tr>
        <w:trPr>
          <w:trHeight w:val="180"/>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 to reconcile net loss to net cash used in operating activities</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5,673</w:t>
            </w:r>
          </w:p>
        </w:tc>
      </w:tr>
      <w:tr>
        <w:trPr>
          <w:trHeight w:val="180"/>
        </w:trPr>
        <w:tc>
          <w:tcPr>
            <w:tcW w:w="8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w:t>
            </w:r>
          </w:p>
        </w:tc>
      </w:tr>
      <w:tr>
        <w:trPr>
          <w:trHeight w:val="180"/>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from write-down of property, plant and equipment</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8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Non-cash lease expense</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r>
      <w:tr>
        <w:trPr>
          <w:trHeight w:val="180"/>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from equity in unconsolidated joint venture</w:t>
            </w:r>
          </w:p>
        </w:tc>
        <w:tc>
          <w:tcPr>
            <w:tcW w:w="2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r>
      <w:tr>
        <w:trPr>
          <w:trHeight w:val="180"/>
        </w:trPr>
        <w:tc>
          <w:tcPr>
            <w:tcW w:w="8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Remeasurement of equity method investment</w:t>
            </w:r>
          </w:p>
        </w:tc>
        <w:tc>
          <w:tcPr>
            <w:tcW w:w="24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7,480</w:t>
            </w:r>
          </w:p>
        </w:tc>
      </w:tr>
      <w:tr>
        <w:trPr>
          <w:trHeight w:val="180"/>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Accreted interest on convertible notes payable - related party</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Amortization of debt issuance cost- related party</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Commitment fee for SEPA agreement settled by common stock- related party</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fair value, embedded derivative - related party</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 in fair value, warrants liability - related party</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r>
      <w:tr>
        <w:trPr>
          <w:trHeight w:val="180"/>
        </w:trPr>
        <w:tc>
          <w:tcPr>
            <w:tcW w:w="8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r>
      <w:tr>
        <w:trPr>
          <w:trHeight w:val="180"/>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Inventory</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w:t>
            </w:r>
          </w:p>
        </w:tc>
      </w:tr>
      <w:tr>
        <w:trPr>
          <w:trHeight w:val="18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80"/>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Vendor deposits</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(3,221)</w:t>
            </w:r>
          </w:p>
        </w:tc>
      </w:tr>
      <w:tr>
        <w:trPr>
          <w:trHeight w:val="18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Security deposits</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w:t>
            </w:r>
          </w:p>
        </w:tc>
      </w:tr>
      <w:tr>
        <w:trPr>
          <w:trHeight w:val="18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w:t>
            </w:r>
          </w:p>
        </w:tc>
      </w:tr>
      <w:tr>
        <w:trPr>
          <w:trHeight w:val="180"/>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 and accrued expenses - related parties</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(2,517)</w:t>
            </w:r>
          </w:p>
        </w:tc>
      </w:tr>
      <w:tr>
        <w:trPr>
          <w:trHeight w:val="18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firm purchase commitments</w:t>
            </w:r>
          </w:p>
        </w:tc>
        <w:tc>
          <w:tcPr>
            <w:tcW w:w="2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w:t>
            </w:r>
          </w:p>
        </w:tc>
      </w:tr>
      <w:tr>
        <w:trPr>
          <w:trHeight w:val="180"/>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r>
      <w:tr>
        <w:trPr>
          <w:trHeight w:val="18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Contract liabilities</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w:t>
            </w:r>
          </w:p>
        </w:tc>
      </w:tr>
      <w:tr>
        <w:trPr>
          <w:trHeight w:val="180"/>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Note payable</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18,365</w:t>
            </w:r>
          </w:p>
        </w:tc>
      </w:tr>
      <w:tr>
        <w:trPr>
          <w:trHeight w:val="18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customer receivable</w:t>
            </w:r>
          </w:p>
        </w:tc>
        <w:tc>
          <w:tcPr>
            <w:tcW w:w="2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w:t>
            </w:r>
          </w:p>
        </w:tc>
      </w:tr>
      <w:tr>
        <w:trPr>
          <w:trHeight w:val="17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2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(86,992)</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(48,887)</w:t>
            </w:r>
          </w:p>
        </w:tc>
      </w:tr>
      <w:tr>
        <w:trPr>
          <w:trHeight w:val="182"/>
        </w:trPr>
        <w:tc>
          <w:tcPr>
            <w:tcW w:w="8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80"/>
        </w:trPr>
        <w:tc>
          <w:tcPr>
            <w:tcW w:w="8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Investment in notes receivable</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(4,083)</w:t>
            </w:r>
          </w:p>
        </w:tc>
      </w:tr>
      <w:tr>
        <w:trPr>
          <w:trHeight w:val="180"/>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Business acquisition, net of cash acquired</w:t>
            </w:r>
          </w:p>
        </w:tc>
        <w:tc>
          <w:tcPr>
            <w:tcW w:w="2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80"/>
        </w:trPr>
        <w:tc>
          <w:tcPr>
            <w:tcW w:w="8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Investment in joint venture</w:t>
            </w:r>
          </w:p>
        </w:tc>
        <w:tc>
          <w:tcPr>
            <w:tcW w:w="24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r>
      <w:tr>
        <w:trPr>
          <w:trHeight w:val="180"/>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(11,497)</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(7,541)</w:t>
            </w:r>
          </w:p>
        </w:tc>
      </w:tr>
      <w:tr>
        <w:trPr>
          <w:trHeight w:val="17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(11,758)</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STATEMENTS OF CASH FLOWS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 the six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160"/>
        </w:trPr>
        <w:tc>
          <w:tcPr>
            <w:tcW w:w="76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Principal payments on finance (capital) lease obligations</w:t>
            </w: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7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exercise of public warrants</w:t>
            </w: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16,852</w:t>
            </w:r>
          </w:p>
        </w:tc>
        <w:tc>
          <w:tcPr>
            <w:tcW w:w="0" w:type="dxa"/>
            <w:vAlign w:val="bottom"/>
          </w:tcPr>
          <w:p>
            <w:pPr>
              <w:spacing w:after="0"/>
              <w:rPr>
                <w:sz w:val="1"/>
                <w:szCs w:val="1"/>
                <w:color w:val="auto"/>
              </w:rPr>
            </w:pPr>
          </w:p>
        </w:tc>
      </w:tr>
      <w:tr>
        <w:trPr>
          <w:trHeight w:val="180"/>
        </w:trPr>
        <w:tc>
          <w:tcPr>
            <w:tcW w:w="7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issuance of convertible notes - related party, net of issuance cost</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7,225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Issuance of common stock under the SEPA</w:t>
            </w: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Repurchase of shares from employees for income tax withholding purposes</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Repayment of other financing</w:t>
            </w: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80"/>
        </w:trPr>
        <w:tc>
          <w:tcPr>
            <w:tcW w:w="7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Repayment of equipment financing facility</w:t>
            </w:r>
          </w:p>
        </w:tc>
        <w:tc>
          <w:tcPr>
            <w:tcW w:w="4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4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10,584</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17,508</w:t>
            </w:r>
          </w:p>
        </w:tc>
        <w:tc>
          <w:tcPr>
            <w:tcW w:w="0" w:type="dxa"/>
            <w:vAlign w:val="bottom"/>
          </w:tcPr>
          <w:p>
            <w:pPr>
              <w:spacing w:after="0"/>
              <w:rPr>
                <w:sz w:val="1"/>
                <w:szCs w:val="1"/>
                <w:color w:val="auto"/>
              </w:rPr>
            </w:pPr>
          </w:p>
        </w:tc>
      </w:tr>
      <w:tr>
        <w:trPr>
          <w:trHeight w:val="171"/>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exchange rate changes on cash and cash equivalents</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7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cash equivalents and restricted cash</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(88,164)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(47,163)</w:t>
            </w: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beginning of the period</w:t>
            </w:r>
          </w:p>
        </w:tc>
        <w:tc>
          <w:tcPr>
            <w:tcW w:w="4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105,692</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121,853</w:t>
            </w:r>
          </w:p>
        </w:tc>
        <w:tc>
          <w:tcPr>
            <w:tcW w:w="0" w:type="dxa"/>
            <w:vAlign w:val="bottom"/>
          </w:tcPr>
          <w:p>
            <w:pPr>
              <w:spacing w:after="0"/>
              <w:rPr>
                <w:sz w:val="1"/>
                <w:szCs w:val="1"/>
                <w:color w:val="auto"/>
              </w:rPr>
            </w:pPr>
          </w:p>
        </w:tc>
      </w:tr>
      <w:tr>
        <w:trPr>
          <w:trHeight w:val="171"/>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end of the period</w:t>
            </w:r>
          </w:p>
        </w:tc>
        <w:tc>
          <w:tcPr>
            <w:tcW w:w="4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17,528</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74,690</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and unpaid capital expenditures</w:t>
            </w:r>
          </w:p>
        </w:tc>
        <w:tc>
          <w:tcPr>
            <w:tcW w:w="6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Issuance of convertible notes for interest paid in kind</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3,087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Fixed assets acquired with finance lease</w:t>
            </w: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Right-of-use operating lease assets in exchange for lease liabilities</w:t>
            </w:r>
          </w:p>
        </w:tc>
        <w:tc>
          <w:tcPr>
            <w:tcW w:w="6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4,351</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paid for interest</w:t>
            </w:r>
          </w:p>
        </w:tc>
        <w:tc>
          <w:tcPr>
            <w:tcW w:w="6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434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3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following table provides a reconciliation of cash, cash equivalents and restricted cash to amounts reported within the condensed consolidated balance sheets.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6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171"/>
        </w:trPr>
        <w:tc>
          <w:tcPr>
            <w:tcW w:w="7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16,273</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74,690</w:t>
            </w:r>
          </w:p>
        </w:tc>
        <w:tc>
          <w:tcPr>
            <w:tcW w:w="0" w:type="dxa"/>
            <w:vAlign w:val="bottom"/>
          </w:tcPr>
          <w:p>
            <w:pPr>
              <w:spacing w:after="0"/>
              <w:rPr>
                <w:sz w:val="1"/>
                <w:szCs w:val="1"/>
                <w:color w:val="auto"/>
              </w:rPr>
            </w:pPr>
          </w:p>
        </w:tc>
      </w:tr>
      <w:tr>
        <w:trPr>
          <w:trHeight w:val="18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74,690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Nature of Operations and Summary of Significant Accounting Policies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Nature of Operations</w:t>
      </w:r>
    </w:p>
    <w:p>
      <w:pPr>
        <w:spacing w:after="0" w:line="12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Eos Energy Enterprises, Inc. (the “Company” or "Eos") designs, develops, manufactures, and sells innovative energy storage solutions for utility-scale microgrid, and commercial &amp; industrial (“C&amp;I”) applications. Eos has developed a broad range of intellectual property with multiple patents ranging from the unique battery chemistry, mechanical product design, energy block configuration and software operating system (Battery Management System). The Battery Management System (“BMS”) software uses proprietary Eos-developed algorithms and includes ambient and battery temperature sensors, as well as voltage and electrical current sensors for the strings and the system. Eos focuses on developing and selling safe, reliable, long-lasting and low-cost turn-key alternating current (“AC”) integrated systems using Eos’ direct current (“DC”) battery energy storage system. The Company has a manufacturing facility in Turtle Creek, Pennsylvania to produce DC energy blocks with an integrated BMS. The Company’s primary applications focus on integrating battery storage solutions with: (1) renewable energy systems that are connected to the utility power grid; (2) renewable energy systems that are not connected to the utility power grid; (3) energy systems utilized to relieve congestion; and (4) storage systems to assist C&amp;I customers in reducing their peak energy usage or participating in the utilities ancillary and demand response markets. The Company’s major market is North America with opportunistic growth opportunities in Europe, Oceania, Africa, and Asia.</w:t>
      </w:r>
    </w:p>
    <w:p>
      <w:pPr>
        <w:spacing w:after="0" w:line="9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Unless the context otherwise requires, the use of the terms “Eos”, “the Company”, “we,” “us,” and “our” in these notes to the unaudited condensed consolidated financial statements refers to Eos Energy Enterprises, Inc. and its consolidated subsidiaries.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Liquidity and Going Concern</w:t>
      </w:r>
    </w:p>
    <w:p>
      <w:pPr>
        <w:spacing w:after="0" w:line="12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The Company continues to rapidly scale its operations, including deploying capital for capacity expansion to meet the current demand from customers. To date, the Company has had limited revenue generating activities. Accordingly, the Company has incurred significant recurring losses and net operating cash outflows from operations. Operating expenses consist primarily of costs related to the Company’s sales of its battery energy storage system and related services, research and development costs and recurring general and administrative expenses. Management and the Company’s Board of Directors expect the Company will eventually reach a scale of profitability through the sale of battery energy storage systems and other complementary products and services, and therefore, the Company believes the current stage of the Company’s lifecycle justifies continued intensive investment in the development and launch of products. Accordingly, the Company expects to continue to incur significant losses and net operating cash outflows from operations for the foreseeable future and to continue to require additional capital to fund the Company’s operations and obligations as they become due, including funding that is necessary to continue to scale up the Company’s operations to allow for the delivery of order backlog, to secure additional order opportunities for its battery storage systems, and to continue to invest in research and development.</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As of June 30, 2022, the Company had total assets of $97,740, which includes total cash and cash equivalents of $16,273, total liabilities of $155,569, which includes the total amounts owed on the Company’s outstanding convertible notes payable of $84,538 (see Note 14), notes payable of $14,016 (see Note 15) and long-term debt of $5,581 (see Note 16) and a total accumulated deficit of $(519,005), which is primarily attributable to the significant recurring losses the Company has accumulated since inception. The Company has historically relied on outside capital to fund its cost structure and expects this reliance to continue for the foreseeable future until the Company reaches profitability through its planned revenue generating activities. However, as of the date the accompanying condensed consolidated financial statements were issued, management concluded that the Company did not have sufficient capital on hand to support its current cost structure for one year after the date the accompanying condensed consolidated financial statements were issued.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 Nature of Operations and Summary of Significant Accounting Policies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0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previously disclosed, the Company continues its efforts to secure additional financing. In July 2022, the Company secured an $85,106 senior secured term loan credit agreement to fund the Company’s manufacturing capacity, repay an existing outstanding note, and for general corporate purposes. Based on the Company’s current financial projections, which are consistent with previous assessments, the Company will continue to seek additional capital to fund its operations or defer or reduce cash expenditures in the second half of 2022 to continue our operations.</w:t>
      </w:r>
    </w:p>
    <w:p>
      <w:pPr>
        <w:spacing w:after="0" w:line="7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The Company believes these uncertainties raise substantial doubt about the Company’s ability to continue as a going concern. If the Company is unable to raise additional capital, on acceptable terms, or at all, the Company may have to significantly delay, scale back or ultimately discontinue the development or commercialization of its product and/or consider a sale or other strategic transaction. The Company continues to pursue various funding options to raise additional capital to support its operations. As previously reported, the Company has moved through Part I of the application under the U.S. Department of Energy’s Loan Guarantee Solicitation for Applications for Renewable Energy Projects and Efficient Energy Projects (the “DOE Loan Program”), and submitted an application under Part II of the loan program in May 2022. In addition, on April 28, 2022, the Company entered into a $200,000 common stock standby equity purchase agreement (the “Original SEPA”) with an affiliate of Yorkville Advisors (“Yorkville”), which was subsequently amended on June 13, 2022 (the “Amendment” and, together with the Original SEPA, the “SEPA”) (see Note 12). There can be no assurance that the Company will successfully complete Part II of the DOE Loan Program or that the Company will be able to utilize the SEPA to its full $200,000 capacity, or otherwise be able to obtain new funding from other sources on terms acceptable to us, on a timely basis, or at all.</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have been prepared on the basis that we will continue to operate as a going-concern, which contemplates we will be able to realize assets and settle liabilities and commitments in the normal course of business for the foreseeable future. The accompanying condensed consolidated financial statements do not include any adjustments that may result from the outcome of these uncertainties.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1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include the accounts of the Company and its 100% owned, direct and indirect subsidiaries and have been prepared in accordance with U.S. generally accepted accounting principles (“GAAP”). All intercompany transactions and balances have been eliminated in the preparation of the condensed consolidated financial statements. These statements reflect all adjustments, consisting of normal recurring adjustments, which, in the opinion of management, are necessary for fair presentation of the information contained therein. Certain information and footnote disclosures normally included in financial statements prepared in accordance with GAAP have been condensed or omitted pursuant to the rules and regulations of the U.S. Securities and Exchange Commission (“SEC”). These unaudited condensed consolidated financial statements should be read in conjunction with the audited consolidated financial statements, and the notes thereto, included in the Company’s Annual Report on Form 10-K for the year ended December 31, 2021. These interim results are not necessarily indicative of results for the full year.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Reclassification </w:t>
      </w:r>
      <w:r>
        <w:rPr>
          <w:rFonts w:ascii="Arial" w:cs="Arial" w:eastAsia="Arial" w:hAnsi="Arial"/>
          <w:sz w:val="14"/>
          <w:szCs w:val="14"/>
          <w:i w:val="1"/>
          <w:iCs w:val="1"/>
          <w:color w:val="auto"/>
        </w:rPr>
        <w:t>o</w:t>
      </w:r>
      <w:r>
        <w:rPr>
          <w:rFonts w:ascii="Times New Roman" w:cs="Times New Roman" w:eastAsia="Times New Roman" w:hAnsi="Times New Roman"/>
          <w:sz w:val="14"/>
          <w:szCs w:val="14"/>
          <w:i w:val="1"/>
          <w:iCs w:val="1"/>
          <w:color w:val="auto"/>
        </w:rPr>
        <w:t>f Prior Year Presentation</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Certain prior year amounts have been reclassified for consistency with the current year presentation. These reclassifications had no effect on the reported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 Nature of Operations and Summary of Significant Accounting Policies </w:t>
      </w:r>
      <w:r>
        <w:rPr>
          <w:rFonts w:ascii="Times New Roman" w:cs="Times New Roman" w:eastAsia="Times New Roman" w:hAnsi="Times New Roman"/>
          <w:sz w:val="14"/>
          <w:szCs w:val="14"/>
          <w:color w:val="auto"/>
        </w:rPr>
        <w:t>(cont.)</w:t>
      </w:r>
    </w:p>
    <w:p>
      <w:pPr>
        <w:spacing w:after="0" w:line="39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 xml:space="preserve">We follow the provisions of ASC 830, </w:t>
      </w:r>
      <w:r>
        <w:rPr>
          <w:rFonts w:ascii="Times New Roman" w:cs="Times New Roman" w:eastAsia="Times New Roman" w:hAnsi="Times New Roman"/>
          <w:sz w:val="14"/>
          <w:szCs w:val="14"/>
          <w:i w:val="1"/>
          <w:iCs w:val="1"/>
          <w:color w:val="auto"/>
        </w:rPr>
        <w:t>Foreign Currency Matters</w:t>
      </w:r>
      <w:r>
        <w:rPr>
          <w:rFonts w:ascii="Times New Roman" w:cs="Times New Roman" w:eastAsia="Times New Roman" w:hAnsi="Times New Roman"/>
          <w:sz w:val="14"/>
          <w:szCs w:val="14"/>
          <w:color w:val="auto"/>
        </w:rPr>
        <w:t>. Our foreign subsidiaries use the local currency of their respective countries as their functional currency. The assets and liabilities of foreign operations are translated at the exchange rates in effect at the balance sheet date. The operating results of foreign operations are translated at weighted average exchange rates. The related translation gains or losses are reported as a separate component of shareholders’ equity (deficit) in accumulated other comprehensive loss. Gains and losses from foreign currency transactions, which were insignificant for the three and six months ended June 30, 2022 and 2021, are included as other income (expense) in the condensed consolidated statements of operations and comprehensive loss.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Adopted Accounting Pronouncements</w:t>
      </w:r>
    </w:p>
    <w:p>
      <w:pPr>
        <w:spacing w:after="0" w:line="11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color w:val="auto"/>
        </w:rPr>
        <w:t xml:space="preserve">On January 1, 2021, the Company adopted ASU 2016-02,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(“Topic 842”), using the transition method introduced by ASU 2018-11, which does not require revisions to comparative periods. The adoption of the new standard resulted in the recording of lease assets and lease liabilities of $3,662 and $4,465, respectively, as of January 1, 2021. The difference between the lease assets and lease liabilities primarily relates to deferred rent recorded in accordance with the previous leasing guidance. The new standard did not materially impact our condensed consolidated statements of operations or statements of cash flows.</w:t>
      </w:r>
    </w:p>
    <w:p>
      <w:pPr>
        <w:spacing w:after="0" w:line="8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color w:val="auto"/>
        </w:rPr>
        <w:t xml:space="preserve">On January 1, 2021, the Company adopted ASU No. 2016-13, </w:t>
      </w:r>
      <w:r>
        <w:rPr>
          <w:rFonts w:ascii="Times New Roman" w:cs="Times New Roman" w:eastAsia="Times New Roman" w:hAnsi="Times New Roman"/>
          <w:sz w:val="14"/>
          <w:szCs w:val="14"/>
          <w:i w:val="1"/>
          <w:iCs w:val="1"/>
          <w:color w:val="auto"/>
        </w:rPr>
        <w:t>Financial Instruments-Credit Losses</w:t>
      </w:r>
      <w:r>
        <w:rPr>
          <w:rFonts w:ascii="Times New Roman" w:cs="Times New Roman" w:eastAsia="Times New Roman" w:hAnsi="Times New Roman"/>
          <w:sz w:val="14"/>
          <w:szCs w:val="14"/>
          <w:color w:val="auto"/>
        </w:rPr>
        <w:t xml:space="preserve"> (“Topic 326”), and the subsequent amendments. The standard sets forth an expected credit loss model which requires the measurement of expected credit losses for financial instruments based on historical experience, current conditions and reasonable and supportable forecasts. This replaces the existing incurred loss model and is applicable to the measurement of credit losses on financial assets measured at amortized cost, and certain off-balance sheet credit exposures. The adoption of this standard did not have a material impact on our condensed consolidated financial statements.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 Accounting Pronouncements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June 30, 2022, the Company implemented all applicable new accounting standards and updates issued by the Financial Accounting Standards Board (“FASB”) that were in effect.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new standards or updates adopted during the six months ended June 30, 2022 that had a material impact on our condensed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Acquisition</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As previously reported, on April 8, 2021, the Company entered into a unit purchase agreement (the “Purchase Agreement”) with Holtec Power, Inc. (“Holtec”), in accordance with the terms and conditions of which the Company purchased from Holtec the remaining 51% interest in HI-POWER, LLC (“Hi-Power”) that was not already owned by the Company. Hi-Power was incorporated as a joint venture between the Company and Holtec in 2019 (see Note 7). In connection with the transaction, the Company also entered into a transition services agreement and a sublease with Holtec. The transaction closed on April 9, 2021 (“Acquisition Date”). Following the consummation of the transactions set forth in the Purchase Agreement (the “Transactions”), Hi-Power became a 100% indirect, wholly-owned subsidiary of the Company and the obligations of the parties under the Hi-Power joint venture terminated.</w:t>
      </w:r>
    </w:p>
    <w:p>
      <w:pPr>
        <w:spacing w:after="0" w:line="90"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Purchase Agreement provided that the Company pay an aggregate purchase price of $25,000 for Holtec’s 51% interest in Hi-Power, pursuant to the following schedule: $5,000 on each of May 31, 2021, May 31, 2022, May 31, 2023, May 31, 2024, and May 31, 2025, evidenced by a secured promissory note secured by the assets of the Company. The Purchase Agreement also required that the Company pay to Holtec, on the closing of the Transactions, an amount in cash equal to $10,283. Payments to Holtec under this Purchase Agreement totaled $35,283. The fair value of these payments was $33,474 at the Acquisition Date and included $32,750 allocated to the termination of a pre-existing agreement with Holtec and $724 allocated to the acquisition.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 Acquisition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obligations and rights of both parties under the pre-existing Joint Venture Agreement were terminated at the time of acquisition and $32,750 of the fair value of the consideration transferred was allocated to the termination of the agreement, which resulted in a loss on the pre-existing agreement of $22,516 and $30,368 for the three and six months ended June 30, 2021, respectively. The Company paid $10,283 on the date of closing and $5,000 on each of May 31, 2021 and May 31, 2022. The present value of the remaining obligation was recorded as debt, which includes a current portion of $4,839 and a long-term portion of $9,177 as of June 30, 2022.</w:t>
      </w:r>
    </w:p>
    <w:p>
      <w:pPr>
        <w:spacing w:after="0" w:line="7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Prior to the acquisition of the remaining 51% ownership interest in Hi-Power, the Company accounted for its initial 49% ownership interest in Hi-Power as an unconsolidated joint venture under the equity method of accounting (see Note 7). In connection with the acquisition of the remaining 51% ownership interest in Hi-Power, the Company’s condensed consolidated financial statements include all of the accounts of Hi-Power, and all intercompany balances and transactions have been eliminated in consolidation. The results of operations of Hi-Power have been included in the Company’s condensed consolidated financial statements since the date of acquisition.</w:t>
      </w:r>
    </w:p>
    <w:p>
      <w:pPr>
        <w:spacing w:after="0" w:line="8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The consideration transferred for the 100% ownership interest in connection with the acquisition, net of intercompany balances between the Company and Hi-Power, totaled $418, of which $205 represents the fair value of the Company’s previously held 49% ownership interest in Hi-Power. In accordance with Accounting Standards Codification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we remeasured the previously held 49% ownership interest in Hi-Power at its acquisition date fair value. As of the acquisition date, a loss of $7,480 was recognized in earnings for the remeasurement of the previously held 49% ownership interest.</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final allocation of the purchase price to the fair values of the assets acquired and liabilities assumed as of the Acquisition Date.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jc w:val="right"/>
              <w:ind w:right="126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Inventory</w:t>
            </w:r>
          </w:p>
        </w:tc>
        <w:tc>
          <w:tcPr>
            <w:tcW w:w="72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w:t>
            </w:r>
          </w:p>
        </w:tc>
      </w:tr>
      <w:tr>
        <w:trPr>
          <w:trHeight w:val="180"/>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Vendor deposits</w:t>
            </w:r>
          </w:p>
        </w:tc>
        <w:tc>
          <w:tcPr>
            <w:tcW w:w="720" w:type="dxa"/>
            <w:vAlign w:val="bottom"/>
          </w:tcPr>
          <w:p>
            <w:pPr>
              <w:spacing w:after="0"/>
              <w:rPr>
                <w:sz w:val="15"/>
                <w:szCs w:val="15"/>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r>
      <w:tr>
        <w:trPr>
          <w:trHeight w:val="18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720" w:type="dxa"/>
            <w:vAlign w:val="bottom"/>
            <w:shd w:val="clear" w:color="auto" w:fill="CCEEFF"/>
          </w:tcPr>
          <w:p>
            <w:pPr>
              <w:spacing w:after="0"/>
              <w:rPr>
                <w:sz w:val="15"/>
                <w:szCs w:val="15"/>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80"/>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720" w:type="dxa"/>
            <w:vAlign w:val="bottom"/>
          </w:tcPr>
          <w:p>
            <w:pPr>
              <w:spacing w:after="0"/>
              <w:rPr>
                <w:sz w:val="15"/>
                <w:szCs w:val="15"/>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4,331</w:t>
            </w:r>
          </w:p>
        </w:tc>
      </w:tr>
      <w:tr>
        <w:trPr>
          <w:trHeight w:val="18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720" w:type="dxa"/>
            <w:vAlign w:val="bottom"/>
            <w:shd w:val="clear" w:color="auto" w:fill="CCEEFF"/>
          </w:tcPr>
          <w:p>
            <w:pPr>
              <w:spacing w:after="0"/>
              <w:rPr>
                <w:sz w:val="15"/>
                <w:szCs w:val="15"/>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(3,634)</w:t>
            </w:r>
          </w:p>
        </w:tc>
      </w:tr>
      <w:tr>
        <w:trPr>
          <w:trHeight w:val="18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firm purchase commitments</w:t>
            </w:r>
          </w:p>
        </w:tc>
        <w:tc>
          <w:tcPr>
            <w:tcW w:w="7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(3,890)</w:t>
            </w:r>
          </w:p>
        </w:tc>
      </w:tr>
      <w:tr>
        <w:trPr>
          <w:trHeight w:val="196"/>
        </w:trPr>
        <w:tc>
          <w:tcPr>
            <w:tcW w:w="8120" w:type="dxa"/>
            <w:vAlign w:val="bottom"/>
            <w:tcBorders>
              <w:bottom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Net assets acquired, net of cash and cash equivalents of $53 </w:t>
            </w:r>
            <w:r>
              <w:rPr>
                <w:rFonts w:ascii="Times New Roman" w:cs="Times New Roman" w:eastAsia="Times New Roman" w:hAnsi="Times New Roman"/>
                <w:sz w:val="18"/>
                <w:szCs w:val="18"/>
                <w:color w:val="auto"/>
                <w:vertAlign w:val="superscript"/>
              </w:rPr>
              <w:t>1</w:t>
            </w:r>
          </w:p>
        </w:tc>
        <w:tc>
          <w:tcPr>
            <w:tcW w:w="720" w:type="dxa"/>
            <w:vAlign w:val="bottom"/>
            <w:tcBorders>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expects the goodwill recognized as part of the acquisition will be deductible for U.S. income tax purposes. The Company also incurred insignificant non-consideration acquisition expenses including legal and accounting services related to the acquisition, which are recorded in selling, general and administrative expenses on the Company’s condensed consolidated statements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Revenue Recognition</w:t>
      </w:r>
    </w:p>
    <w:p>
      <w:pPr>
        <w:spacing w:after="0" w:line="14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primarily earns revenue from sales of its energy storage systems and services including installation, commissioning, and extended warranty services. Product revenues, which are recognized at a point in time, and service revenues, which are recognized over time,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134747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00" w:lineRule="exact"/>
        <w:rPr>
          <w:sz w:val="20"/>
          <w:szCs w:val="20"/>
          <w:color w:val="auto"/>
        </w:rPr>
      </w:pPr>
    </w:p>
    <w:p>
      <w:pPr>
        <w:ind w:left="5580" w:right="5440" w:hanging="5575"/>
        <w:spacing w:after="0" w:line="846" w:lineRule="auto"/>
        <w:tabs>
          <w:tab w:leader="none" w:pos="120" w:val="left"/>
        </w:tabs>
        <w:numPr>
          <w:ilvl w:val="0"/>
          <w:numId w:val="3"/>
        </w:numPr>
        <w:rPr>
          <w:rFonts w:ascii="Arial" w:cs="Arial" w:eastAsia="Arial" w:hAnsi="Arial"/>
          <w:sz w:val="22"/>
          <w:szCs w:val="22"/>
          <w:color w:val="auto"/>
          <w:vertAlign w:val="superscript"/>
        </w:rPr>
      </w:pPr>
      <w:r>
        <w:rPr>
          <w:rFonts w:ascii="Times New Roman" w:cs="Times New Roman" w:eastAsia="Times New Roman" w:hAnsi="Times New Roman"/>
          <w:sz w:val="14"/>
          <w:szCs w:val="14"/>
          <w:color w:val="auto"/>
        </w:rPr>
        <w:t>Net assets acquired exclude the intercompany balance between Eos and Hi-Power and cash acquired.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-363220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 Revenue Recognition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320"/>
        </w:trPr>
        <w:tc>
          <w:tcPr>
            <w:tcW w:w="46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Pr>
          <w:p>
            <w:pPr>
              <w:spacing w:after="0"/>
              <w:rPr>
                <w:sz w:val="24"/>
                <w:szCs w:val="24"/>
                <w:color w:val="auto"/>
              </w:rPr>
            </w:pPr>
          </w:p>
        </w:tc>
        <w:tc>
          <w:tcPr>
            <w:tcW w:w="13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71"/>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revenue</w:t>
            </w:r>
          </w:p>
        </w:tc>
        <w:tc>
          <w:tcPr>
            <w:tcW w:w="1220" w:type="dxa"/>
            <w:vAlign w:val="bottom"/>
            <w:tcBorders>
              <w:top w:val="single" w:sz="8" w:color="auto"/>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5,771</w:t>
            </w:r>
          </w:p>
        </w:tc>
        <w:tc>
          <w:tcPr>
            <w:tcW w:w="8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r>
      <w:tr>
        <w:trPr>
          <w:trHeight w:val="18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Service revenue</w:t>
            </w:r>
          </w:p>
        </w:tc>
        <w:tc>
          <w:tcPr>
            <w:tcW w:w="1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6"/>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20" w:type="dxa"/>
            <w:vAlign w:val="bottom"/>
            <w:tcBorders>
              <w:bottom w:val="single" w:sz="8" w:color="auto"/>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5,895</w:t>
            </w:r>
          </w:p>
        </w:tc>
        <w:tc>
          <w:tcPr>
            <w:tcW w:w="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For contracts for which revenue is recognized over time, the Company performs reviews of the progress and execution of its performance obligations under these contracts periodically. As part of this process, management reviews information including, but not limited to, any outstanding key contract matters, progress towards completion and the related program schedule, identified risks and opportunities and the related changes in estimates of revenues and costs. Based upon these reviews, if at any time management determines that in the case of a particular contract total costs will exceed total contract revenue, a provision for the entire anticipated contract loss is recorded at that time. The Company recognized losses from contracts of $1,249 for the three and six months ended June 30, 2022, respectively. No loss was recognized for the three and six months ended June 30, 2021.</w:t>
      </w:r>
    </w:p>
    <w:p>
      <w:pPr>
        <w:spacing w:after="0" w:line="12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For the three months ended June 30, 2022, we had one customer who accounted for 89.6% of the total revenue and for the six months ended June 30, 2022, we had two customers who accounted for 73.1% and 12.7% of the total revenue, respectively.</w:t>
      </w:r>
    </w:p>
    <w:p>
      <w:pPr>
        <w:spacing w:after="0" w:line="9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For the three months ended June 30, 2021, we had one customer who accounted for 100% of the total revenue and for the six months ended June 30, 2021, we had two customers who accounted for 78.8% and 21.2% of the total revenue,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assets and Contract liabilities</w:t>
      </w:r>
    </w:p>
    <w:p>
      <w:pPr>
        <w:spacing w:after="0" w:line="12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provides information about contract assets and contract liabilities from contracts with customers. Contract assets are included in other current assets and contract liabilities are included separately on the condensed consolidated balance sheets.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77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assets</w:t>
            </w:r>
          </w:p>
        </w:tc>
        <w:tc>
          <w:tcPr>
            <w:tcW w:w="1180" w:type="dxa"/>
            <w:vAlign w:val="bottom"/>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w:t>
            </w:r>
          </w:p>
        </w:tc>
      </w:tr>
      <w:tr>
        <w:trPr>
          <w:trHeight w:val="184"/>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118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1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r>
    </w:tbl>
    <w:p>
      <w:pPr>
        <w:spacing w:after="0" w:line="19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recognizes contract assets for certain contracts in which revenue recognition performance obligations have been satisfied, however, invoicing to the customer has not yet occurred. Contract liabilities primarily relate to advance consideration received from customers in advance of the Company’s satisfying performance obligations under contractual arrangements. Contract balances are reported in a net contract asset or liability position on a contract-by-contract basis at the end of each reporting period.</w:t>
      </w:r>
    </w:p>
    <w:p>
      <w:pPr>
        <w:spacing w:after="0" w:line="11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Contract assets decreased by $431 during the six months ended June 30, 2022 due to reclassifications to accounts receivable from billings on existing contracts. Contract liabilities increased by $906 during the six months ended June 30, 2022, reflecting $1,159 in customer billings, which were not recognized as revenue during the period, offset by the recognition of $253 of revenue during the six months ended June 30, 2022 that was included in the contract liability balance at the beginning of the period.</w:t>
      </w:r>
    </w:p>
    <w:p>
      <w:pPr>
        <w:spacing w:after="0" w:line="10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Contract liabilities of $879 as of June 30, 2022 are expected to be recognized within the next twelve months. $876 of long-term contract liabilities are expected to be recognized as revenue over approximately the next two years.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 Inventory</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52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The following table provides information about inventory balances: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4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1600" w:type="dxa"/>
            <w:vAlign w:val="bottom"/>
            <w:gridSpan w:val="2"/>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10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12,429</w:t>
            </w:r>
          </w:p>
        </w:tc>
        <w:tc>
          <w:tcPr>
            <w:tcW w:w="10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right"/>
              <w:ind w:right="13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11,898</w:t>
            </w:r>
          </w:p>
        </w:tc>
        <w:tc>
          <w:tcPr>
            <w:tcW w:w="0" w:type="dxa"/>
            <w:vAlign w:val="bottom"/>
          </w:tcPr>
          <w:p>
            <w:pPr>
              <w:spacing w:after="0"/>
              <w:rPr>
                <w:sz w:val="1"/>
                <w:szCs w:val="1"/>
                <w:color w:val="auto"/>
              </w:rPr>
            </w:pPr>
          </w:p>
        </w:tc>
      </w:tr>
      <w:tr>
        <w:trPr>
          <w:trHeight w:val="18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Work-in-process</w:t>
            </w: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0" w:type="dxa"/>
            <w:vAlign w:val="bottom"/>
          </w:tcPr>
          <w:p>
            <w:pPr>
              <w:spacing w:after="0"/>
              <w:rPr>
                <w:sz w:val="1"/>
                <w:szCs w:val="1"/>
                <w:color w:val="auto"/>
              </w:rPr>
            </w:pPr>
          </w:p>
        </w:tc>
      </w:tr>
      <w:tr>
        <w:trPr>
          <w:trHeight w:val="171"/>
        </w:trPr>
        <w:tc>
          <w:tcPr>
            <w:tcW w:w="4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Inventory, net</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12,941</w:t>
            </w:r>
          </w:p>
        </w:tc>
        <w:tc>
          <w:tcPr>
            <w:tcW w:w="100" w:type="dxa"/>
            <w:vAlign w:val="bottom"/>
          </w:tcPr>
          <w:p>
            <w:pPr>
              <w:spacing w:after="0"/>
              <w:rPr>
                <w:sz w:val="14"/>
                <w:szCs w:val="14"/>
                <w:color w:val="auto"/>
              </w:rPr>
            </w:pPr>
          </w:p>
        </w:tc>
        <w:tc>
          <w:tcPr>
            <w:tcW w:w="1500" w:type="dxa"/>
            <w:vAlign w:val="bottom"/>
            <w:tcBorders>
              <w:bottom w:val="single" w:sz="8" w:color="auto"/>
            </w:tcBorders>
          </w:tcPr>
          <w:p>
            <w:pPr>
              <w:jc w:val="right"/>
              <w:ind w:right="13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12,976</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5. Property, Plant and Equipment, Net</w:t>
            </w: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42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92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As of June 30, 2022 and December 31, 2021, property, plant and equipment, net consisted of the following:</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2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w:t>
            </w:r>
          </w:p>
        </w:tc>
        <w:tc>
          <w:tcPr>
            <w:tcW w:w="10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20,071</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13,489</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10 years</w:t>
            </w: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5 years</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10 years</w:t>
            </w: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4,114</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2,933</w:t>
            </w:r>
          </w:p>
        </w:tc>
        <w:tc>
          <w:tcPr>
            <w:tcW w:w="100" w:type="dxa"/>
            <w:vAlign w:val="bottom"/>
          </w:tcPr>
          <w:p>
            <w:pPr>
              <w:spacing w:after="0"/>
              <w:rPr>
                <w:sz w:val="15"/>
                <w:szCs w:val="15"/>
                <w:color w:val="auto"/>
              </w:rPr>
            </w:pPr>
          </w:p>
        </w:tc>
        <w:tc>
          <w:tcPr>
            <w:tcW w:w="3180" w:type="dxa"/>
            <w:vAlign w:val="bottom"/>
            <w:gridSpan w:val="4"/>
          </w:tcPr>
          <w:p>
            <w:pPr>
              <w:jc w:val="right"/>
              <w:ind w:right="229"/>
              <w:spacing w:after="0"/>
              <w:rPr>
                <w:sz w:val="20"/>
                <w:szCs w:val="20"/>
                <w:color w:val="auto"/>
              </w:rPr>
            </w:pPr>
            <w:r>
              <w:rPr>
                <w:rFonts w:ascii="Times New Roman" w:cs="Times New Roman" w:eastAsia="Times New Roman" w:hAnsi="Times New Roman"/>
                <w:sz w:val="14"/>
                <w:szCs w:val="14"/>
                <w:color w:val="auto"/>
              </w:rPr>
              <w:t>Lesser of useful life/remaining lease</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Tooling</w:t>
            </w:r>
          </w:p>
        </w:tc>
        <w:tc>
          <w:tcPr>
            <w:tcW w:w="10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3,385</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 years</w:t>
            </w: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29,262</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20,509</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0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(8,270)</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(7,619)</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Property, Plant and Equipment, net</w:t>
            </w:r>
          </w:p>
        </w:tc>
        <w:tc>
          <w:tcPr>
            <w:tcW w:w="104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20,992</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12,890</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Depreciation and amortization expense related to property, plant and equipment was $1,261 and $602 for the three months ended June 30, 2022 and 2021, respectively, and $2,246 and $1,077 for the six months ended June 30, 2022 and 2021, respectively.</w:t>
      </w:r>
    </w:p>
    <w:p>
      <w:pPr>
        <w:spacing w:after="0" w:line="9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For the three and six months ended June 30, 2022, the Company recorded a loss from write-down of property, plant and equipment of $1,997 and $2,005, respectively. For the three and six months ended June 30, 2021, the loss from write-down of property, plant and equipment was $— and $11,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Intangible Assets</w:t>
      </w:r>
    </w:p>
    <w:p>
      <w:pPr>
        <w:spacing w:after="0" w:line="14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Intangible assets consist of various patents valued at $400, which represents the cost to acquire the patents. These patents are determined to have useful lives and are amortized into the results of operations over ten years. The company recorded amortization expense of $10 for each period for the three months ended June 30, 2022 and 2021, respectively, and $20 for each period for the six months ended June 30, 2022 and 2021 related to patents, respectively.</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Estimated future amortization expense of intangible assets as of June 30, 2022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Remainder of 2022</w:t>
            </w:r>
          </w:p>
        </w:tc>
        <w:tc>
          <w:tcPr>
            <w:tcW w:w="7040" w:type="dxa"/>
            <w:vAlign w:val="bottom"/>
            <w:gridSpan w:val="2"/>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0"/>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63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3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bottom w:val="single" w:sz="8" w:color="CCEEFF"/>
            </w:tcBorders>
            <w:vMerge w:val="restart"/>
          </w:tcPr>
          <w:p>
            <w:pPr>
              <w:jc w:val="right"/>
              <w:ind w:right="3929"/>
              <w:spacing w:after="0"/>
              <w:rPr>
                <w:sz w:val="20"/>
                <w:szCs w:val="20"/>
                <w:color w:val="auto"/>
              </w:rPr>
            </w:pPr>
            <w:r>
              <w:rPr>
                <w:rFonts w:ascii="Times New Roman" w:cs="Times New Roman" w:eastAsia="Times New Roman" w:hAnsi="Times New Roman"/>
                <w:sz w:val="14"/>
                <w:szCs w:val="14"/>
                <w:color w:val="auto"/>
              </w:rPr>
              <w:t>14</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60" w:type="dxa"/>
            <w:vAlign w:val="bottom"/>
          </w:tcPr>
          <w:p>
            <w:pPr>
              <w:spacing w:after="0"/>
              <w:rPr>
                <w:sz w:val="24"/>
                <w:szCs w:val="24"/>
                <w:color w:val="auto"/>
              </w:rPr>
            </w:pPr>
          </w:p>
        </w:tc>
        <w:tc>
          <w:tcPr>
            <w:tcW w:w="63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360" w:type="dxa"/>
            <w:vAlign w:val="bottom"/>
            <w:tcBorders>
              <w:bottom w:val="single" w:sz="8" w:color="9A9A9A"/>
            </w:tcBorders>
          </w:tcPr>
          <w:p>
            <w:pPr>
              <w:spacing w:after="0"/>
              <w:rPr>
                <w:sz w:val="7"/>
                <w:szCs w:val="7"/>
                <w:color w:val="auto"/>
              </w:rPr>
            </w:pPr>
          </w:p>
        </w:tc>
        <w:tc>
          <w:tcPr>
            <w:tcW w:w="63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Investment in Unconsolidated Joint Venture</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August 2019, the Company entered into an agreement with Holtec to form the unconsolidated joint venture HI-POWER LLC (“Hi-Power” or “JV”). The JV was formed in order to manufacture the Company’s products for its projects in North America. Accordingly, the Company had purchased battery energy storage systems and spare parts from the JV. The facility is located in Turtle Creek, Pennsylvania. The Company’s financial commitment to the JV upon inception was $4,100 in the form of a combination of cash and special purpose manufacturing equipment. The Company’s initial ownership interest was 49%. On April 9, 2021, the Company acquired the remaining 51% ownership interest and Hi-Power became a wholly-owned subsidiary thereafter. Refer to Note 2 for the acquisition details.</w:t>
      </w:r>
    </w:p>
    <w:p>
      <w:pPr>
        <w:spacing w:after="0" w:line="8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For the three and six months ended June 30, 2021, contributions made to the JV were $— and $4,000, respectively. The investment income recognized from the unconsolidated joint venture under the equity method of accounting was $— and $440 for the three and six months ended June 30, 2021,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Notes Receivable, Net and Variable Interest Entities (“VIEs”) Consideration</w:t>
      </w:r>
    </w:p>
    <w:p>
      <w:pPr>
        <w:spacing w:after="0" w:line="191"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Notes receivable consist primarily of amounts due to us related to the financing we offered to customers. We report notes receivable at the principal balance outstanding less an allowance for losses. The estimate of credit losses is based on historical trends, customers’ financial condition and current economic trends, all of which are subject to change. We charge interest at a fixed rate and interest income is calculated by applying the effective rate to the outstanding principal balance.</w:t>
      </w:r>
    </w:p>
    <w:p>
      <w:pPr>
        <w:spacing w:after="0" w:line="13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had notes receivable of $3,855 and $3,650 outstanding as of June 30, 2022 and December 31, 2021, respectively. As of June 30, 2022 and December 31, 2021, the Company recorded an allowance for expected credit loss from the notes receivable of $7 and $6, respectively.</w:t>
      </w:r>
    </w:p>
    <w:p>
      <w:pPr>
        <w:spacing w:after="0" w:line="9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 xml:space="preserve">The customers to whom we offer financing through notes receivables are VIEs. However, the Company is not the primary beneficiary, because we do not have power to direct the activities of the VIEs that most significantly impact the VIEs’ economic performance. The VIEs are not consolidated into the Company’s consolidated financial statements but rather disclosed in the notes to our consolidated financial statements under ASC 810, </w:t>
      </w:r>
      <w:r>
        <w:rPr>
          <w:rFonts w:ascii="Times New Roman" w:cs="Times New Roman" w:eastAsia="Times New Roman" w:hAnsi="Times New Roman"/>
          <w:sz w:val="14"/>
          <w:szCs w:val="14"/>
          <w:i w:val="1"/>
          <w:iCs w:val="1"/>
          <w:color w:val="auto"/>
        </w:rPr>
        <w:t>Consolidation.</w:t>
      </w:r>
      <w:r>
        <w:rPr>
          <w:rFonts w:ascii="Times New Roman" w:cs="Times New Roman" w:eastAsia="Times New Roman" w:hAnsi="Times New Roman"/>
          <w:sz w:val="14"/>
          <w:szCs w:val="14"/>
          <w:color w:val="auto"/>
        </w:rPr>
        <w:t xml:space="preserve"> The maximum loss exposure is limited to the carrying value of notes receivable as of the balances sheet dates.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Commitments and Contingencies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 Commitments</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has lease commitments under lease agreements. Refer to Note 19 for discussion.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Firm Purchase Commitment</w:t>
      </w:r>
    </w:p>
    <w:p>
      <w:pPr>
        <w:spacing w:after="0" w:line="12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To ensure adequate and timely supply of raw material for production, the Company, from time to time, enters into non-cancellable purchase and service contracts with vendors. As of June 30, 2022, the Company had open inventory purchase commitments of $173 under these contracts.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Minimum Volume Commitment</w:t>
      </w:r>
    </w:p>
    <w:p>
      <w:pPr>
        <w:spacing w:after="0" w:line="11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June 2022, the Company entered into a long-term supply agreement with a minimum volume commitment with a third party, which provides services to process certain raw materials. Any purchase order issued under this supply agreement will be non-cancellable. To the extent the Company fails to order the guaranteed minimum volume defined in the contract at the end of the term, the Company is required to pay the counterparty an amount equal to the shortfall, if any, multiplied by a fee. As of June 30, 2022, the Company had an open purchase commitment of $232 under this agreement. The Company believes that the probability of failing to meet the minimum volume commitment is remote and no shortfall penalty has been accrued for.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Legal Proceedings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9. Commitments and Contingencies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0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On July 7, 2022, the Company entered into a settlement agreement with the U.S. Department of Justice (the “DOJ”) and Vincent Icolari (“Relator”) to resolve the previously disclosed investigation by the DOJ for underpayment of certain custom duties in past years in connection with imports of batteries and battery components manufactured abroad. The investigation resulted from a qui tam lawsuit (the “Civil Action”) filed by the Relator in December 2019 alleging violations of the False Claims Act.</w:t>
      </w:r>
    </w:p>
    <w:p>
      <w:pPr>
        <w:spacing w:after="0" w:line="15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Pursuant to the terms of the settlement agreement, the Company has agreed to pay a total of $1,017 to the United States Department of Justice and $70 to Relator’s counsel. Upon receipt of such payments, the DOJ and the Relator have agreed to release the Company from civil monetary and administrative claims under the False Claims Act and the Relator has agreed to release the Company from any claims related to the Civil Action. The Company had estimated the settlement amount and accrued it in the previously filed financial statement and the settlement amount and legal fees were included in accrued expenses on the condensed consolidated balance sheets as of June 30, 2022.</w:t>
      </w:r>
    </w:p>
    <w:p>
      <w:pPr>
        <w:spacing w:after="0" w:line="7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April 2022, the Company received a subpoena from the U.S. Securities and Exchange Commission requesting information regarding a variety of matters, including negotiations and agreements with customers and the Company’s disclosures to investors. The Company is fully cooperating with the investigation, which is at an early stage, and is endeavoring to address all inquiries raised by the SEC staff as expeditiously as possible.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Grant Expense, Net</w:t>
      </w:r>
    </w:p>
    <w:p>
      <w:pPr>
        <w:spacing w:after="0" w:line="11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From time-to-time, the Company has entered into grant agreements with the California Energy Commission (“CEC”) for conducting studies to demonstrate the benefits of certain energy-saving technologies to utility companies and consumers in the State of California. Under such agreements, the Company is entitled to receive reimbursement of costs incurred by the Company covered by the grants.</w:t>
      </w:r>
    </w:p>
    <w:p>
      <w:pPr>
        <w:spacing w:after="0" w:line="8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For the three and six months ended June 30, 2022, grant (income) expense, net was $(169) and $4, respectively. For the three and six months ended June 30, 2021, grant (income) expense, net was $(52) and $(44), respectively.</w:t>
      </w:r>
    </w:p>
    <w:p>
      <w:pPr>
        <w:spacing w:after="0" w:line="9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For the three and six months ended of June 30, 2022 and 2021, Eos has received no payments from the CEC. As of June 30, 2022 and December 31, 2021, the Company had grant receivables in the amounts of $1,250 and $1,020 which were included in other current assets, and deferred grant income of $183 and $—, which was included in accrued expenses on the condensed consolidated balance sheets, respectively. The expenses incurred by the Company related to the performance of studies in accordance with the respective grant agreements are offset, against the grants revenue received or receivable from the CEC for which the grant is intended to compensate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Income Taxes</w:t>
      </w:r>
    </w:p>
    <w:p>
      <w:pPr>
        <w:spacing w:after="0" w:line="11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For the three and six months ended June 30, 2022, the reported income tax benefit was $23 and $65, respectively. No income tax benefit or expense was recorded for the three and six months ended June 30, 2021. The income tax benefit differs from the amount computed by applying the statutory U.S. federal income tax rate of 21% to the loss before income taxes due to non-taxable gains, foreign operations, and pre-tax losses for which no tax benefit can be recognized for U.S. income tax purposes.</w:t>
      </w:r>
    </w:p>
    <w:p>
      <w:pPr>
        <w:spacing w:after="0" w:line="8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estimates and applies the annual effective tax rate to its ordinary earnings each interim period. Any significant unusual or infrequent items, if any, are not included in the estimation of the annual effective tax rate. Rather, these items and their related income tax expense (benefit) are separately stated in the interim period in which they occur. The quarterly estimate of the annual effective tax rate and related tax expense is subject to variation due to a multitude of factors. Factors may include, but are not limited to, the inability to accurately predict the Company’s pre-tax and taxable income and loss.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11. Income Taxes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0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At each balance sheet date, management assesses the likelihood that the Company will be able to realize its deferred tax assets. Management considered all available positive and negative evidence in assessing the need for a valuation allowance. The realization of deferred tax assets depends on the generation of sufficient taxable income of the appropriate character and in the appropriate taxing jurisdiction during the future periods in which the related temporary differences become deductible. Management has determined that it is unlikely that the Company will be able to utilize its U.S. deferred tax assets at June 30, 2022 and December 31, 2021 due to cumulative losses. Therefore, the Company has a valuation allowance against its net deferred tax assets.</w:t>
      </w:r>
    </w:p>
    <w:p>
      <w:pPr>
        <w:spacing w:after="0" w:line="7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of June 30, 2022 and December 31, 2021, the Company has unrecognized tax benefits associated with uncertain tax positions that, if recognized, would not affect the effective tax rate on income from continuing operations. The Company is not currently under examination by any taxing jurisdiction, and none of the uncertain tax positions are expected to reverse within the next 12 months.</w:t>
      </w:r>
    </w:p>
    <w:p>
      <w:pPr>
        <w:spacing w:after="0" w:line="8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files income tax returns in U.S. federal and various state jurisdictions, as well as Italy and India. The open tax years for federal returns is 2018 and forward, and open tax years for state returns is generally 2017 and forward. In addition, net operating losses generated in closed years and utilized in open years are subject to adjustment by the tax authorities.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Related Party Transactions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2021 Convertible Notes Payable</w:t>
      </w:r>
    </w:p>
    <w:p>
      <w:pPr>
        <w:spacing w:after="0" w:line="11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July 2021, the Company issued $100,000 aggregate principal amount of convertible notes to Spring Creek Capital, LLC, a wholly-owned, indirect subsidiary of Koch Industries, Inc. (the “2021 Convertible Notes”). In connection with the 2021 Convertible Notes, the Company paid $3,000 to B. Riley Securities, Inc., a related party, who acted as a placement agent. This transaction was reviewed and approved as a related party transaction.</w:t>
      </w:r>
    </w:p>
    <w:p>
      <w:pPr>
        <w:spacing w:after="0" w:line="8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For the three and six months ended June 30, 2022, interest expense of $2,558 and $4,731 was recorded for the 2021 Convertible Notes, respectively. The change in fair value of the embedded derivative of $3,978 and $11,673 was recorded for the three and six months ended June 30, 2022 on the condensed consolidated statements of operations, respectively. Refer to Note 14 for more information.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Loss on pre-existing agreement</w:t>
      </w:r>
    </w:p>
    <w:p>
      <w:pPr>
        <w:spacing w:after="0" w:line="14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For the three and six months ended June 30, 2021, $22,516 and $30,368 was charged to loss on pre-existing agreement in connection with the acquisition of Hi-Power, respectively. Refer to Note 2 for the acquisition details.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Disgorgement of short swing profits</w:t>
      </w:r>
    </w:p>
    <w:p>
      <w:pPr>
        <w:spacing w:after="0" w:line="14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For the six months ended June 30, 2021, the Company received $432 from its then affiliated company B. Riley Securities, Inc. resulting from disgorgement of short swing profits under Section 16 (b) of the Exchange Act. This amount was recognized as an increase to Additional Paid in Capital as a capital contribution from stockholder when it was earned.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Warrants liability</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has private warrants issued to an affiliated company owned by B. Riley Financial, Inc. as of June 30, 2022 and December 31, 2021. Refer to Note 17 for details.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Settlement Agreement</w:t>
      </w:r>
    </w:p>
    <w:p>
      <w:pPr>
        <w:spacing w:after="0" w:line="14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disclosed at the time of the Merger Agreement, prior to the execution and delivery of the Merger Agreement, certain unitholders (“Hellman Parties”) of Eos Energy Storage LLC (“EES”), a subsidiary of the Company, asserted claims (“Threatened Claims”) against another director and affiliated investors, including AltEnergy Storage VI, LLC (the "Securityholder Representative"), questioning the dilutive effect of certain historical security issuances on the former EES common unitholders.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12. Related Party Transactions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3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Under the Merger Agreement, the Securityholder Representative had the obligation to defend against the Threatened Claims, and the Company had the obligation to advance or cause to be advanced to the Securityholder Representative up to $5,000 of defense costs, subject to a deductible of $2,000 (the "Deductible"), in connection with the investigation, defense, or settlement of any Threatened Claims. The Deductible was to be borne by the Company, and any additional amounts advanced were reimbursable by the former unitholders of EES.</w:t>
      </w:r>
    </w:p>
    <w:p>
      <w:pPr>
        <w:spacing w:after="0" w:line="11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On December 1, 2021, a Settlement Agreement was entered into between Hellman Parties and the Securityholder Representative pursuant to which, 300,000 Eos Shares (“Settlement Shares”) were to be transferred to the Hellman parties from the EES unitholders at the time of merger.</w:t>
      </w:r>
    </w:p>
    <w:p>
      <w:pPr>
        <w:spacing w:after="0" w:line="9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On December 28, 2021, the independent members of the Company’s Board of Directors approved a contribution of $1,200 towards the Settlement based on their determination that, among other reasons, this contribution (i) would ensure that the Company would not have to spend the entire $2,000 Deductible towards the costs of defense if the litigation were to continue, (ii) would avoid the distraction, uncertainty, and overhang of litigation relating to the Mergers, (iii) would benefit the Company’s future relationships with its long-term investors, and (iv) would generate future goodwill with such investors during an important growth stage of the Company. Because the Company’s contribution benefited certain Eos shareholders at the time of the Merger Agreement, including AltEnergy LLC and B. Riley Financial, Inc., this transaction was reviewed and approved as a related party transaction. On December 29, 2021, an amendment to the Settlement Agreement was entered into, pursuant to which, $1,200 of the value represented by the Settlement Shares was to be paid in cash, representing the equivalent of 140,023 of the Settlement Shares.</w:t>
      </w:r>
    </w:p>
    <w:p>
      <w:pPr>
        <w:spacing w:after="0" w:line="11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accrued $1,200 in accounts payable and accrued expenses - related party on December 31, 2021, which has been paid on January 4, 2022. The remaining 159,977 in Settlement Shares were transferred to the Hellman Parties from the former EES unitholders, on a pro rata basis, on December 29, 2021.</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Standby Equity Purchase Agreement (SEPA)</w:t>
      </w:r>
    </w:p>
    <w:p>
      <w:pPr>
        <w:spacing w:after="0" w:line="117"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4"/>
          <w:szCs w:val="14"/>
          <w:color w:val="auto"/>
        </w:rPr>
        <w:t>On April 28, 2022, the Company entered into the SEPA with YA II PN, Ltd. (“Yorkville”). Pursuant to the SEPA, the Company has the right, but not the obligation, to sell to Yorkville up to $200,000 of shares of its common stock at the Company’s request at any time during the commitment period, which commenced on April 28, 2022 and will end on the earlier of (i) May 1, 2024, or</w:t>
      </w:r>
    </w:p>
    <w:p>
      <w:pPr>
        <w:spacing w:after="0" w:line="1" w:lineRule="exact"/>
        <w:rPr>
          <w:sz w:val="20"/>
          <w:szCs w:val="20"/>
          <w:color w:val="auto"/>
        </w:rPr>
      </w:pPr>
    </w:p>
    <w:p>
      <w:pPr>
        <w:jc w:val="both"/>
        <w:ind w:firstLine="5"/>
        <w:spacing w:after="0" w:line="254" w:lineRule="auto"/>
        <w:tabs>
          <w:tab w:leader="none" w:pos="209"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Yorkville shall have made payment of advances requested by the Company totaling up to the commitment amount of $200,000. Each sale the Company requests under the SEPA (an “Advance”) may be for a number of shares of common stock with an aggregate value of up to $20,000. The SEPA provides for shares to be sold to Yorkville at 97.0% of the Market Price (as defined below) and further provides that Yorkville cannot purchase any shares that would result in it owning more than 9.99% of the Company’s outstanding common stock at the time of an Advance (the "Ownership Limitation") or 19.99% of the Company's outstanding common stock as of the date of the SEPA (the "Exchange Cap"). The Exchange Cap will not apply under certain circumstances, including if the Company’s stockholders approve issuances in excess of the Exchange Cap. On June 28, 2022, shareholder approval was obtained to issue shares under the SEPA in excess of the Exchange Cap. “Market Price” is defined in the SEPA as the average of the VWAPs (as defined below) during each of the three consecutive trading days commencing on the trading day following the Company’s submission of an Advance notice to Yorkville. “VWAP” is defined in the SEPA to mean, for any trading day, the daily volume weighted average price of the Company’s common stock for such date on the Nasdaq Capital Market as reported by Bloomberg L.P. during regular trading hours.</w:t>
      </w:r>
    </w:p>
    <w:p>
      <w:pPr>
        <w:spacing w:after="0" w:line="9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addition, subject to Yorkville’s consent, the Company may request one or more pre-advance loans in amounts not to exceed $50,000 (each, a “Pre-Advance Loan”) from Yorkville. Pursuant to the terms and conditions set forth in the SEPA and the accompanying promissory note, Pre-Advance Loans must be repaid with the proceeds from sales of equity to Yorkville, to the extent outstanding at the time of an Advance, or otherwise in cash. 465,117 shares were issued as consideration for its irrevocable commitment to purchase the Common Shares upon the terms and subject to the satisfaction of the conditions set forth in the SEPA.</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12. Related Party Transactions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0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 xml:space="preserve">As the Company has right, but not the obligation, to sell up to $200,000 of common stock to Yorkville, subject to certain limitations, at the time of our choosing during the term of the agreement, the Company determined that SEPA represents a derivative financial instrument under ASC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xml:space="preserve"> which should be recorded at fair value at inception and each reporting date thereafter. The financial instrument was classified as a derivative asset with a fair value of zero at the inception of the SEPA and as of June 30, 2022. For the three and six months ended June 30, 2022, the Company has received cash of $5,000 from the issuance of 3,967,939 shares. Yorkville owned 4,433,056 shares of common stock or approximately 8% of the Company’s outstanding common stock after this issuance.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Supplemental Agreement to the SEPA and Promissory Note Issuance</w:t>
      </w:r>
    </w:p>
    <w:p>
      <w:pPr>
        <w:spacing w:after="0" w:line="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On June 13, 2022, the Company issued and sold a convertible promissory note with an aggregate principal amount of $7,500 (the “Promissory Note” or “Yorkville Convertible Notes”) in a private placement to Yorkville under a supplemental agreement dated as of June 13, 2022 (the “Supplemental Agreement”) to the SEPA between the Company and Yorkville. The Supplemental Agreement gave Yorkville the right to deliver notices (each, an “Investor Notice”) requiring the Company to deliver an Advance notice under the SEPA for the issuance and sale of common stock for so long as there was an outstanding balance owed under the Promissory Note. The proceeds of any issuance of common stock pursuant to such Investor Notice will be used to repay amounts owed under the Promissory Note. For the three and six months ended June 30, 2022, interest expense of $108 was recorded for the Yorkville Convertible Notes. Refer to Note 14 for detail.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Accrued Expenses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June 30, 2022 and December 31, 2021, accrued expenses consisted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77"/>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payroll</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4,602</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3,069</w:t>
            </w:r>
          </w:p>
        </w:tc>
        <w:tc>
          <w:tcPr>
            <w:tcW w:w="0" w:type="dxa"/>
            <w:vAlign w:val="bottom"/>
          </w:tcPr>
          <w:p>
            <w:pPr>
              <w:spacing w:after="0"/>
              <w:rPr>
                <w:sz w:val="1"/>
                <w:szCs w:val="1"/>
                <w:color w:val="auto"/>
              </w:rPr>
            </w:pPr>
          </w:p>
        </w:tc>
      </w:tr>
      <w:tr>
        <w:trPr>
          <w:trHeight w:val="18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Warranty reserve</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3,636</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legal and professional expenses</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3,595</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0" w:type="dxa"/>
            <w:vAlign w:val="bottom"/>
          </w:tcPr>
          <w:p>
            <w:pPr>
              <w:spacing w:after="0"/>
              <w:rPr>
                <w:sz w:val="1"/>
                <w:szCs w:val="1"/>
                <w:color w:val="auto"/>
              </w:rPr>
            </w:pPr>
          </w:p>
        </w:tc>
      </w:tr>
      <w:tr>
        <w:trPr>
          <w:trHeight w:val="18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contract losses</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0" w:type="dxa"/>
            <w:vAlign w:val="bottom"/>
          </w:tcPr>
          <w:p>
            <w:pPr>
              <w:spacing w:after="0"/>
              <w:rPr>
                <w:sz w:val="1"/>
                <w:szCs w:val="1"/>
                <w:color w:val="auto"/>
              </w:rPr>
            </w:pPr>
          </w:p>
        </w:tc>
      </w:tr>
      <w:tr>
        <w:trPr>
          <w:trHeight w:val="17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14,689</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7,674</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The following table summarizes warranty reserve activity:</w:t>
            </w: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5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33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320"/>
        </w:trPr>
        <w:tc>
          <w:tcPr>
            <w:tcW w:w="45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60" w:type="dxa"/>
            <w:vAlign w:val="bottom"/>
          </w:tcPr>
          <w:p>
            <w:pPr>
              <w:spacing w:after="0"/>
              <w:rPr>
                <w:sz w:val="24"/>
                <w:szCs w:val="24"/>
                <w:color w:val="auto"/>
              </w:rPr>
            </w:pPr>
          </w:p>
        </w:tc>
        <w:tc>
          <w:tcPr>
            <w:tcW w:w="15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Pr>
          <w:p>
            <w:pPr>
              <w:spacing w:after="0"/>
              <w:rPr>
                <w:sz w:val="24"/>
                <w:szCs w:val="24"/>
                <w:color w:val="auto"/>
              </w:rPr>
            </w:pPr>
          </w:p>
        </w:tc>
        <w:tc>
          <w:tcPr>
            <w:tcW w:w="13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171"/>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reserve - beginning of period</w:t>
            </w:r>
          </w:p>
        </w:tc>
        <w:tc>
          <w:tcPr>
            <w:tcW w:w="1220" w:type="dxa"/>
            <w:vAlign w:val="bottom"/>
            <w:tcBorders>
              <w:top w:val="single" w:sz="8" w:color="auto"/>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3,240</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center"/>
              <w:ind w:left="309"/>
              <w:spacing w:after="0"/>
              <w:rPr>
                <w:sz w:val="20"/>
                <w:szCs w:val="20"/>
                <w:color w:val="auto"/>
              </w:rPr>
            </w:pPr>
            <w:r>
              <w:rPr>
                <w:rFonts w:ascii="Times New Roman" w:cs="Times New Roman" w:eastAsia="Times New Roman" w:hAnsi="Times New Roman"/>
                <w:sz w:val="14"/>
                <w:szCs w:val="14"/>
                <w:color w:val="auto"/>
              </w:rPr>
              <w:t>2,112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for current period deliveries</w:t>
            </w:r>
          </w:p>
        </w:tc>
        <w:tc>
          <w:tcPr>
            <w:tcW w:w="1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1,501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the estimate of warranty reserve</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309"/>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Warranty costs incurred</w:t>
            </w:r>
          </w:p>
        </w:tc>
        <w:tc>
          <w:tcPr>
            <w:tcW w:w="1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(1,298)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reserve - end of period</w:t>
            </w:r>
          </w:p>
        </w:tc>
        <w:tc>
          <w:tcPr>
            <w:tcW w:w="1220" w:type="dxa"/>
            <w:vAlign w:val="bottom"/>
            <w:tcBorders>
              <w:top w:val="single" w:sz="8" w:color="auto"/>
              <w:bottom w:val="single" w:sz="8" w:color="auto"/>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3,636</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center"/>
              <w:ind w:left="309"/>
              <w:spacing w:after="0"/>
              <w:rPr>
                <w:sz w:val="20"/>
                <w:szCs w:val="20"/>
                <w:color w:val="auto"/>
              </w:rPr>
            </w:pPr>
            <w:r>
              <w:rPr>
                <w:rFonts w:ascii="Times New Roman" w:cs="Times New Roman" w:eastAsia="Times New Roman" w:hAnsi="Times New Roman"/>
                <w:sz w:val="14"/>
                <w:szCs w:val="14"/>
                <w:color w:val="auto"/>
              </w:rPr>
              <w:t>3,636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45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5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Convertible Notes Payable - Related Party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Yorkville Convertible Note</w:t>
      </w:r>
    </w:p>
    <w:p>
      <w:pPr>
        <w:spacing w:after="0" w:line="1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June 13, 2022, the Company issued and sold the Promissory Note with a stated principal amount of $7,500 in a private placement to Yorkville (“Yorkville” or the “Holder”) under the Supplemental Agreement. The Promissory Note has a maturity date of September 15, 2022 (the “Maturity Date”). The Promissory Note was issued with a 2% original issue discount and bears interest only upon the occurrence of an Event of Default, as discussed below. The Company shall reimburse the Holder promptly for all fees, costs and expenses, including, without limitation, attorneys’ fees and expenses incurred by the Holder in connection with the Promissory Note if the Company fails to strictly comply with the terms of the Promissory Note. Total cash proceeds of $7,350 were received upon the issuance.</w:t>
      </w:r>
    </w:p>
    <w:p>
      <w:pPr>
        <w:spacing w:after="0" w:line="152"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4"/>
          <w:szCs w:val="14"/>
          <w:b w:val="1"/>
          <w:bCs w:val="1"/>
          <w:color w:val="auto"/>
        </w:rPr>
        <w:t xml:space="preserve">Mandatory Repayments - </w:t>
      </w:r>
      <w:r>
        <w:rPr>
          <w:rFonts w:ascii="Times New Roman" w:cs="Times New Roman" w:eastAsia="Times New Roman" w:hAnsi="Times New Roman"/>
          <w:sz w:val="14"/>
          <w:szCs w:val="14"/>
          <w:color w:val="auto"/>
        </w:rPr>
        <w:t>Six installments of $1,250 shall be made starting from August 11, 2022, ending on the Maturity Date. The Company may repay each installment amount in either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cash or by delivering an Advance notice under the SEPA or in a combination of these two. Refer to Note 12 for details regarding the SEPA. An additional 3% payment premium applies to any installment amount paid in cash. If an installment is repaid in shares via delivery of an Advance notice, the payment premium does not apply. The Company accounts for the payment premium as principal.</w:t>
      </w:r>
    </w:p>
    <w:p>
      <w:pPr>
        <w:spacing w:after="0" w:line="9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Conversion Rights - </w:t>
      </w:r>
      <w:r>
        <w:rPr>
          <w:rFonts w:ascii="Times New Roman" w:cs="Times New Roman" w:eastAsia="Times New Roman" w:hAnsi="Times New Roman"/>
          <w:sz w:val="14"/>
          <w:szCs w:val="14"/>
          <w:color w:val="auto"/>
        </w:rPr>
        <w:t>Yorkville has the right, but not the obligation, to convert principal and accrued interest into shares of the Company’s common stock at a conversion price of $2.21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“Conversion Price”) any time prior to the Maturity Date, subject to the terms and conditions of the Promissory Note. At any time that there is an outstanding balance owed under the Promissory Note, the Holder may, pursuant to the terms of the Supplemental Agreement, deliver Investor Notices to require the Company to issue and sell shares of common stock under the SEPA at the Conversion Price in order to repay the amounts owed by the Company to the Holder under the Promissory Note. In addition, while there is an outstanding balance owed under the Promissory Note, the Company may use any Advance requested by the Company pursuant to the SEPA to repay the amounts owed by the Company to the Holder under the Promissory Note. Prior to June 28, 2022, the shares issuable upon conversion were subject to the Exchange Cap. Refer to Note 12 for details regarding the Exchange Cap.</w:t>
      </w:r>
    </w:p>
    <w:p>
      <w:pPr>
        <w:spacing w:after="0" w:line="8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Optional Redemption - </w:t>
      </w:r>
      <w:r>
        <w:rPr>
          <w:rFonts w:ascii="Times New Roman" w:cs="Times New Roman" w:eastAsia="Times New Roman" w:hAnsi="Times New Roman"/>
          <w:sz w:val="14"/>
          <w:szCs w:val="14"/>
          <w:color w:val="auto"/>
        </w:rPr>
        <w:t>The Company has the right, but not the obligation, to redeem (“Optional Redemption”) early a portion or all amounts outstanding under the Promissory Note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provided that (i) the Company provides the Holder with at least five trading days’ prior written notice (each, a “Redemption Notice”) of its desire to exercise an Optional Redemption, and (ii) the VWAP of the Company’s common stock on each of the ten trading days immediately prior to the Redemption Notice is less than the conversion price.</w:t>
      </w:r>
    </w:p>
    <w:p>
      <w:pPr>
        <w:spacing w:after="0" w:line="70"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Redemption upon Event of Default - </w:t>
      </w:r>
      <w:r>
        <w:rPr>
          <w:rFonts w:ascii="Times New Roman" w:cs="Times New Roman" w:eastAsia="Times New Roman" w:hAnsi="Times New Roman"/>
          <w:sz w:val="14"/>
          <w:szCs w:val="14"/>
          <w:color w:val="auto"/>
        </w:rPr>
        <w:t>Upon the occurrence of an Event of Default (as defined in the SEPA), interest will begin to accrue at a rate of 15% per year and Yorkville may elect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accelerate the repayment of each installment.</w:t>
      </w:r>
    </w:p>
    <w:p>
      <w:pPr>
        <w:spacing w:after="0" w:line="67"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Embedded Derivatives - </w:t>
      </w:r>
      <w:r>
        <w:rPr>
          <w:rFonts w:ascii="Times New Roman" w:cs="Times New Roman" w:eastAsia="Times New Roman" w:hAnsi="Times New Roman"/>
          <w:sz w:val="14"/>
          <w:szCs w:val="14"/>
          <w:color w:val="auto"/>
        </w:rPr>
        <w:t>The number of shares issuable for conversion of the Promissory Notes is subject to the Exchange Cap limitation under the SEPA, unless shareholder approval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obtained. Therefore, at issuance, shareholder approval is an explicit input that can adjust the number of shares issuable upon settlement. Because shareholder approval is not an input that is indexed to the Company’s shares, the conversion feature is not indexed to the Company's own stock. Therefore, the conversion feature does not qualify for the scope exception to derivative accounting and bifurcation is required at issuance. On June 28, 2022, shareholder approval was obtained to issue shares under the SEPA in excess of the Exchange Cap. As such, upon the receipt of shareholder approval, the conversion feature no longer requires bifurcation and would be classified in equity.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14. Convertible Notes Payable - Related Party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0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In addition, upon the occurrence of an Event of Default, as defined in the Promissory Note, interest will begin to accrue at a rate of 15% per year and reimbursement of fees, cost and expenses incurred by the Holder in any action in connection with the Promissory Note are required if the Company fails to comply with the Promissory Note. An event of default and the nature of noncompliance includes events that are unrelated to Company’s credit worthiness and/or interest rates. Therefore, these features are not clearly and closely related to the debt host and bifurcation is required for this feature under the requirement of Accounting Standards Codification 815, </w:t>
      </w:r>
      <w:r>
        <w:rPr>
          <w:rFonts w:ascii="Times New Roman" w:cs="Times New Roman" w:eastAsia="Times New Roman" w:hAnsi="Times New Roman"/>
          <w:sz w:val="14"/>
          <w:szCs w:val="14"/>
          <w:i w:val="1"/>
          <w:iCs w:val="1"/>
          <w:color w:val="auto"/>
        </w:rPr>
        <w:t>Derivatives and Hedging (“ASC 815”).</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Management concluded the fair value of the bifurcated embedded derivative described above as of the issuance date, June 28, 2022 and June 30, 2022 is de minimis.</w:t>
      </w:r>
    </w:p>
    <w:p>
      <w:pPr>
        <w:spacing w:after="0" w:line="123"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Debt Issuance Costs </w:t>
      </w:r>
      <w:r>
        <w:rPr>
          <w:rFonts w:ascii="Times New Roman" w:cs="Times New Roman" w:eastAsia="Times New Roman" w:hAnsi="Times New Roman"/>
          <w:sz w:val="14"/>
          <w:szCs w:val="14"/>
          <w:color w:val="auto"/>
        </w:rPr>
        <w:t>- The Company incurred $125 of legal fees in connection with the issuance of the Promissory Note. No debt issuance costs were allocated to the embedded derivative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due to the de minimis fair value and the full amount of the issuance cost were allocated to the Promissory Note. These costs were accounted for as debt issuance costs and recorded as a reduction to the initial carrying value of the Promissory Note.</w:t>
      </w:r>
    </w:p>
    <w:p>
      <w:pPr>
        <w:sectPr>
          <w:pgSz w:w="11900" w:h="16838" w:orient="portrait"/>
          <w:cols w:equalWidth="0" w:num="1">
            <w:col w:w="11280"/>
          </w:cols>
          <w:pgMar w:left="300" w:top="125" w:right="319" w:bottom="1440" w:gutter="0" w:footer="0" w:header="0"/>
        </w:sectPr>
      </w:pP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interest expense recognized 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161530" cy="1212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Contractual interest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Amortization of debt discount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Total</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Yorkville Convertible Note as of June 30, 2022 are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311150</wp:posOffset>
            </wp:positionV>
            <wp:extent cx="7161530" cy="1212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Principal-Installment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Principal- Payment Premium</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Unamortized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Unamortized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Aggregate carrying value</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 2022</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00" w:type="dxa"/>
            <w:vAlign w:val="bottom"/>
            <w:tcBorders>
              <w:top w:val="single" w:sz="8" w:color="auto"/>
            </w:tcBorders>
            <w:gridSpan w:val="2"/>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2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84"/>
        </w:trPr>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900" w:type="dxa"/>
            <w:vAlign w:val="bottom"/>
            <w:tcBorders>
              <w:bottom w:val="single" w:sz="8" w:color="auto"/>
            </w:tcBorders>
            <w:gridSpan w:val="2"/>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804"/>
        </w:trPr>
        <w:tc>
          <w:tcPr>
            <w:tcW w:w="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right"/>
              <w:ind w:right="1149"/>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172"/>
        </w:trPr>
        <w:tc>
          <w:tcPr>
            <w:tcW w:w="80" w:type="dxa"/>
            <w:vAlign w:val="bottom"/>
          </w:tcPr>
          <w:p>
            <w:pPr>
              <w:spacing w:after="0"/>
              <w:rPr>
                <w:sz w:val="14"/>
                <w:szCs w:val="14"/>
                <w:color w:val="auto"/>
              </w:rPr>
            </w:pPr>
          </w:p>
        </w:tc>
        <w:tc>
          <w:tcPr>
            <w:tcW w:w="82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r>
      <w:tr>
        <w:trPr>
          <w:trHeight w:val="180"/>
        </w:trPr>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180"/>
        </w:trPr>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r>
      <w:tr>
        <w:trPr>
          <w:trHeight w:val="184"/>
        </w:trPr>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71"/>
        </w:trPr>
        <w:tc>
          <w:tcPr>
            <w:tcW w:w="80" w:type="dxa"/>
            <w:vAlign w:val="bottom"/>
          </w:tcPr>
          <w:p>
            <w:pPr>
              <w:spacing w:after="0"/>
              <w:rPr>
                <w:sz w:val="14"/>
                <w:szCs w:val="14"/>
                <w:color w:val="auto"/>
              </w:rPr>
            </w:pPr>
          </w:p>
        </w:tc>
        <w:tc>
          <w:tcPr>
            <w:tcW w:w="8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7,333</w:t>
            </w:r>
          </w:p>
        </w:tc>
      </w:tr>
      <w:tr>
        <w:trPr>
          <w:trHeight w:val="20"/>
        </w:trPr>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6880" w:space="720"/>
            <w:col w:w="3680"/>
          </w:cols>
          <w:pgMar w:left="300" w:top="125"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i w:val="1"/>
          <w:iCs w:val="1"/>
          <w:color w:val="auto"/>
        </w:rPr>
        <w:t>2021 Convertible Notes</w:t>
      </w:r>
    </w:p>
    <w:p>
      <w:pPr>
        <w:spacing w:after="0" w:line="12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As previously reported, on July 6, 2021, the Company entered into an investment agreement (the “Investment Agreement”) with Spring Creek Capital, LLC, a wholly-owned, indirect subsidiary of Koch Industries providing for the issuance and sale to Koch Industries of convertible notes in the aggregate principal amount of $100,000 (the “2021 Convertible Notes”). The transactions contemplated by the Investment Agreement closed on July 7, 2021 (the “Issue Date”). The maturity date of the 2021 Convertible Notes is June 30, 2026, subject to earlier conversion, redemption, or repurchase.</w:t>
      </w:r>
    </w:p>
    <w:p>
      <w:pPr>
        <w:spacing w:after="0" w:line="8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estimated the fair value of the embedded conversion feature using a binomial lattice model at the inception and on subsequent valuation dates. This model incorporates inputs such as the stock price of the Company, dividend yield, risk-free interest rate, the effective debt yield and expected volatility. The effective debt yield and volatility involve unobservable inputs classified as Level 3 of the fair value hierarchy. Refer to Note 20 for definition of the fair value hierarchy. The assumptions used to determine the fair value of the embedded conversion feature as of June 30, 2022 and December 31, 2021 are as follows: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14. Convertible Notes Payable - Related Party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2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7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w:t>
            </w:r>
          </w:p>
        </w:tc>
        <w:tc>
          <w:tcPr>
            <w:tcW w:w="20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years</w:t>
            </w:r>
          </w:p>
        </w:tc>
        <w:tc>
          <w:tcPr>
            <w:tcW w:w="100" w:type="dxa"/>
            <w:vAlign w:val="bottom"/>
            <w:shd w:val="clear" w:color="auto" w:fill="CCEEFF"/>
          </w:tcPr>
          <w:p>
            <w:pPr>
              <w:spacing w:after="0"/>
              <w:rPr>
                <w:sz w:val="14"/>
                <w:szCs w:val="14"/>
                <w:color w:val="auto"/>
              </w:rPr>
            </w:pP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years</w:t>
            </w:r>
          </w:p>
        </w:tc>
      </w:tr>
      <w:tr>
        <w:trPr>
          <w:trHeight w:val="18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shd w:val="clear" w:color="auto" w:fill="CCEEFF"/>
          </w:tcPr>
          <w:p>
            <w:pPr>
              <w:spacing w:after="0"/>
              <w:rPr>
                <w:sz w:val="15"/>
                <w:szCs w:val="15"/>
                <w:color w:val="auto"/>
              </w:rPr>
            </w:pP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18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spacing w:after="0"/>
              <w:rPr>
                <w:sz w:val="15"/>
                <w:szCs w:val="15"/>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r>
      <w:tr>
        <w:trPr>
          <w:trHeight w:val="18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debt yield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25.5 %</w:t>
            </w:r>
          </w:p>
        </w:tc>
        <w:tc>
          <w:tcPr>
            <w:tcW w:w="100" w:type="dxa"/>
            <w:vAlign w:val="bottom"/>
            <w:shd w:val="clear" w:color="auto" w:fill="CCEEFF"/>
          </w:tcPr>
          <w:p>
            <w:pPr>
              <w:spacing w:after="0"/>
              <w:rPr>
                <w:sz w:val="15"/>
                <w:szCs w:val="15"/>
                <w:color w:val="auto"/>
              </w:rPr>
            </w:pP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19.0 %</w:t>
            </w:r>
          </w:p>
        </w:tc>
      </w:tr>
    </w:tbl>
    <w:p>
      <w:pPr>
        <w:spacing w:after="0" w:line="35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of June 30, 2022 and December 31, 2021, the fair value of the embedded conversion feature was $707 and $12,359, respectively. The Company recognized a gain of $3,978 and $11,673 attributable to the change in fair value of the embedded conversion feature for the three and six months ended June 30, 2022, respectively.</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interest expense recognized: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2022</w:t>
            </w:r>
          </w:p>
        </w:tc>
        <w:tc>
          <w:tcPr>
            <w:tcW w:w="420" w:type="dxa"/>
            <w:vAlign w:val="bottom"/>
          </w:tcPr>
          <w:p>
            <w:pPr>
              <w:spacing w:after="0"/>
              <w:rPr>
                <w:sz w:val="16"/>
                <w:szCs w:val="16"/>
                <w:color w:val="auto"/>
              </w:rPr>
            </w:pPr>
          </w:p>
        </w:tc>
        <w:tc>
          <w:tcPr>
            <w:tcW w:w="32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2022</w:t>
            </w:r>
          </w:p>
        </w:tc>
      </w:tr>
      <w:tr>
        <w:trPr>
          <w:trHeight w:val="171"/>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Contractual interest expense</w:t>
            </w: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3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3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3,087</w:t>
            </w:r>
          </w:p>
        </w:tc>
      </w:tr>
      <w:tr>
        <w:trPr>
          <w:trHeight w:val="18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debt discount</w:t>
            </w:r>
          </w:p>
        </w:tc>
        <w:tc>
          <w:tcPr>
            <w:tcW w:w="380" w:type="dxa"/>
            <w:vAlign w:val="bottom"/>
          </w:tcPr>
          <w:p>
            <w:pPr>
              <w:spacing w:after="0"/>
              <w:rPr>
                <w:sz w:val="15"/>
                <w:szCs w:val="15"/>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w:t>
            </w:r>
          </w:p>
        </w:tc>
      </w:tr>
      <w:tr>
        <w:trPr>
          <w:trHeight w:val="18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80" w:type="dxa"/>
            <w:vAlign w:val="bottom"/>
            <w:tcBorders>
              <w:bottom w:val="single" w:sz="8" w:color="auto"/>
            </w:tcBorders>
            <w:shd w:val="clear" w:color="auto" w:fill="CCEEFF"/>
          </w:tcPr>
          <w:p>
            <w:pPr>
              <w:spacing w:after="0"/>
              <w:rPr>
                <w:sz w:val="15"/>
                <w:szCs w:val="15"/>
                <w:color w:val="auto"/>
              </w:rPr>
            </w:pPr>
          </w:p>
        </w:tc>
        <w:tc>
          <w:tcPr>
            <w:tcW w:w="3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3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r>
      <w:tr>
        <w:trPr>
          <w:trHeight w:val="171"/>
        </w:trPr>
        <w:tc>
          <w:tcPr>
            <w:tcW w:w="3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3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3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4,731</w:t>
            </w:r>
          </w:p>
        </w:tc>
      </w:tr>
      <w:tr>
        <w:trPr>
          <w:trHeight w:val="20"/>
        </w:trPr>
        <w:tc>
          <w:tcPr>
            <w:tcW w:w="3940" w:type="dxa"/>
            <w:vAlign w:val="bottom"/>
          </w:tcPr>
          <w:p>
            <w:pPr>
              <w:spacing w:after="0" w:line="20" w:lineRule="exact"/>
              <w:rPr>
                <w:sz w:val="1"/>
                <w:szCs w:val="1"/>
                <w:color w:val="auto"/>
              </w:rPr>
            </w:pPr>
          </w:p>
        </w:tc>
        <w:tc>
          <w:tcPr>
            <w:tcW w:w="3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r>
      <w:tr>
        <w:trPr>
          <w:trHeight w:val="406"/>
        </w:trPr>
        <w:tc>
          <w:tcPr>
            <w:tcW w:w="766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The 2021 Convertible Notes as of June 30, 2022 and December 31, 2021 was comprised of the following:</w:t>
            </w:r>
          </w:p>
        </w:tc>
        <w:tc>
          <w:tcPr>
            <w:tcW w:w="42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27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60" w:type="dxa"/>
            <w:vAlign w:val="bottom"/>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
        </w:trPr>
        <w:tc>
          <w:tcPr>
            <w:tcW w:w="394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r>
        <w:trPr>
          <w:trHeight w:val="17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w:t>
            </w:r>
          </w:p>
        </w:tc>
        <w:tc>
          <w:tcPr>
            <w:tcW w:w="2740" w:type="dxa"/>
            <w:vAlign w:val="bottom"/>
            <w:shd w:val="clear" w:color="auto" w:fill="CCEEFF"/>
          </w:tcPr>
          <w:p>
            <w:pPr>
              <w:jc w:val="right"/>
              <w:ind w:right="25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105,987</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102,900</w:t>
            </w:r>
          </w:p>
        </w:tc>
      </w:tr>
      <w:tr>
        <w:trPr>
          <w:trHeight w:val="18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Unamortized debt discount</w:t>
            </w:r>
          </w:p>
        </w:tc>
        <w:tc>
          <w:tcPr>
            <w:tcW w:w="27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(26,876)</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(28,321)</w:t>
            </w:r>
          </w:p>
        </w:tc>
      </w:tr>
      <w:tr>
        <w:trPr>
          <w:trHeight w:val="18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debt issuance costs</w:t>
            </w:r>
          </w:p>
        </w:tc>
        <w:tc>
          <w:tcPr>
            <w:tcW w:w="27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w:t>
            </w:r>
          </w:p>
        </w:tc>
      </w:tr>
      <w:tr>
        <w:trPr>
          <w:trHeight w:val="180"/>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Embedded conversion feature</w:t>
            </w:r>
          </w:p>
        </w:tc>
        <w:tc>
          <w:tcPr>
            <w:tcW w:w="27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12,359</w:t>
            </w:r>
          </w:p>
        </w:tc>
      </w:tr>
      <w:tr>
        <w:trPr>
          <w:trHeight w:val="196"/>
        </w:trPr>
        <w:tc>
          <w:tcPr>
            <w:tcW w:w="3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Aggregate carrying value</w:t>
            </w:r>
          </w:p>
        </w:tc>
        <w:tc>
          <w:tcPr>
            <w:tcW w:w="2740" w:type="dxa"/>
            <w:vAlign w:val="bottom"/>
            <w:tcBorders>
              <w:bottom w:val="single" w:sz="8" w:color="auto"/>
            </w:tcBorders>
            <w:shd w:val="clear" w:color="auto" w:fill="CCEEFF"/>
          </w:tcPr>
          <w:p>
            <w:pPr>
              <w:jc w:val="right"/>
              <w:ind w:right="25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77,205</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2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84,148</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elected to repay the contractual interest due on June 30, 2022 in-kind as an increase to the principal amount. $3,087 of contractual interest attributable to the 2021 Convertible Notes was recorded as addition to the convertible notes payable - related party balance on the condensed consolidated balance sheets.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Note Payable</w:t>
      </w:r>
    </w:p>
    <w:p>
      <w:pPr>
        <w:spacing w:after="0" w:line="14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connection with the Hi-Power acquisition (Refer to Note 2), the Company agreed to pay an aggregate purchase price of $25,000. $5,000 of the $25,000 purchase price was paid in May 2021. The fair value of the note payable was estimated using active market quotes, based on our current incremental borrowing rates for similar types of borrowing arrangements, which were Level 2 inputs. Refer to Note 20 for definition of the fair value hierarchy. Based on the analysis performed, the carrying value of the remaining payments of the note payable was recorded as debt, which includes a current portion of $4,839 and a long-term portion of $9,177 as of June 30, 2022. As of December 31, 2021, notes payable includes a current portion of $4,926 and a long-term portion of $13,769,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Long-term Debt</w:t>
      </w:r>
    </w:p>
    <w:p>
      <w:pPr>
        <w:spacing w:after="0" w:line="11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Long-term debt consists of the outstanding balances from the previously-reported $25,000 equipment financing facility with Trinity Capital Inc. ("Trinity"). As of June 30, 2022, the Company had drawn $7,000 from the equipment financing facility with an effective interest rate of 14.3%.</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16. Long-term Debt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7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of June 30, 2022 and December 31, 2021, total long-term debt was $5,581 and $6,371, with $1,765 and $1,644 of the principal recorded as a current liability on the condensed consolidated balance sheets, respectively. For the three and six months ended June 30, 2022, the Company recognized $205 and $424 as interest expense attributable to the equipment financing agreement, respectively. As of June 30, 2022, the unused commitment from the equipment financing facility was $18,000.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Warrants Liability - Related Party</w:t>
      </w:r>
    </w:p>
    <w:p>
      <w:pPr>
        <w:spacing w:after="0" w:line="11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Private Placement Warrants issued to the Sponsor of BMRG in its initial public offering on May 22, 2020 became exercisable on May 22, 2021. The Private Placement Warrants are classified as Level 2 financial instruments in the fair value hierarchy. Refer to Note 20 for definition of the fair value hierarchy. They are valued on the basis of the quoted price of the Public Warrants, adjusted for insignificant difference between the Public Warrants and Private Placement Warrants. 325,000 Private Placement Warrants were outstanding with a fair value of $89 and $926 as of June 30, 2022 and December 31, 2021, respectively.</w:t>
      </w:r>
    </w:p>
    <w:p>
      <w:pPr>
        <w:spacing w:after="0" w:line="8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change in fair value for the three months ended June 30, 2022 and 2021 amounted to $270 and $585 and for the six months ended June 30, 2022 and 2021 amounted to $837 and $361, respectively. The change has been recognized in Change in fair value, warrants liability - related party in the Company’s condensed consolidated statements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Stock-Based Compensation</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Stock-based compensation expense included in the condensed consolidated statements of operations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3760" w:type="dxa"/>
            <w:vAlign w:val="bottom"/>
            <w:tcBorders>
              <w:bottom w:val="single" w:sz="8" w:color="auto"/>
            </w:tcBorders>
            <w:gridSpan w:val="4"/>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4"/>
          </w:tcPr>
          <w:p>
            <w:pPr>
              <w:jc w:val="right"/>
              <w:ind w:right="112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320"/>
        </w:trPr>
        <w:tc>
          <w:tcPr>
            <w:tcW w:w="2920" w:type="dxa"/>
            <w:vAlign w:val="bottom"/>
          </w:tcPr>
          <w:p>
            <w:pPr>
              <w:spacing w:after="0"/>
              <w:rPr>
                <w:sz w:val="24"/>
                <w:szCs w:val="24"/>
                <w:color w:val="auto"/>
              </w:rPr>
            </w:pPr>
          </w:p>
        </w:tc>
        <w:tc>
          <w:tcPr>
            <w:tcW w:w="16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20" w:type="dxa"/>
            <w:vAlign w:val="bottom"/>
          </w:tcPr>
          <w:p>
            <w:pPr>
              <w:spacing w:after="0"/>
              <w:rPr>
                <w:sz w:val="24"/>
                <w:szCs w:val="24"/>
                <w:color w:val="auto"/>
              </w:rPr>
            </w:pPr>
          </w:p>
        </w:tc>
        <w:tc>
          <w:tcPr>
            <w:tcW w:w="158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71"/>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1620" w:type="dxa"/>
            <w:vAlign w:val="bottom"/>
            <w:tcBorders>
              <w:top w:val="single" w:sz="8" w:color="auto"/>
            </w:tcBorders>
            <w:shd w:val="clear" w:color="auto" w:fill="CCEEFF"/>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w:t>
            </w:r>
          </w:p>
        </w:tc>
      </w:tr>
      <w:tr>
        <w:trPr>
          <w:trHeight w:val="180"/>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16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2,170</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5,957</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3,126</w:t>
            </w:r>
          </w:p>
        </w:tc>
      </w:tr>
      <w:tr>
        <w:trPr>
          <w:trHeight w:val="196"/>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20" w:type="dxa"/>
            <w:vAlign w:val="bottom"/>
            <w:tcBorders>
              <w:bottom w:val="single" w:sz="8" w:color="auto"/>
            </w:tcBorders>
            <w:shd w:val="clear" w:color="auto" w:fill="CCEEFF"/>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3,434</w:t>
            </w: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3,195</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7,377</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5,673</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stock compensation expense has been recorded in cost of goods sold, research and development expenses, and selling, general and administrative expenses in the condensed consolidated statements of operations.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The following table summarizes stock option activity for the six months ended June 30, 2022:</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5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38"/>
        </w:trPr>
        <w:tc>
          <w:tcPr>
            <w:tcW w:w="5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38"/>
        </w:trPr>
        <w:tc>
          <w:tcPr>
            <w:tcW w:w="5140" w:type="dxa"/>
            <w:vAlign w:val="bottom"/>
          </w:tcPr>
          <w:p>
            <w:pPr>
              <w:spacing w:after="0"/>
              <w:rPr>
                <w:sz w:val="11"/>
                <w:szCs w:val="11"/>
                <w:color w:val="auto"/>
              </w:rPr>
            </w:pPr>
          </w:p>
        </w:tc>
        <w:tc>
          <w:tcPr>
            <w:tcW w:w="102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8"/>
              </w:rPr>
              <w:t>Contractual Term</w:t>
            </w:r>
          </w:p>
        </w:tc>
        <w:tc>
          <w:tcPr>
            <w:tcW w:w="0" w:type="dxa"/>
            <w:vAlign w:val="bottom"/>
          </w:tcPr>
          <w:p>
            <w:pPr>
              <w:spacing w:after="0"/>
              <w:rPr>
                <w:sz w:val="1"/>
                <w:szCs w:val="1"/>
                <w:color w:val="auto"/>
              </w:rPr>
            </w:pPr>
          </w:p>
        </w:tc>
      </w:tr>
      <w:tr>
        <w:trPr>
          <w:trHeight w:val="191"/>
        </w:trPr>
        <w:tc>
          <w:tcPr>
            <w:tcW w:w="51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(years)</w:t>
            </w:r>
          </w:p>
        </w:tc>
        <w:tc>
          <w:tcPr>
            <w:tcW w:w="0" w:type="dxa"/>
            <w:vAlign w:val="bottom"/>
          </w:tcPr>
          <w:p>
            <w:pPr>
              <w:spacing w:after="0"/>
              <w:rPr>
                <w:sz w:val="1"/>
                <w:szCs w:val="1"/>
                <w:color w:val="auto"/>
              </w:rPr>
            </w:pPr>
          </w:p>
        </w:tc>
      </w:tr>
      <w:tr>
        <w:trPr>
          <w:trHeight w:val="17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Options Outstanding at December 31, 2021</w:t>
            </w: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2,023,460</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right"/>
              <w:ind w:right="16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9.51</w:t>
            </w: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w:t>
            </w:r>
          </w:p>
        </w:tc>
        <w:tc>
          <w:tcPr>
            <w:tcW w:w="0" w:type="dxa"/>
            <w:vAlign w:val="bottom"/>
          </w:tcPr>
          <w:p>
            <w:pPr>
              <w:spacing w:after="0"/>
              <w:rPr>
                <w:sz w:val="1"/>
                <w:szCs w:val="1"/>
                <w:color w:val="auto"/>
              </w:rPr>
            </w:pPr>
          </w:p>
        </w:tc>
      </w:tr>
      <w:tr>
        <w:trPr>
          <w:trHeight w:val="18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2,870,108</w:t>
            </w:r>
          </w:p>
        </w:tc>
        <w:tc>
          <w:tcPr>
            <w:tcW w:w="1860" w:type="dxa"/>
            <w:vAlign w:val="bottom"/>
            <w:gridSpan w:val="2"/>
          </w:tcPr>
          <w:p>
            <w:pPr>
              <w:jc w:val="right"/>
              <w:ind w:right="16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Cancelled/Forfeited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(135,808)</w:t>
            </w:r>
          </w:p>
        </w:tc>
        <w:tc>
          <w:tcPr>
            <w:tcW w:w="1860" w:type="dxa"/>
            <w:vAlign w:val="bottom"/>
            <w:gridSpan w:val="2"/>
            <w:shd w:val="clear" w:color="auto" w:fill="CCEEFF"/>
          </w:tcPr>
          <w:p>
            <w:pPr>
              <w:jc w:val="right"/>
              <w:ind w:right="16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Options Outstanding at June 30, 2022</w:t>
            </w:r>
          </w:p>
        </w:tc>
        <w:tc>
          <w:tcPr>
            <w:tcW w:w="10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4,757,760</w:t>
            </w:r>
          </w:p>
        </w:tc>
        <w:tc>
          <w:tcPr>
            <w:tcW w:w="1860" w:type="dxa"/>
            <w:vAlign w:val="bottom"/>
            <w:gridSpan w:val="2"/>
          </w:tcPr>
          <w:p>
            <w:pPr>
              <w:jc w:val="right"/>
              <w:ind w:right="1609"/>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4.56</w:t>
            </w:r>
          </w:p>
        </w:tc>
        <w:tc>
          <w:tcPr>
            <w:tcW w:w="12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w:t>
            </w:r>
          </w:p>
        </w:tc>
        <w:tc>
          <w:tcPr>
            <w:tcW w:w="0" w:type="dxa"/>
            <w:vAlign w:val="bottom"/>
          </w:tcPr>
          <w:p>
            <w:pPr>
              <w:spacing w:after="0"/>
              <w:rPr>
                <w:sz w:val="1"/>
                <w:szCs w:val="1"/>
                <w:color w:val="auto"/>
              </w:rPr>
            </w:pPr>
          </w:p>
        </w:tc>
      </w:tr>
      <w:tr>
        <w:trPr>
          <w:trHeight w:val="180"/>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Options Exercisable at June 30, 2022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1,415,703</w:t>
            </w:r>
          </w:p>
        </w:tc>
        <w:tc>
          <w:tcPr>
            <w:tcW w:w="1860" w:type="dxa"/>
            <w:vAlign w:val="bottom"/>
            <w:gridSpan w:val="2"/>
            <w:shd w:val="clear" w:color="auto" w:fill="CCEEFF"/>
          </w:tcPr>
          <w:p>
            <w:pPr>
              <w:jc w:val="right"/>
              <w:ind w:right="16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120" w:type="dxa"/>
            <w:vAlign w:val="bottom"/>
            <w:shd w:val="clear" w:color="auto" w:fill="CCEEFF"/>
          </w:tcPr>
          <w:p>
            <w:pPr>
              <w:spacing w:after="0"/>
              <w:rPr>
                <w:sz w:val="15"/>
                <w:szCs w:val="15"/>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summary of restricted stock units (RSUs) activity during the six months ended June 30, 2022 is as follows: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18. Stock-Based Compensation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460" w:type="dxa"/>
            <w:vAlign w:val="bottom"/>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20" w:type="dxa"/>
            <w:vAlign w:val="bottom"/>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86"/>
        </w:trPr>
        <w:tc>
          <w:tcPr>
            <w:tcW w:w="59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Grant-Data Fair Value</w:t>
            </w:r>
          </w:p>
        </w:tc>
        <w:tc>
          <w:tcPr>
            <w:tcW w:w="0" w:type="dxa"/>
            <w:vAlign w:val="bottom"/>
          </w:tcPr>
          <w:p>
            <w:pPr>
              <w:spacing w:after="0"/>
              <w:rPr>
                <w:sz w:val="1"/>
                <w:szCs w:val="1"/>
                <w:color w:val="auto"/>
              </w:rPr>
            </w:pPr>
          </w:p>
        </w:tc>
      </w:tr>
      <w:tr>
        <w:trPr>
          <w:trHeight w:val="171"/>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RSUs Outstanding at December 31, 2021</w:t>
            </w:r>
          </w:p>
        </w:tc>
        <w:tc>
          <w:tcPr>
            <w:tcW w:w="14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2,194,756</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16.36</w:t>
            </w:r>
          </w:p>
        </w:tc>
        <w:tc>
          <w:tcPr>
            <w:tcW w:w="0" w:type="dxa"/>
            <w:vAlign w:val="bottom"/>
          </w:tcPr>
          <w:p>
            <w:pPr>
              <w:spacing w:after="0"/>
              <w:rPr>
                <w:sz w:val="1"/>
                <w:szCs w:val="1"/>
                <w:color w:val="auto"/>
              </w:rPr>
            </w:pPr>
          </w:p>
        </w:tc>
      </w:tr>
      <w:tr>
        <w:trPr>
          <w:trHeight w:val="18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1,950,734</w:t>
            </w:r>
          </w:p>
        </w:tc>
        <w:tc>
          <w:tcPr>
            <w:tcW w:w="620" w:type="dxa"/>
            <w:vAlign w:val="bottom"/>
            <w:gridSpan w:val="2"/>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18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Cancelled/Forfeited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(394,850)</w:t>
            </w:r>
          </w:p>
        </w:tc>
        <w:tc>
          <w:tcPr>
            <w:tcW w:w="620" w:type="dxa"/>
            <w:vAlign w:val="bottom"/>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0" w:type="dxa"/>
            <w:vAlign w:val="bottom"/>
          </w:tcPr>
          <w:p>
            <w:pPr>
              <w:spacing w:after="0"/>
              <w:rPr>
                <w:sz w:val="1"/>
                <w:szCs w:val="1"/>
                <w:color w:val="auto"/>
              </w:rPr>
            </w:pPr>
          </w:p>
        </w:tc>
      </w:tr>
      <w:tr>
        <w:trPr>
          <w:trHeight w:val="18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(427,607)</w:t>
            </w:r>
          </w:p>
        </w:tc>
        <w:tc>
          <w:tcPr>
            <w:tcW w:w="620" w:type="dxa"/>
            <w:vAlign w:val="bottom"/>
            <w:tcBorders>
              <w:bottom w:val="single" w:sz="8" w:color="CCEEFF"/>
            </w:tcBorders>
            <w:gridSpan w:val="2"/>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2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0" w:type="dxa"/>
            <w:vAlign w:val="bottom"/>
          </w:tcPr>
          <w:p>
            <w:pPr>
              <w:spacing w:after="0"/>
              <w:rPr>
                <w:sz w:val="1"/>
                <w:szCs w:val="1"/>
                <w:color w:val="auto"/>
              </w:rPr>
            </w:pPr>
          </w:p>
        </w:tc>
      </w:tr>
      <w:tr>
        <w:trPr>
          <w:trHeight w:val="191"/>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RSUs Outstanding at June 30,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3,323,033</w:t>
            </w:r>
          </w:p>
        </w:tc>
        <w:tc>
          <w:tcPr>
            <w:tcW w:w="620" w:type="dxa"/>
            <w:vAlign w:val="bottom"/>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In 2022, the Company reserved an additional 2,537,866 shares for the Amended and Restated 2020 Incentive Plan. As of June 30, 2022 and December 31, 2021, 530,588 and 2,282,906 shares remain for future issuance, respectively. Options vesting can vary from three months to five years and have a term of five to ten years. RSUs generally vest over three to four years. During the six months ended June 30, 2022, the Company granted 75,000 RSUs and 2,000,000 options with performance and service conditions. Stock compensation is recognized on a straight-line basis over the requisite service period of the award, which is generally the award vesting term. For awards with performance conditions, compensation expense is recognized using an accelerated attribution method over the vesting period. The performance conditions primarily relate to achievement of sales and financing targets. As of June 30, 2022, within the total awards outstanding, there were 2,028,818 and 75,000 performance-based stock options and RSUs, respectively, all of which are expected to vest in the next four years.</w:t>
      </w:r>
    </w:p>
    <w:p>
      <w:pPr>
        <w:spacing w:after="0" w:line="93"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Unrecognized stock compensation expenses amounted to $26,539 and included $23,051 attributable to RSUs and $3,488 attributable to stock options. The weighted average vesting period for the stock options and RSUs was 0.8 years and 1.9 years as of June 30, 2022, respectively.</w:t>
      </w:r>
    </w:p>
    <w:p>
      <w:pPr>
        <w:spacing w:after="0" w:line="1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weighted average assumptions used to determine the fair value of options granted in the six months ended June 30, 2022 and 2021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gridSpan w:val="2"/>
          </w:tcPr>
          <w:p>
            <w:pPr>
              <w:ind w:left="8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1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61.29 %</w:t>
            </w:r>
          </w:p>
        </w:tc>
        <w:tc>
          <w:tcPr>
            <w:tcW w:w="18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57.31 %</w:t>
            </w:r>
          </w:p>
        </w:tc>
      </w:tr>
      <w:tr>
        <w:trPr>
          <w:trHeight w:val="18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 free interest rate</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3.18 %</w:t>
            </w:r>
          </w:p>
        </w:tc>
        <w:tc>
          <w:tcPr>
            <w:tcW w:w="1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1.09 %</w:t>
            </w:r>
          </w:p>
        </w:tc>
      </w:tr>
      <w:tr>
        <w:trPr>
          <w:trHeight w:val="18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(years)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r>
      <w:tr>
        <w:trPr>
          <w:trHeight w:val="184"/>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1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0 %</w:t>
            </w:r>
          </w:p>
        </w:tc>
      </w:tr>
    </w:tbl>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RSUs issued were valued at the stock prices of the Company on the date of grant.</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weighted average grant date fair value of all options granted was $0.68 and $9.08 per option for the six months ended June 30, 2022 and 2021.</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Leases</w:t>
      </w:r>
    </w:p>
    <w:p>
      <w:pPr>
        <w:spacing w:after="0" w:line="11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 xml:space="preserve">On January 1, 2021, the Company adopted ASU 2016-02,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(“Topic 842”), and the related amendments (collectively “ASC 842”). The Company elected the modified retrospective approach, under which results and disclosures for periods before January 1, 2021 were not adjusted for the new standard and the cumulative effect of the change in accounting, is recognized through accumulated deficit at the date of adoption.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Lessee</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leases machinery, manufacturing facilities, office space, land, and equipment under both operating and finance leases. Lease assets and lease liabilities as of June 30, 2022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2021 were as follows: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194" w:lineRule="exact"/>
        <w:rPr>
          <w:sz w:val="20"/>
          <w:szCs w:val="20"/>
          <w:color w:val="auto"/>
        </w:rPr>
      </w:pPr>
    </w:p>
    <w:p>
      <w:pPr>
        <w:ind w:left="220" w:hanging="215"/>
        <w:spacing w:after="0"/>
        <w:tabs>
          <w:tab w:leader="none" w:pos="22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Leases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right="1180"/>
        <w:spacing w:after="0"/>
        <w:rPr>
          <w:sz w:val="20"/>
          <w:szCs w:val="20"/>
          <w:color w:val="auto"/>
        </w:rPr>
      </w:pPr>
      <w:r>
        <w:rPr>
          <w:rFonts w:ascii="Times New Roman" w:cs="Times New Roman" w:eastAsia="Times New Roman" w:hAnsi="Times New Roman"/>
          <w:sz w:val="13"/>
          <w:szCs w:val="13"/>
          <w:b w:val="1"/>
          <w:bCs w:val="1"/>
          <w:color w:val="auto"/>
        </w:rPr>
        <w:t>Classification on Balance Sheet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4"/>
          <w:szCs w:val="14"/>
          <w:b w:val="1"/>
          <w:bCs w:val="1"/>
          <w:color w:val="auto"/>
        </w:rPr>
        <w:t>June 30, 2022</w:t>
      </w:r>
      <w:r>
        <w:rPr>
          <w:sz w:val="20"/>
          <w:szCs w:val="20"/>
          <w:color w:val="auto"/>
        </w:rPr>
        <w:tab/>
      </w:r>
      <w:r>
        <w:rPr>
          <w:rFonts w:ascii="Times New Roman" w:cs="Times New Roman" w:eastAsia="Times New Roman" w:hAnsi="Times New Roman"/>
          <w:sz w:val="14"/>
          <w:szCs w:val="14"/>
          <w:b w:val="1"/>
          <w:bCs w:val="1"/>
          <w:color w:val="auto"/>
        </w:rPr>
        <w:t>December 31, 2021</w:t>
      </w:r>
    </w:p>
    <w:p>
      <w:pPr>
        <w:spacing w:after="0" w:line="31" w:lineRule="exact"/>
        <w:rPr>
          <w:sz w:val="20"/>
          <w:szCs w:val="20"/>
          <w:color w:val="auto"/>
        </w:rPr>
      </w:pPr>
    </w:p>
    <w:p>
      <w:pPr>
        <w:sectPr>
          <w:pgSz w:w="11900" w:h="16838" w:orient="portrait"/>
          <w:cols w:equalWidth="0" w:num="2">
            <w:col w:w="6920" w:space="720"/>
            <w:col w:w="3640"/>
          </w:cols>
          <w:pgMar w:left="300" w:top="125"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ROU - operating lease assets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Finance lease assets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Total lease assets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left="-699"/>
        <w:spacing w:after="0"/>
        <w:tabs>
          <w:tab w:leader="none" w:pos="120" w:val="left"/>
        </w:tabs>
        <w:rPr>
          <w:sz w:val="20"/>
          <w:szCs w:val="20"/>
          <w:color w:val="auto"/>
        </w:rPr>
      </w:pPr>
      <w:r>
        <w:rPr>
          <w:rFonts w:ascii="Times New Roman" w:cs="Times New Roman" w:eastAsia="Times New Roman" w:hAnsi="Times New Roman"/>
          <w:sz w:val="14"/>
          <w:szCs w:val="14"/>
          <w:color w:val="auto"/>
        </w:rPr>
        <w:t>Operating lease right-of-use asset, net</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-213360</wp:posOffset>
            </wp:positionV>
            <wp:extent cx="7161530" cy="1143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 w:lineRule="exact"/>
        <w:rPr>
          <w:sz w:val="20"/>
          <w:szCs w:val="20"/>
          <w:color w:val="auto"/>
        </w:rPr>
      </w:pPr>
    </w:p>
    <w:p>
      <w:pPr>
        <w:jc w:val="center"/>
        <w:ind w:left="-679"/>
        <w:spacing w:after="0"/>
        <w:rPr>
          <w:sz w:val="20"/>
          <w:szCs w:val="20"/>
          <w:color w:val="auto"/>
        </w:rPr>
      </w:pPr>
      <w:r>
        <w:rPr>
          <w:rFonts w:ascii="Times New Roman" w:cs="Times New Roman" w:eastAsia="Times New Roman" w:hAnsi="Times New Roman"/>
          <w:sz w:val="14"/>
          <w:szCs w:val="14"/>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-101600</wp:posOffset>
            </wp:positionV>
            <wp:extent cx="7161530" cy="1143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Classification on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13970</wp:posOffset>
            </wp:positionV>
            <wp:extent cx="7161530" cy="1143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4,772</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3,468</w:t>
            </w:r>
          </w:p>
        </w:tc>
      </w:tr>
      <w:tr>
        <w:trPr>
          <w:trHeight w:val="184"/>
        </w:trPr>
        <w:tc>
          <w:tcPr>
            <w:tcW w:w="1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89</w:t>
            </w: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1"/>
        </w:trPr>
        <w:tc>
          <w:tcPr>
            <w:tcW w:w="1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4,861</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3,496</w:t>
            </w:r>
          </w:p>
        </w:tc>
      </w:tr>
      <w:tr>
        <w:trPr>
          <w:trHeight w:val="20"/>
        </w:trPr>
        <w:tc>
          <w:tcPr>
            <w:tcW w:w="1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459"/>
        </w:trPr>
        <w:tc>
          <w:tcPr>
            <w:tcW w:w="156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w w:val="98"/>
              </w:rPr>
              <w:t>June 30, 2022</w:t>
            </w:r>
          </w:p>
        </w:tc>
        <w:tc>
          <w:tcPr>
            <w:tcW w:w="280" w:type="dxa"/>
            <w:vAlign w:val="bottom"/>
          </w:tcPr>
          <w:p>
            <w:pPr>
              <w:spacing w:after="0"/>
              <w:rPr>
                <w:sz w:val="24"/>
                <w:szCs w:val="24"/>
                <w:color w:val="auto"/>
              </w:rPr>
            </w:pPr>
          </w:p>
        </w:tc>
        <w:tc>
          <w:tcPr>
            <w:tcW w:w="18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-328930</wp:posOffset>
            </wp:positionV>
            <wp:extent cx="132080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20800" cy="6985"/>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-309245</wp:posOffset>
            </wp:positionV>
            <wp:extent cx="132080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20800" cy="6985"/>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-450215</wp:posOffset>
            </wp:positionV>
            <wp:extent cx="132080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20800" cy="6985"/>
                    </a:xfrm>
                    <a:prstGeom prst="rect">
                      <a:avLst/>
                    </a:prstGeom>
                    <a:noFill/>
                  </pic:spPr>
                </pic:pic>
              </a:graphicData>
            </a:graphic>
          </wp:anchor>
        </w:drawing>
      </w:r>
    </w:p>
    <w:p>
      <w:pPr>
        <w:spacing w:after="0" w:line="7" w:lineRule="exact"/>
        <w:rPr>
          <w:sz w:val="20"/>
          <w:szCs w:val="20"/>
          <w:color w:val="auto"/>
        </w:rPr>
      </w:pPr>
    </w:p>
    <w:p>
      <w:pPr>
        <w:sectPr>
          <w:pgSz w:w="11900" w:h="16838" w:orient="portrait"/>
          <w:cols w:equalWidth="0" w:num="3">
            <w:col w:w="3340" w:space="720"/>
            <w:col w:w="3040" w:space="540"/>
            <w:col w:w="3640"/>
          </w:cols>
          <w:pgMar w:left="300" w:top="125" w:right="319" w:bottom="1440" w:gutter="0" w:footer="0" w:header="0"/>
          <w:type w:val="continuous"/>
        </w:sectPr>
      </w:pPr>
    </w:p>
    <w:tbl>
      <w:tblPr>
        <w:tblLayout w:type="fixed"/>
        <w:tblInd w:w="20" w:type="dxa"/>
        <w:tblCellMar>
          <w:top w:w="0" w:type="dxa"/>
          <w:left w:w="0" w:type="dxa"/>
          <w:bottom w:w="0" w:type="dxa"/>
          <w:right w:w="0" w:type="dxa"/>
        </w:tblCellMar>
      </w:tblPr>
      <w:tr>
        <w:trPr>
          <w:trHeight w:val="159"/>
        </w:trPr>
        <w:tc>
          <w:tcPr>
            <w:tcW w:w="2880" w:type="dxa"/>
            <w:vAlign w:val="bottom"/>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4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82"/>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40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0"/>
        </w:trPr>
        <w:tc>
          <w:tcPr>
            <w:tcW w:w="2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Operating lease liability, current portion  $</w:t>
            </w:r>
          </w:p>
        </w:tc>
      </w:tr>
      <w:tr>
        <w:trPr>
          <w:trHeight w:val="178"/>
        </w:trPr>
        <w:tc>
          <w:tcPr>
            <w:tcW w:w="2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Finance lease liability</w:t>
            </w:r>
          </w:p>
        </w:tc>
        <w:tc>
          <w:tcPr>
            <w:tcW w:w="4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Other current liabilities</w:t>
            </w:r>
          </w:p>
        </w:tc>
      </w:tr>
      <w:tr>
        <w:trPr>
          <w:trHeight w:val="182"/>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40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0"/>
        </w:trPr>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4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Operating lease liability, long-term</w:t>
            </w:r>
          </w:p>
        </w:tc>
      </w:tr>
      <w:tr>
        <w:trPr>
          <w:trHeight w:val="184"/>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lease liability</w:t>
            </w:r>
          </w:p>
        </w:tc>
        <w:tc>
          <w:tcPr>
            <w:tcW w:w="4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Other liabilities</w:t>
            </w:r>
          </w:p>
        </w:tc>
      </w:tr>
      <w:tr>
        <w:trPr>
          <w:trHeight w:val="212"/>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-706755</wp:posOffset>
            </wp:positionV>
            <wp:extent cx="7161530" cy="1143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-477520</wp:posOffset>
            </wp:positionV>
            <wp:extent cx="7161530" cy="1143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-248285</wp:posOffset>
            </wp:positionV>
            <wp:extent cx="7161530" cy="1143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5"/>
              </w:rPr>
              <w:t>1,013</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w:t>
            </w:r>
          </w:p>
        </w:tc>
      </w:tr>
      <w:tr>
        <w:trPr>
          <w:trHeight w:val="184"/>
        </w:trPr>
        <w:tc>
          <w:tcPr>
            <w:tcW w:w="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w:t>
            </w:r>
          </w:p>
        </w:tc>
        <w:tc>
          <w:tcPr>
            <w:tcW w:w="9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357"/>
        </w:trPr>
        <w:tc>
          <w:tcPr>
            <w:tcW w:w="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5"/>
              </w:rPr>
              <w:t>4,705</w:t>
            </w:r>
          </w:p>
        </w:tc>
        <w:tc>
          <w:tcPr>
            <w:tcW w:w="9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3,224</w:t>
            </w:r>
          </w:p>
        </w:tc>
      </w:tr>
      <w:tr>
        <w:trPr>
          <w:trHeight w:val="184"/>
        </w:trPr>
        <w:tc>
          <w:tcPr>
            <w:tcW w:w="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76</w:t>
            </w: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71"/>
        </w:trPr>
        <w:tc>
          <w:tcPr>
            <w:tcW w:w="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5"/>
              </w:rPr>
              <w:t>5,807</w:t>
            </w:r>
          </w:p>
        </w:tc>
        <w:tc>
          <w:tcPr>
            <w:tcW w:w="90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4,333</w:t>
            </w:r>
          </w:p>
        </w:tc>
      </w:tr>
      <w:tr>
        <w:trPr>
          <w:trHeight w:val="20"/>
        </w:trPr>
        <w:tc>
          <w:tcPr>
            <w:tcW w:w="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-1080135</wp:posOffset>
            </wp:positionH>
            <wp:positionV relativeFrom="paragraph">
              <wp:posOffset>-26035</wp:posOffset>
            </wp:positionV>
            <wp:extent cx="132080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20800" cy="6985"/>
                    </a:xfrm>
                    <a:prstGeom prst="rect">
                      <a:avLst/>
                    </a:prstGeom>
                    <a:noFill/>
                  </pic:spPr>
                </pic:pic>
              </a:graphicData>
            </a:graphic>
          </wp:anchor>
        </w:drawing>
        <w:drawing>
          <wp:anchor simplePos="0" relativeHeight="251657728" behindDoc="1" locked="0" layoutInCell="0" allowOverlap="1">
            <wp:simplePos x="0" y="0"/>
            <wp:positionH relativeFrom="column">
              <wp:posOffset>-1080135</wp:posOffset>
            </wp:positionH>
            <wp:positionV relativeFrom="paragraph">
              <wp:posOffset>-6350</wp:posOffset>
            </wp:positionV>
            <wp:extent cx="132080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20800" cy="6985"/>
                    </a:xfrm>
                    <a:prstGeom prst="rect">
                      <a:avLst/>
                    </a:prstGeom>
                    <a:noFill/>
                  </pic:spPr>
                </pic:pic>
              </a:graphicData>
            </a:graphic>
          </wp:anchor>
        </w:drawing>
        <w:drawing>
          <wp:anchor simplePos="0" relativeHeight="251657728" behindDoc="1" locked="0" layoutInCell="0" allowOverlap="1">
            <wp:simplePos x="0" y="0"/>
            <wp:positionH relativeFrom="column">
              <wp:posOffset>-1080135</wp:posOffset>
            </wp:positionH>
            <wp:positionV relativeFrom="paragraph">
              <wp:posOffset>-147320</wp:posOffset>
            </wp:positionV>
            <wp:extent cx="132080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20800" cy="698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8000" w:space="720"/>
            <w:col w:w="2560"/>
          </w:cols>
          <w:pgMar w:left="300" w:top="125" w:right="319" w:bottom="1440" w:gutter="0" w:footer="0" w:header="0"/>
          <w:type w:val="continuous"/>
        </w:sect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Operating lease costs for the three months ended June 30, 2022 and 2021 were $352 and $280, and for the six months ended June 30, 2022 and 2021 were $677 and $473, respectively. As of June 30, 2022, the weighted average remaining term (in years) for the operating lease was 4.31 years and the weighted average discount rate was 10.4%. The weighted average remaining term (in years) for the finance lease was 4.71 years and the weighted average discount rate was 22.7%.</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Future maturity of lease liability are as follows:</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Financing Lease</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2022</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0" w:type="dxa"/>
            <w:vAlign w:val="bottom"/>
          </w:tcPr>
          <w:p>
            <w:pPr>
              <w:spacing w:after="0"/>
              <w:rPr>
                <w:sz w:val="1"/>
                <w:szCs w:val="1"/>
                <w:color w:val="auto"/>
              </w:rPr>
            </w:pPr>
          </w:p>
        </w:tc>
      </w:tr>
      <w:tr>
        <w:trPr>
          <w:trHeight w:val="18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0" w:type="dxa"/>
            <w:vAlign w:val="bottom"/>
          </w:tcPr>
          <w:p>
            <w:pPr>
              <w:spacing w:after="0"/>
              <w:rPr>
                <w:sz w:val="1"/>
                <w:szCs w:val="1"/>
                <w:color w:val="auto"/>
              </w:rPr>
            </w:pPr>
          </w:p>
        </w:tc>
      </w:tr>
      <w:tr>
        <w:trPr>
          <w:trHeight w:val="18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0" w:type="dxa"/>
            <w:vAlign w:val="bottom"/>
          </w:tcPr>
          <w:p>
            <w:pPr>
              <w:spacing w:after="0"/>
              <w:rPr>
                <w:sz w:val="1"/>
                <w:szCs w:val="1"/>
                <w:color w:val="auto"/>
              </w:rPr>
            </w:pPr>
          </w:p>
        </w:tc>
      </w:tr>
      <w:tr>
        <w:trPr>
          <w:trHeight w:val="18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Later years</w:t>
            </w:r>
          </w:p>
        </w:tc>
        <w:tc>
          <w:tcPr>
            <w:tcW w:w="22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minimum lease payments</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145</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7,151</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Less amounts representing interest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6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1,288</w:t>
            </w:r>
          </w:p>
        </w:tc>
        <w:tc>
          <w:tcPr>
            <w:tcW w:w="8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56</w:t>
            </w: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1,344</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minimum lease payments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5,718</w:t>
            </w: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5,807</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Lessor</w:t>
      </w:r>
    </w:p>
    <w:p>
      <w:pPr>
        <w:spacing w:after="0" w:line="12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leases battery energy storage systems to one customer with a 20-year term through sales-type leases. Leases offered by the Company include purchase options during the lease term with a bargain purchase option at the end of the term. At the time of accepting a lease that qualifies as a sales-type lease, the Company records the gross amount of lease payments receivable, estimated residual value of the leased equipment and unearned finance income. The unearned finance income is recognized interest income over the lease term using the interest method.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9" w:lineRule="exact"/>
        <w:rPr>
          <w:sz w:val="20"/>
          <w:szCs w:val="20"/>
          <w:color w:val="auto"/>
        </w:rPr>
      </w:pPr>
    </w:p>
    <w:p>
      <w:pPr>
        <w:ind w:left="220" w:hanging="215"/>
        <w:spacing w:after="0"/>
        <w:tabs>
          <w:tab w:leader="none" w:pos="22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Leases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For the three and six months ended June 30, 2022, the Company recognized revenue of $128 and $1,166 from the sales-type lease, respectively. No revenue was recognized from the sales-type lease for the three and six months ended June 30, 2021. Net sales-type lease receivables of $1,438 and $347, net of unearned finance income are recorded under other assets on the condensed consolidated balance sheets as of June 30, 2022 and December 31, 2021,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 Fair Value Measurement</w:t>
      </w:r>
    </w:p>
    <w:p>
      <w:pPr>
        <w:spacing w:after="0" w:line="11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Company’s financial instruments consist of cash and cash equivalents, restricted cash, Private Placement Warrants, accounts receivable, notes receivable, contract assets, accounts payable, note payable, convertible notes payable — related party, contract liabilities and long-term debt.</w:t>
      </w:r>
    </w:p>
    <w:p>
      <w:pPr>
        <w:spacing w:after="0" w:line="7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Accounting standards establish a hierarchy which prioritizes the inputs to valuation techniques used to measure fair value into three levels. The fair value hierarchy gives the highest priority to quoted market prices (unadjusted) in active markets for identical assets or liabilities (Level 1) and the lowest priority to unobservable inputs (Level 3). Level 2 inputs are inputs other than quoted prices included within Level 1 that are observable for the asset or liability, either directly or indirectly.</w:t>
      </w:r>
    </w:p>
    <w:p>
      <w:pPr>
        <w:spacing w:after="0" w:line="8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Accounting standards require financial assets and liabilities to be classified based on the lowest level of input that is significant to the fair value measurement. The Company’s assessment of the significance of a particular input to the fair value measurement requires judgment and the exercise of this judgment may affect the valuation of the fair value of assets and liabilities and their placement within the fair value hierarchy levels.</w:t>
      </w:r>
    </w:p>
    <w:p>
      <w:pPr>
        <w:spacing w:after="0" w:line="7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carrying value of cash and cash equivalents, restricted cash, accounts receivable, contract assets, contract liabilities and accounts payable are considered to be representative of their fair value due to the short maturity of these instruments.</w:t>
      </w:r>
    </w:p>
    <w:p>
      <w:pPr>
        <w:spacing w:after="0" w:line="7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table below summarizes the fair values of certain liabilities that are included within our accompanying condensed consolidated balance sheets, and their designations among the three fair value measurement categories: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77"/>
        </w:trPr>
        <w:tc>
          <w:tcPr>
            <w:tcW w:w="3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98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98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0"/>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r>
      <w:tr>
        <w:trPr>
          <w:trHeight w:val="18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Private Placement Warrants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2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8"/>
        </w:trPr>
        <w:tc>
          <w:tcPr>
            <w:tcW w:w="35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Embedded derivative liability within the 2021 Convertible</w:t>
            </w: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91"/>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12,359</w:t>
            </w:r>
          </w:p>
        </w:tc>
      </w:tr>
    </w:tbl>
    <w:p>
      <w:pPr>
        <w:spacing w:after="0" w:line="35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following table presents a roll-forward of the activity of the embedded derivative liability within the 2021 Convertible Notes. This liability was measured at fair value on a recurring basis using significant unobservable inputs (Level 3) for the three and six months ended June 30, 2022. No liabilities were measured at fair value using Level 3 inputs for the three and six months ended June 30,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30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97"/>
        </w:trPr>
        <w:tc>
          <w:tcPr>
            <w:tcW w:w="4140" w:type="dxa"/>
            <w:vAlign w:val="bottom"/>
            <w:tcBorders>
              <w:bottom w:val="single" w:sz="8" w:color="CCEEFF"/>
            </w:tcBorders>
          </w:tcPr>
          <w:p>
            <w:pPr>
              <w:spacing w:after="0"/>
              <w:rPr>
                <w:sz w:val="24"/>
                <w:szCs w:val="24"/>
                <w:color w:val="auto"/>
              </w:rPr>
            </w:pPr>
          </w:p>
        </w:tc>
        <w:tc>
          <w:tcPr>
            <w:tcW w:w="306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17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the period</w:t>
            </w:r>
          </w:p>
        </w:tc>
        <w:tc>
          <w:tcPr>
            <w:tcW w:w="3060" w:type="dxa"/>
            <w:vAlign w:val="bottom"/>
            <w:shd w:val="clear" w:color="auto" w:fill="CCEEFF"/>
          </w:tcPr>
          <w:p>
            <w:pPr>
              <w:jc w:val="right"/>
              <w:ind w:right="2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4,664</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12,359</w:t>
            </w:r>
          </w:p>
        </w:tc>
      </w:tr>
      <w:tr>
        <w:trPr>
          <w:trHeight w:val="18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3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included in earnings</w:t>
            </w:r>
          </w:p>
        </w:tc>
        <w:tc>
          <w:tcPr>
            <w:tcW w:w="30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(3,978)</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2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(11,673)</w:t>
            </w:r>
          </w:p>
        </w:tc>
      </w:tr>
      <w:tr>
        <w:trPr>
          <w:trHeight w:val="171"/>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end of the period</w:t>
            </w:r>
          </w:p>
        </w:tc>
        <w:tc>
          <w:tcPr>
            <w:tcW w:w="3060" w:type="dxa"/>
            <w:vAlign w:val="bottom"/>
            <w:tcBorders>
              <w:bottom w:val="single" w:sz="8" w:color="auto"/>
            </w:tcBorders>
          </w:tcPr>
          <w:p>
            <w:pPr>
              <w:jc w:val="right"/>
              <w:ind w:right="2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w:t>
            </w:r>
          </w:p>
        </w:tc>
      </w:tr>
      <w:tr>
        <w:trPr>
          <w:trHeight w:val="20"/>
        </w:trPr>
        <w:tc>
          <w:tcPr>
            <w:tcW w:w="4140" w:type="dxa"/>
            <w:vAlign w:val="bottom"/>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r>
        <w:trPr>
          <w:trHeight w:val="884"/>
        </w:trPr>
        <w:tc>
          <w:tcPr>
            <w:tcW w:w="4140" w:type="dxa"/>
            <w:vAlign w:val="bottom"/>
          </w:tcPr>
          <w:p>
            <w:pPr>
              <w:spacing w:after="0"/>
              <w:rPr>
                <w:sz w:val="24"/>
                <w:szCs w:val="24"/>
                <w:color w:val="auto"/>
              </w:rPr>
            </w:pPr>
          </w:p>
        </w:tc>
        <w:tc>
          <w:tcPr>
            <w:tcW w:w="3060" w:type="dxa"/>
            <w:vAlign w:val="bottom"/>
          </w:tcPr>
          <w:p>
            <w:pPr>
              <w:jc w:val="right"/>
              <w:ind w:right="1409"/>
              <w:spacing w:after="0"/>
              <w:rPr>
                <w:sz w:val="20"/>
                <w:szCs w:val="20"/>
                <w:color w:val="auto"/>
              </w:rPr>
            </w:pPr>
            <w:r>
              <w:rPr>
                <w:rFonts w:ascii="Times New Roman" w:cs="Times New Roman" w:eastAsia="Times New Roman" w:hAnsi="Times New Roman"/>
                <w:sz w:val="14"/>
                <w:szCs w:val="14"/>
                <w:color w:val="auto"/>
              </w:rPr>
              <w:t>26</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87"/>
        </w:trPr>
        <w:tc>
          <w:tcPr>
            <w:tcW w:w="4140" w:type="dxa"/>
            <w:vAlign w:val="bottom"/>
            <w:tcBorders>
              <w:bottom w:val="single" w:sz="8" w:color="9A9A9A"/>
            </w:tcBorders>
          </w:tcPr>
          <w:p>
            <w:pPr>
              <w:spacing w:after="0"/>
              <w:rPr>
                <w:sz w:val="7"/>
                <w:szCs w:val="7"/>
                <w:color w:val="auto"/>
              </w:rPr>
            </w:pPr>
          </w:p>
        </w:tc>
        <w:tc>
          <w:tcPr>
            <w:tcW w:w="30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8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20. Fair Value Measurement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estimated fair value of financial instruments not carried at fair value in the condensed consolidated balance sheets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21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Level in Fair Value</w:t>
            </w:r>
          </w:p>
        </w:tc>
        <w:tc>
          <w:tcPr>
            <w:tcW w:w="180" w:type="dxa"/>
            <w:vAlign w:val="bottom"/>
          </w:tcPr>
          <w:p>
            <w:pPr>
              <w:spacing w:after="0"/>
              <w:rPr>
                <w:sz w:val="15"/>
                <w:szCs w:val="15"/>
                <w:color w:val="auto"/>
              </w:rPr>
            </w:pPr>
          </w:p>
        </w:tc>
        <w:tc>
          <w:tcPr>
            <w:tcW w:w="1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80" w:type="dxa"/>
            <w:vAlign w:val="bottom"/>
          </w:tcPr>
          <w:p>
            <w:pPr>
              <w:spacing w:after="0"/>
              <w:rPr>
                <w:sz w:val="15"/>
                <w:szCs w:val="15"/>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5"/>
                <w:szCs w:val="15"/>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80" w:type="dxa"/>
            <w:vAlign w:val="bottom"/>
          </w:tcPr>
          <w:p>
            <w:pPr>
              <w:spacing w:after="0"/>
              <w:rPr>
                <w:sz w:val="15"/>
                <w:szCs w:val="15"/>
                <w:color w:val="auto"/>
              </w:rPr>
            </w:pPr>
          </w:p>
        </w:tc>
        <w:tc>
          <w:tcPr>
            <w:tcW w:w="104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2900" w:type="dxa"/>
            <w:vAlign w:val="bottom"/>
          </w:tcPr>
          <w:p>
            <w:pPr>
              <w:spacing w:after="0"/>
              <w:rPr>
                <w:sz w:val="16"/>
                <w:szCs w:val="16"/>
                <w:color w:val="auto"/>
              </w:rPr>
            </w:pPr>
          </w:p>
        </w:tc>
        <w:tc>
          <w:tcPr>
            <w:tcW w:w="2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receivable</w:t>
            </w:r>
          </w:p>
        </w:tc>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3,855</w:t>
            </w:r>
          </w:p>
        </w:tc>
        <w:tc>
          <w:tcPr>
            <w:tcW w:w="2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3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3,650</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0" w:type="dxa"/>
            <w:vAlign w:val="bottom"/>
          </w:tcPr>
          <w:p>
            <w:pPr>
              <w:spacing w:after="0"/>
              <w:rPr>
                <w:sz w:val="1"/>
                <w:szCs w:val="1"/>
                <w:color w:val="auto"/>
              </w:rPr>
            </w:pPr>
          </w:p>
        </w:tc>
      </w:tr>
      <w:tr>
        <w:trPr>
          <w:trHeight w:val="180"/>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 payable</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14,016</w:t>
            </w:r>
          </w:p>
        </w:tc>
        <w:tc>
          <w:tcPr>
            <w:tcW w:w="2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9,867</w:t>
            </w:r>
          </w:p>
        </w:tc>
        <w:tc>
          <w:tcPr>
            <w:tcW w:w="3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18,695</w:t>
            </w:r>
          </w:p>
        </w:tc>
        <w:tc>
          <w:tcPr>
            <w:tcW w:w="24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14,607</w:t>
            </w:r>
          </w:p>
        </w:tc>
        <w:tc>
          <w:tcPr>
            <w:tcW w:w="0" w:type="dxa"/>
            <w:vAlign w:val="bottom"/>
          </w:tcPr>
          <w:p>
            <w:pPr>
              <w:spacing w:after="0"/>
              <w:rPr>
                <w:sz w:val="1"/>
                <w:szCs w:val="1"/>
                <w:color w:val="auto"/>
              </w:rPr>
            </w:pPr>
          </w:p>
        </w:tc>
      </w:tr>
      <w:tr>
        <w:trPr>
          <w:trHeight w:val="18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 financing facility</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5,581</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4,847</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6,371</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5,951</w:t>
            </w:r>
          </w:p>
        </w:tc>
        <w:tc>
          <w:tcPr>
            <w:tcW w:w="0" w:type="dxa"/>
            <w:vAlign w:val="bottom"/>
          </w:tcPr>
          <w:p>
            <w:pPr>
              <w:spacing w:after="0"/>
              <w:rPr>
                <w:sz w:val="1"/>
                <w:szCs w:val="1"/>
                <w:color w:val="auto"/>
              </w:rPr>
            </w:pPr>
          </w:p>
        </w:tc>
      </w:tr>
      <w:tr>
        <w:trPr>
          <w:trHeight w:val="180"/>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Yorkville Convertible Note</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7,333</w:t>
            </w:r>
          </w:p>
        </w:tc>
        <w:tc>
          <w:tcPr>
            <w:tcW w:w="2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7,444</w:t>
            </w:r>
          </w:p>
        </w:tc>
        <w:tc>
          <w:tcPr>
            <w:tcW w:w="3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29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2021 Convertible Notes without embedded</w:t>
            </w:r>
          </w:p>
        </w:tc>
        <w:tc>
          <w:tcPr>
            <w:tcW w:w="1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liability</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76,498</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55,082</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71,789</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61,866</w:t>
            </w:r>
          </w:p>
        </w:tc>
        <w:tc>
          <w:tcPr>
            <w:tcW w:w="0" w:type="dxa"/>
            <w:vAlign w:val="bottom"/>
          </w:tcPr>
          <w:p>
            <w:pPr>
              <w:spacing w:after="0"/>
              <w:rPr>
                <w:sz w:val="1"/>
                <w:szCs w:val="1"/>
                <w:color w:val="auto"/>
              </w:rPr>
            </w:pPr>
          </w:p>
        </w:tc>
      </w:tr>
    </w:tbl>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21. Shareholders’ Equity (Deficit)</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color w:val="auto"/>
        </w:rPr>
        <w:t>Preferred Shares</w:t>
      </w:r>
    </w:p>
    <w:p>
      <w:pPr>
        <w:spacing w:after="0" w:line="12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is authorized to issue 1,000,000 shares of preferred stock with such designations, voting and other rights and preferences as may be determined from time to time by the Company’s Board of Directors. At June 30, 2022 and December 31, 2021, there were no shares of preferred stock issued or outstanding.</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Common Stock</w:t>
      </w:r>
    </w:p>
    <w:p>
      <w:pPr>
        <w:spacing w:after="0" w:line="1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June 28, 2022, the Company’s shareholders approved an amendment to our Third Amended and Restated Certificate of Incorporation to increase the authorized shares of common stock with $0.0001 par value from 200,000,000 to 300,000,000. The holders of the Company’s common stock are entitled to one vote for each share. At June 30, 2022 and December 31, 2021, there were 58,519,739 and 53,786,632 shares of common stock issued and outstanding. As of June 30, 2022, the Company has generated net proceeds of $5,000 from the issuance of 3,967,939 shares at an average price of $1.26 per common share under the SEPA. In addition, upon the entry into the SEPA, 465,117 shares were issued to Yorkville as consideration for its irrevocable commitment to purchase common stock pursuant to the SEPA. Fair value of these shares of $1,061 was recorded as other expense in the condensed consolidated statements of operations and comprehensive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Contingently Issuable Common Stock</w:t>
      </w:r>
    </w:p>
    <w:p>
      <w:pPr>
        <w:spacing w:after="0" w:line="12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Following the closing of the Merger, and as additional consideration for the transaction, the Company was obligated to issue within five years from the closing date to each unitholder of EES its pro-rata proportion of a one-time issuance of an aggregate of 2,000,000 Shares (the “Earnout Shares” or "Contingently Issuable Common Stock"), within 5 business days after (i) the closing share price of the Company's shares traded equaling or exceeding $16.00 per share for any 20 trading days within any consecutive 30-trading day period during the Earnout Period or (ii) a Change of Control (or a definitive agreement providing for a Change of Control having been entered into) during the Earnout Period (each of clauses (i) and (ii), a “Triggering Event”).</w:t>
      </w:r>
    </w:p>
    <w:p>
      <w:pPr>
        <w:spacing w:after="0" w:line="7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On January 22, 2021, the Triggering Event for the issuance of the Earnout Shares occurred as the Company's stock price exceeded $16.00 per share for 20 trading days within a consecutive 30-trading day period during the Earnout Period. Accordingly, 1,999,185 Earnout Shares were issued to the unitholders of EES.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21. Shareholders’ Equity (Deficit)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Sponsor Earnout Shares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Pursuant to the Sponsor Earnout letter signed in connection with the Merger, 1,718,000 shares of common stock issued and outstanding held by BMRG ("Sponsor Earnout Shares") were subject to certain transfer and other restrictions, under which (a) 859,000 Sponsor Earnout Shares ("Block A Sponsor Earnout Shares") are restricted from being transferred unless and until either, for a period of five years after the Closing, (i) the share price of our common stock equals or exceeds $12.00 per share for any 20 trading days within any consecutive 30-trading day period or (ii) a change of control occurs for a share price equaling or exceeding $12.00 per share, and (b) the remaining 859,000 Sponsor Earnout Shares ("Block B Sponsor Earnout Shares") are subject to similar restrictions except that the threshold is increased from $12.00 to $16.00. If after the five year period, there are no Triggering Events, the Sponsor Earnout Shares will be forfeited and canceled for no consideration. If after the five year period, only the Triggering Event described in clause (a) above has occurred, the remaining 859,000 Sponsor Earnout Shares described in clause (b) will be forfeited and canceled for no consideration.</w:t>
      </w:r>
    </w:p>
    <w:p>
      <w:pPr>
        <w:spacing w:after="0" w:line="9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On January 22, 2021, as the Company's stock price exceeded $16.00 per share for 20 trading days within a consecutive 30-trading day period, the Block B Sponsor Earnout Shares were released from restriction.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Treasury Stock</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three and six months ended June 30, 2022, the Company recorded treasury stock of $26 and $852 for shares withheld from employees to cover the payroll tax liability of RSUs vested. The treasury stock was immediately retired. No treasury stock was recorded for the three and six months ended June 30, 2021.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Warrants</w:t>
      </w:r>
    </w:p>
    <w:p>
      <w:pPr>
        <w:spacing w:after="0" w:line="12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sold warrants to purchase 9,075,000 shares of the Company's common stock in the public offering and the private placement on May 22, 2020. Each warrant entitles the holder to purchase a share of common stock at a price of $11.50 per share. For the three months ended June 30, 2022 and 2021, — and 1,465,414 of Public Warrants were exercised, respectively, and for the six months ended June 30, 2022 and 2021, 600 and 1,465,414 of Public Warrants were exercised, respectively. At June 30, 2022 and December 31, 2021, there were 7,001,654 and 7,002,254 Public Warrants outstanding.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Earnings (loss) Per Share</w:t>
      </w:r>
    </w:p>
    <w:p>
      <w:pPr>
        <w:spacing w:after="0" w:line="127"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Basic earnings per share (“EPS”) is computed by dividing earnings available to common shareholders by the weighted average number of shares of common stock outstanding during the period. Other potentially dilutive common shares, and the related impact to earnings, are considered when calculating EPS on a diluted basis. As we incurred a net loss for the three and six months ended June 30, 2022 and 2021, the potential dilutive shares from stock options, restricted stock units, warrants, and convertible redeemable notes were excluded from the calculation of diluted net loss per share because their effect would have been anti-dilutive for the periods presented. Therefore, basic and diluted EPS are computed using the same number of weighted average shares for the three and six months ended June 30, 2022 and 2021. The following potentially dilutive shares were excluded from the calculation of diluted net loss per share because their effect would have been anti-dilutive for the periods presented:</w:t>
      </w:r>
    </w:p>
    <w:p>
      <w:pPr>
        <w:spacing w:after="0" w:line="19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r>
      <w:tr>
        <w:trPr>
          <w:trHeight w:val="180"/>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and restricted stock units</w:t>
            </w:r>
          </w:p>
        </w:tc>
        <w:tc>
          <w:tcPr>
            <w:tcW w:w="10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8,080,793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4,154,478</w:t>
            </w:r>
          </w:p>
        </w:tc>
        <w:tc>
          <w:tcPr>
            <w:tcW w:w="120" w:type="dxa"/>
            <w:vAlign w:val="bottom"/>
          </w:tcPr>
          <w:p>
            <w:pPr>
              <w:spacing w:after="0"/>
              <w:rPr>
                <w:sz w:val="15"/>
                <w:szCs w:val="15"/>
                <w:color w:val="auto"/>
              </w:rPr>
            </w:pPr>
          </w:p>
        </w:tc>
      </w:tr>
      <w:tr>
        <w:trPr>
          <w:trHeight w:val="180"/>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0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7,326,654</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7,609,586</w:t>
            </w:r>
          </w:p>
        </w:tc>
        <w:tc>
          <w:tcPr>
            <w:tcW w:w="120" w:type="dxa"/>
            <w:vAlign w:val="bottom"/>
          </w:tcPr>
          <w:p>
            <w:pPr>
              <w:spacing w:after="0"/>
              <w:rPr>
                <w:sz w:val="15"/>
                <w:szCs w:val="15"/>
                <w:color w:val="auto"/>
              </w:rPr>
            </w:pPr>
          </w:p>
        </w:tc>
      </w:tr>
      <w:tr>
        <w:trPr>
          <w:trHeight w:val="180"/>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Notes (if converted)</w:t>
            </w:r>
          </w:p>
        </w:tc>
        <w:tc>
          <w:tcPr>
            <w:tcW w:w="10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8,692,061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r>
      <w:tr>
        <w:trPr>
          <w:trHeight w:val="710"/>
        </w:trPr>
        <w:tc>
          <w:tcPr>
            <w:tcW w:w="7700" w:type="dxa"/>
            <w:vAlign w:val="bottom"/>
          </w:tcPr>
          <w:p>
            <w:pPr>
              <w:jc w:val="right"/>
              <w:ind w:right="1909"/>
              <w:spacing w:after="0"/>
              <w:rPr>
                <w:sz w:val="20"/>
                <w:szCs w:val="20"/>
                <w:color w:val="auto"/>
              </w:rPr>
            </w:pPr>
            <w:r>
              <w:rPr>
                <w:rFonts w:ascii="Times New Roman" w:cs="Times New Roman" w:eastAsia="Times New Roman" w:hAnsi="Times New Roman"/>
                <w:sz w:val="14"/>
                <w:szCs w:val="14"/>
                <w:color w:val="auto"/>
              </w:rPr>
              <w:t>28</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7"/>
        </w:trPr>
        <w:tc>
          <w:tcPr>
            <w:tcW w:w="77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22. Subsequent Events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Senior Secured Term Loan Credit Agreement</w:t>
      </w:r>
    </w:p>
    <w:p>
      <w:pPr>
        <w:spacing w:after="0" w:line="117"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4"/>
          <w:szCs w:val="14"/>
          <w:color w:val="auto"/>
        </w:rPr>
        <w:t>On July 29, 2022 (the “Closing Date”), the Company entered into a Senior Secured Term Loan Credit Agreement (the “Credit Agreement”) with ACP Post Oak Credit I LLC, as lender, administrative agent and collateral agent, and the lenders from time to time party thereto (collectively, “Atlas” or the “Lender”). The Credit Agreement provides for an $85,106 term loan (the “Term Loan”), the entirety of which was funded on the Closing Date. The Credit Agreement also permits the Company to make an one-time request for an additional commitment of up to $14,894, with funding of such commitment in the sole discretion of the Lenders, under certain circumstances and under the same terms as set forth in the Credit Agreement. On the Closing Date, the Company also entered into a Guarantee and Collateral Agreement, dated as of July 29, 2022, by and among the Company, the other grantors named therein and Atlas (the “Guarantee and Collateral Agreement”).</w:t>
      </w:r>
    </w:p>
    <w:p>
      <w:pPr>
        <w:spacing w:after="0" w:line="10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Term Loan is set to mature on the earlier of (i) July 29, 2026 and (ii) 91 days prior to the then-current maturity date of the 2021 Convertible Notes, which matures on June 30, 2026, after giving effect to any extension, refinancing or replacement thereof (the “Maturity Date”).</w:t>
      </w:r>
    </w:p>
    <w:p>
      <w:pPr>
        <w:spacing w:after="0" w:line="6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outstanding principal balance of the Term Loan bears interest at the applicable margin plus, at the Company’s election, either (i) the benchmark secured overnight financing rate (“SOFR”), which is a per annum rate equal to the greater of (y) the Term SOFR (as defined in the Credit Agreement) plus 0.2616% and (z) 1.0%, or (ii) the alternate base rate (“ABR”), which is a per annum rate equal to the greatest of (x) the Prime Rate (as defined in the Credit Agreement), (y) the NYFRB Rate (as defined in the Credit Agreement) plus 0.5% and (z) the SOFR. The applicable margin under the Credit Agreement is 8.50% per annum with respect to SOFR loans, and 7.50% per annum with respect to ABR loans.</w:t>
      </w:r>
    </w:p>
    <w:p>
      <w:pPr>
        <w:spacing w:after="0" w:line="7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4"/>
          <w:szCs w:val="14"/>
          <w:color w:val="auto"/>
        </w:rPr>
        <w:t>The Term Loan is secured by substantially all of the assets of the Company and its subsidiaries other than the assets of Hi-Power and is guaranteed by the Company’s subsidiaries other than Hi-Power. The Credit Agreement also contains customary affirmative and negative covenants. In particular, the Credit Agreement requires the Company to have liquidity of at least $9,621 as of the last day of each fiscal quarter, subject to certain adjustments set forth in the Credit Agreement. In addition, the Credit Agreement limits the Company’s and its subsidiaries’ ability to incur indebtedness, make restricted payments, including cash dividends on its common stock, make certain investments, loans and advances, enter into mergers and acquisitions, sell, assign, transfer or otherwise dispose of its assets, enter into transactions with its affiliates and engage in sale and leaseback transactions, among other restrictions. Furthermore, the limitation on the Company’s ability to incur indebtedness also (i) limits the amount of Pre-Advance Loans that the Company may have outstanding at any time to $15,000 under the SEPA and (ii) requires the payment of principal and interest in kind on each of the Pre-Advance Loans (if any) and the 2021 Convertible Notes.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Repayment of Yorkville Convertible Note</w:t>
      </w:r>
    </w:p>
    <w:p>
      <w:pPr>
        <w:spacing w:after="0" w:line="12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July 2022, pursuant to the terms of the Supplemental Agreement, Yorkville delivered six Investor Notices under the SEPA requiring the Company to issue and sell an aggregate of 3,393,663 shares of common stock at a price of $2.21 per share. The total purchase price of the shares of common stock was $7,500. The proceeds from the issuance of the shares were used to repay all outstanding amounts owed to Yorkville pursuant to the Promissory Note. The shares were issued on July 22, 2022 and August 1, 2022.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FINANCIAL CONDITION AND RESULTS OF OPERATIONS</w:t>
      </w:r>
    </w:p>
    <w:p>
      <w:pPr>
        <w:spacing w:after="0" w:line="109"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The following discussion should be read in conjunction with the accompanying unaudited financial statements for the six months ended June 30, 2022 and 2021 and our Annual Report on Form 10-K for the year ended December 31, 2021, including the financial statements and notes thereto.</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Statement Regarding Forward-Looking Information</w:t>
      </w:r>
    </w:p>
    <w:p>
      <w:pPr>
        <w:spacing w:after="0" w:line="11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This report contains statements about the future, sometimes referred to as “forward-looking” statements. Forward-looking statements are typically identified by the use of the words “anticipate,” “believe,” “estimate,” “project,” “expect,” “intend,” “plan,” “should,” and similar words and expressions. Statements that describe our future strategic plans, goals, or objectives are also forward-looking statements.</w:t>
      </w:r>
    </w:p>
    <w:p>
      <w:pPr>
        <w:spacing w:after="0" w:line="8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i w:val="1"/>
          <w:iCs w:val="1"/>
          <w:color w:val="auto"/>
        </w:rPr>
        <w:t>Readers of this report are cautioned that any forward-looking statements, including those regarding our management’s current beliefs, expectations, anticipations, estimations, projections, proposals, plans, or intentions, are not guarantees of future performance or results of events and involve risks and uncertainties. The forward-looking information is based on present circumstances and on our predictions respecting events that have not occurred, that may not occur, or that may occur with different consequences from those now assumed or anticipated. Actual events or results may differ materially from those discussed in the forward-looking statements as a result of various factors. See also the “Risk Factors” disclosures contained in our Annual Report on Form 10-K for the year ended December 31, 2021 for additional discussion of the risks and uncertainties that could cause our actual results to differ materially from those expressed or implied in our forward-looking statements. The forward-looking statements included in this report are made only as of the date of this report. We are not obligated to update such forward-looking statements to reflect subsequent events or circumstances.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Overview</w:t>
      </w:r>
    </w:p>
    <w:p>
      <w:pPr>
        <w:spacing w:after="0" w:line="12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was originally incorporated in Delaware on June 3, 2019 as a special purpose acquisition company under the name B. Riley Principal Merger Corp. II., in order to acquire, through a merger, capital stock exchange, asset acquisition, stock purchase, reorganization or similar business combination. Upon the completion of the business combination on November 16, 2020, the Company changed its name to “Eos Energy Enterprises, Inc.” The Company’s common shares started trading under the ticker NASDAQ: EOSE on November 16, 2020.</w:t>
      </w:r>
    </w:p>
    <w:p>
      <w:pPr>
        <w:spacing w:after="0" w:line="8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On April 9, 2021, the Company acquired, from Holtec, the 51% interest in Hi-Power that was not already owned by the Company. Following the consummation of the transaction, Hi-Power became a 100% indirect, wholly-owned subsidiary of the Company and the obligations of the parties under the Hi-Power joint venture terminated.</w:t>
      </w:r>
    </w:p>
    <w:p>
      <w:pPr>
        <w:spacing w:after="0" w:line="6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Eos Energy Enterprises, Inc. (the “Company” or “Eos”) designs, develops, manufactures, and markets innovative energy storage solutions for utility-scale, microgrid, and commercial &amp; industrial (“C&amp;I”) applications. Eos developed a broad range of intellectual property with multiple patents covering unique battery chemistry, mechanical product design, energy block configuration and a software operating system (Battery Management System). The Battery Management System (“BMS”) software uses proprietary Eos-developed algorithms and includes ambient and battery temperature sensors, as well as voltage and electric current sensors for the electrical strings and the system. Eos focuses on designing, developing, producing and selling safe, reliable, long-lasting and low-cost turn-key alternating current (“AC”) integrated systems using Eos’ direct current (“DC”) Battery Energy Storage System (“BESS”). The Company’s primary applications focus on integrating battery storage solutions with: (1) renewable energy systems that are connected to the utility power grid; (2) renewable energy systems that are not connected to the utility power grid; (3) storage systems utilized to relieve congestion; and (4) storage systems to assist C&amp;I customers in reducing their peak energy usage or participating in the utilities ancillary and demand response markets. The Company has a manufacturing facility in Turtle Creek, Pennsylvania to produce DC energy blocks with an integrated BMS. The Company’s primary market is North America with opportunistic growth opportunities in Europe, Oceania, Africa, and Asia.</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Strategy</w:t>
      </w:r>
    </w:p>
    <w:p>
      <w:pPr>
        <w:spacing w:after="0" w:line="127"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Company offers an innovative Znyth™ aqueous zinc battery energy storage system designed to provide the operating flexibility to manage increased grid complexity deriving from an overall increase in renewable energy generation and a congested grid coming from an increase in electricity demand growth. Our battery energy storage system is safe, scalable, sustainable and manufactured in the United States. Our battery energy storage system is the core of our innovative systems that today provide utilities, independent power producers, renewables developers, and C&amp;I customers with a proven, reliable energy storage alternative for 3- to 12-hour discharge durations. Our innovative spirit extends to our manufacturing strategy, which includes proprietary equipment and processes that allow us to scale quickly and with a lower capital intensity than other similar technologies. We believe our technology will continue to reduce cost and improve the operating efficiency and competitiveness of our battery energy storage systems.</w:t>
      </w:r>
    </w:p>
    <w:p>
      <w:pPr>
        <w:spacing w:after="0" w:line="9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Our growth strategy contemplates increasing sales of battery energy storage systems and related software and services through our direct sales team and sales channel partners. Our current and target customers include utilities, project developers, independent power producers and commercial and industrial companies.</w:t>
      </w:r>
    </w:p>
    <w:p>
      <w:pPr>
        <w:spacing w:after="0" w:line="6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addition to our battery energy storage systems, we currently offer: (a) a Battery Management System, a remote asset monitoring capability and service to track the performance and health of our battery energy storage system and to proactively identify future system performance issues through predictive analytics; (b) project management services to ensure the process of implementing our battery energy storage systems are coordinated in conjunction with the customer’s overall project plans; (c) commissioning services that ensure the customer’s installation of the battery energy storage system meets the performance expected by the customer, and (d) operations and maintenance plans to maintain optimal operating performance of our systems</w:t>
      </w:r>
      <w:r>
        <w:rPr>
          <w:rFonts w:ascii="Times New Roman" w:cs="Times New Roman" w:eastAsia="Times New Roman" w:hAnsi="Times New Roman"/>
          <w:sz w:val="14"/>
          <w:szCs w:val="14"/>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Factors Affecting Operating Results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Commercialization</w:t>
      </w:r>
    </w:p>
    <w:p>
      <w:pPr>
        <w:spacing w:after="0" w:line="12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achieved third-party product safety certification from Underwriter Laboratories (“UL”) for the Company’s system in August 2021. Eos’ battery energy storage system now meets international UL standards for battery energy storage systems.</w:t>
      </w:r>
    </w:p>
    <w:p>
      <w:pPr>
        <w:spacing w:after="0" w:line="6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continue to ramp up to full-scale production and enhance our factory testing protocols to ensure that our battery energy storage systems will operate at expected and optimized performance. While we expect the performance of our battery energy storage systems to improve as we increase our production volume, we anticipate the possibility of some supply chain disruptions because of the overall volatile supply chain environment and as a result of our suppliers rapidly ramping up their manufacturing capacity in conjunction with ours, which may affect the timing of deliveries to our customers.</w:t>
      </w:r>
    </w:p>
    <w:p>
      <w:pPr>
        <w:spacing w:after="0" w:line="8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Some of our customers may experience project delays in connection with site selection and preparation, permitting procedures and establishing grid connections. These delays have impacted, and may, from time to time, continue to impact the timing of our deliveries and, therefore, our results of operations.</w:t>
      </w:r>
    </w:p>
    <w:p>
      <w:pPr>
        <w:spacing w:after="0" w:line="7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continue to invest in production quality and manufacturing processes as we continue to scale our manufacturing capabilities to meet current backlog demand. We expect overall cost reductions, as well as improved quality driven by: (1) scale; (2) optimization of manufacturing processes through continuous improvement efforts; (3) better training and increasing experience level of our production labor force; (4) engineering design changes to reduce manufacturing complexity while also enhancing system performance; (5) improvement in equipment uptime and equipment maintenance; and (6) executing against our strategic sourcing strategy.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Trends and Competition</w:t>
      </w:r>
    </w:p>
    <w:p>
      <w:pPr>
        <w:spacing w:after="0" w:line="1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We expect the global energy storage market to grow given the current geopolitical and economic environment. Based on recent industry studies, the global energy storage market will grow at an estimated 30% compound annual growth rate between 2022 and 2030. Simply stated, the world needs more energy. We believe the world wants to generate that energy with sustainable sources, but this objective creates imbalances in our existing energy grid. Managing and mitigating those imbalances will require multiple energy storage technologies to provide safe and reliable power. Until now, most energy storage systems have been in short durations, meaning they have reliably provided power for less than four hours. We believe the future will require longer duration (6-12 hour) battery energy storage systems that provide the flexibility to match intermittency and congestion. We believe the storage opportunity is large (the projected Total Addressable Market = 115 GWh), and the numbers are big (every 1% share = $250M). The Znyth™ battery is composed of five earth-abundant, readily available raw materials with mature supply chains that allow us to drive cost down as we scale.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believe the Russian-Ukrainian war has added more urgency to global efforts for energy security as the reliance on Russian gas has led European policymakers to action to accelerate the transitions to alternative sources of power, including clean energy, and to increase stationary energy storage deployments. We also believe the recent significant increase in energy prices will be a catalyst for global efforts to decarbonize the grid, which is critical for meeting climate change goals.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We believe Lithium-ion (“Li-ion”) currently has over 95% market share in the stationary energy storage market. Li-ion’s prices for energy storage systems have increased significantly as final product availability remains extremely limited due to the lack of availability and significant increases in cost of Li-ion battery raw material components, including lithium carbonate, nickel, and cobalt as well as the high demand of Li-ion batteries driven primarily by mobile device applications. We believe we are the first commercially available battery system that is not based on Li-ion chemistry. We anticipate our battery energy storage system using Znyth™ technology will gradually take market share of the stationary storage market. This considers its unique operating characteristics, including a 100% depth of discharge capability, flattened degradation curve and a 3- to 12-hour duration, as well as other characteristics related to safety and the cost of operating and maintaining our battery energy storage system. Our ability to successfully deploy our battery energy storage system technology and gain market share in the energy storage market will be important to the growth of our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Landscape</w:t>
      </w:r>
    </w:p>
    <w:p>
      <w:pPr>
        <w:spacing w:after="0" w:line="11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 North America, geographic distribution of energy storage deployment has been driven by regulatory policy with both federal and state level programs contributing to stable revenue streams for energy storage.</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Recent regulatory developments supporting the energy storage market include:</w:t>
      </w:r>
    </w:p>
    <w:p>
      <w:pPr>
        <w:spacing w:after="0" w:line="115"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Jersey plans to initiate an energy storage incentive program totaling $180 million over 3 years;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Michigan created a roadmap for the future of storage in the state, including a proposed 4 GW of energy storage by 2040 deployment target;</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Northwest Power and Conservation Council’s six-year action plan called for 3.5 GW of new renewable sources by 2027, including a 4-hour standalone and paired battery storage systems;</w:t>
      </w:r>
    </w:p>
    <w:p>
      <w:pPr>
        <w:spacing w:after="0" w:line="11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California’s 2022-2023 budget includes $380 million for long duration storage as part of a $2 billion Clean Energy Funding Plan. The California Energy Storage Alliance and Strategy Consulting previously estimated that California needs 45+ GW of long duration storage in order to reach the state’s goal of 100% renewable electricity by 2045; and</w:t>
      </w:r>
    </w:p>
    <w:p>
      <w:pPr>
        <w:spacing w:after="0" w:line="7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York doubled its energy storage target from 3 GW by 2030 to 6 GW while keeping the same timeframe. Previous studies indicated the state will need at least 15 GW of storage by 2040 to support zero-emission goals.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Economic Impacts</w:t>
      </w:r>
    </w:p>
    <w:p>
      <w:pPr>
        <w:spacing w:after="0" w:line="1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We are currently operating in a period of global economic and geopolitical uncertainty, which has been exacerbated by the ongoing military conflict between Russia and Ukraine. Although the length and impact of the ongoing military conflict is highly unpredictable, the conflict in Ukraine has led to market disruptions, including significant volatility in commodity prices, credit and capital markets, an increase in cybersecurity incidents as well as additional supply chain disruptions. Additionally, Russia’s actions have led to sanctions and other penalties being levied by the United States, the European Union, and other countries, as well as other public and private actors and companies, against Russia and certain other geographic areas. We are continuing to monitor the situation in Ukraine, including its global effects, and assessing its potential impact on our business, including the timing of our sales as certain customers purchase safety stock for their own supply chains. Although our business has not been materially impacted by the ongoing military conflict in Ukraine as of the date of this filing, it is impossible to predict the extent to which our operations, or those of our customers or suppliers, will be impacted, or the ways in which the conflict may impact our business, cash flows or results of operations.</w:t>
      </w:r>
    </w:p>
    <w:p>
      <w:pPr>
        <w:spacing w:after="0" w:line="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novel coronavirus (“COVID-19”) outbreak has adversely affected the Company's workforce and operations, as well as the operations of its customers, distributors, suppliers and contractors. The Company has remained focused on maintaining protective measures to ensure the safety, health and welfare of our workforce and supply chain partners and delivering on commitments to our customers. The COVID-19 pandemic may impact our financial condition and results of operations in the future, which will ultimately depend on future developments, such as the ultimate duration and scope of the pandemic, its impact on our employees, customers, and supply chain partners, and the impact on the overall economy. Please see the “Risk Factors” section of our Annual Report on Form 10-K for the year ended December 31, 2021.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U.S. economy is experiencing broad and rapid inflation as well as supply issues in materials, service and labor due to among other factors, the effects of the pandemic and, more recently, the war in Ukraine. These impacts are likely to persist through 2022 and beyond. We cannot predict the impact on the Company’s customers or our manufacturing costs.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Highlights</w:t>
      </w:r>
    </w:p>
    <w:p>
      <w:pPr>
        <w:spacing w:after="0" w:line="127" w:lineRule="exact"/>
        <w:rPr>
          <w:sz w:val="20"/>
          <w:szCs w:val="20"/>
          <w:color w:val="auto"/>
        </w:rPr>
      </w:pPr>
    </w:p>
    <w:p>
      <w:pPr>
        <w:jc w:val="both"/>
        <w:ind w:left="520" w:hanging="260"/>
        <w:spacing w:after="0" w:line="270"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2022, we announced the expansion of our manufacturing facility to more than triple capacity to 800 MWh and meet production demand for its Znyth™ aqueous zinc batteries. The facility is located in Turtle Creek, Pennsylvania, outside of Pittsburgh, in a state-of-the-art facility known as Keystone Commons. The planned expansion of this facility will provide the Company with more than 46,000 square feet of additional space and the ability to create more than 125 jobs. The expansion is expected to be completed by December 2022.</w:t>
      </w:r>
    </w:p>
    <w:p>
      <w:pPr>
        <w:spacing w:after="0" w:line="72"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2022, the Company announced that it had advanced through Part I of the U.S. Department of Energy’s (“DOE”) Renewable Energy and Efficient Energy Loan Program. To be invited to submit a Part II loan application, the Company had to demonstrate to the DOE that Eos’s Znyth™ battery technology employs innovative technology and avoids or reduces greenhouse gas emissions. The Company has since proceeded to Part II of the application process to support, among other things, the previously announced expansion to triple the annualized capacity of its Turtle Creek domestic manufacturing facility to 800MWh by the end of 2022. In May 2022, the Company submitted an application under Part II of the loan program.</w:t>
      </w:r>
    </w:p>
    <w:p>
      <w:pPr>
        <w:spacing w:after="0" w:line="87"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March 2022, the Company entered into a master supply agreement with Bridgelink Commodities, LLC (“Bridgelink”) for storage projects across Texas (the “Bridgelink MSA”). Bridgelink committed to purchase 240 MWh of energy storage capacity provided by Eos’ Znyth™ zinc-based battery technology, accompanied by an option to purchase long-term maintenance support, with an additional option to expand to a total of 500 MWh over a term of 3 years, representing a total order value of up to $150 million.</w:t>
      </w:r>
    </w:p>
    <w:p>
      <w:pPr>
        <w:spacing w:after="0" w:line="82" w:lineRule="exact"/>
        <w:rPr>
          <w:rFonts w:ascii="Times New Roman" w:cs="Times New Roman" w:eastAsia="Times New Roman" w:hAnsi="Times New Roman"/>
          <w:sz w:val="14"/>
          <w:szCs w:val="14"/>
          <w:color w:val="auto"/>
        </w:rPr>
      </w:pPr>
    </w:p>
    <w:p>
      <w:pPr>
        <w:jc w:val="both"/>
        <w:ind w:left="520" w:hanging="260"/>
        <w:spacing w:after="0" w:line="258" w:lineRule="auto"/>
        <w:tabs>
          <w:tab w:leader="none" w:pos="516" w:val="left"/>
        </w:tabs>
        <w:numPr>
          <w:ilvl w:val="0"/>
          <w:numId w:val="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In April 2022, we announced that the Company entered into a $200 million common stock Standby Equity Purchase Agreement (the “Original SEPA”) with YA II PN, Ltd., an affiliate of Yorkville Advisors (“Yorkville”), which was subsequently amended by Amendment No. 1 thereto on June 13, 2022 (the “Amendment” and, together with the Original SEPA, the “SEPA”). The SEPA gives the Company the right, but not the obligation, to sell up to $200 million of common equity to Yorkville during the two-year term of the agreement. In May 2022, the Company issued and sold 3,967,939 shares of common stock to YA II PN, Ltd. under the SEPA for $5.0 million. In June 2022, the Company issued and sold a convertible promissory note (the “Promissory Note”) with an aggregate principal amount of $7.5 million in a private placement to YA II PN, Ltd. under a supplemental agreement dated as of June 13, 2022 to the SEPA between the Company and Yorkville (“the Supplemental Agreement”). As of the date of this report, the Company has repaid all outstanding amounts owed to Yorkville pursuant to the Promissory Note by issuing and selling to Yorkville an aggregate of 3,393,663 shares of its common stock.</w:t>
      </w:r>
    </w:p>
    <w:p>
      <w:pPr>
        <w:spacing w:after="0" w:line="82"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70"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2022, Eos shipped its 100th Energy Block energy storage system followed by completing production of the 20,000th battery module in early June at the Company’s Turtle Creek, Pennsylvania manufacturing facility. These milestones were accomplished in large part due to incremental production yield increases for three consecutive quarters culminating with crossing the 90% throughput yield threshold in early May.</w:t>
      </w:r>
    </w:p>
    <w:p>
      <w:pPr>
        <w:spacing w:after="0" w:line="82"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2022, Bridgelink Commodities, LLC increased the Bridgelink master supply agreement to 1 GWh of energy storage systems for deliveries over the next three years with an incremental order value of $181 million for new project installations and also issued a separate 40 MWh order valued at $13 million for fourth quarter 2022 delivery.</w:t>
      </w:r>
    </w:p>
    <w:p>
      <w:pPr>
        <w:spacing w:after="0" w:line="7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2022, a 300 MWh master supply agreement was signed with a leading Northeast solar developer for front of the meter stand-alone storage and solar storage applications that provide energy shifting and ancillary services with deliveries forecasted over the next three years.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57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786"/>
        </w:trPr>
        <w:tc>
          <w:tcPr>
            <w:tcW w:w="5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18"/>
        </w:trPr>
        <w:tc>
          <w:tcPr>
            <w:tcW w:w="5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three months ended June 30, 2022 and 2021</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8"/>
        </w:trPr>
        <w:tc>
          <w:tcPr>
            <w:tcW w:w="5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sets forth our operating results for the periods indicated:</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0"/>
        </w:trPr>
        <w:tc>
          <w:tcPr>
            <w:tcW w:w="10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8"/>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8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20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1"/>
        </w:trPr>
        <w:tc>
          <w:tcPr>
            <w:tcW w:w="56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5,283</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r>
      <w:tr>
        <w:trPr>
          <w:trHeight w:val="180"/>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Cost and expenses: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5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goods sold</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36,866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24,502</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r>
      <w:tr>
        <w:trPr>
          <w:trHeight w:val="180"/>
        </w:trPr>
        <w:tc>
          <w:tcPr>
            <w:tcW w:w="57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0"/>
        </w:trPr>
        <w:tc>
          <w:tcPr>
            <w:tcW w:w="5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7,790</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80"/>
        </w:trPr>
        <w:tc>
          <w:tcPr>
            <w:tcW w:w="57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Loss on pre-existing agreement</w:t>
            </w:r>
          </w:p>
        </w:tc>
        <w:tc>
          <w:tcPr>
            <w:tcW w:w="1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(22,516)</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5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from write-down of property, plant and equipment</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0"/>
        </w:trPr>
        <w:tc>
          <w:tcPr>
            <w:tcW w:w="574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4"/>
                <w:szCs w:val="14"/>
                <w:color w:val="auto"/>
              </w:rPr>
              <w:t>Grant expense (income), net</w:t>
            </w: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171"/>
        </w:trPr>
        <w:tc>
          <w:tcPr>
            <w:tcW w:w="5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(57,378)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(49,188)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(8,190)</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5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80"/>
        </w:trPr>
        <w:tc>
          <w:tcPr>
            <w:tcW w:w="57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Interest expense - related party</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0"/>
        </w:trPr>
        <w:tc>
          <w:tcPr>
            <w:tcW w:w="5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Remeasurement of equity method investment</w:t>
            </w:r>
          </w:p>
        </w:tc>
        <w:tc>
          <w:tcPr>
            <w:tcW w:w="1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7,480</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57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Change in fair value, embedded derivative - related party</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3,978</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0"/>
        </w:trPr>
        <w:tc>
          <w:tcPr>
            <w:tcW w:w="5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warrant liability - related party</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0"/>
        </w:trPr>
        <w:tc>
          <w:tcPr>
            <w:tcW w:w="57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Sale of state tax attributes</w:t>
            </w:r>
          </w:p>
        </w:tc>
        <w:tc>
          <w:tcPr>
            <w:tcW w:w="1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5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(expense)</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71"/>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(56,710)</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(54,043)</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100" w:type="dxa"/>
            <w:vAlign w:val="bottom"/>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57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Income tax benefit</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71"/>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(56,687)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(54,043)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(2,644)</w:t>
            </w:r>
          </w:p>
        </w:tc>
        <w:tc>
          <w:tcPr>
            <w:tcW w:w="10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
        </w:trPr>
        <w:tc>
          <w:tcPr>
            <w:tcW w:w="10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summary of our operating results for the three months ended June 30, 2022 is as follows: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12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generates revenues from the delivery of our battery energy storage systems and service-related solutions. We expect revenues to increase as we scale our production to meet customer demand.</w:t>
      </w:r>
    </w:p>
    <w:p>
      <w:pPr>
        <w:spacing w:after="0" w:line="7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Revenue increased by $5.3 million, or 863% from $0.6 million for the three months ended June 30, 2021 to $5.9 million for the three months ended June 30, 2022. The increase in revenue for the three months ended June 30, 2022 was primarily driven by a higher volume of battery energy storage systems delivered from our backlog compared to the same period of 2021.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goods sold</w:t>
      </w:r>
    </w:p>
    <w:p>
      <w:pPr>
        <w:spacing w:after="0" w:line="127"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Cost of goods sold increased by $24.5 million, or 198% from $12.4 million for the three months ended June 30, 2021 to $36.9 million for the three months ended June 30, 2022. The Company began shipping battery energy storage systems to customers in 2021. As a result, we have yet to achieve our optimal operational scale. However, we are beginning to experience improvement in first-pass manufacturing yield and increased throughput, and a material cost benefit from scale. We believe we have not yet reached the cost entitlement of our product cost, manufacturing processes or system design. We have seen significantly reduced scrap rates along with increased production output as we continue to ramp our production. We expect our overall gross margin percentage to improve as we increase volume in our factory, further refine our manufacturing processes, continue to optimize our supply chain, increase our sales, and spread our overhead costs over larger production volumes.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1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4"/>
          <w:szCs w:val="14"/>
          <w:color w:val="auto"/>
        </w:rPr>
        <w:t>Research and development expenses consist primarily of salaries and other personnel-related costs, materials, third-party services, depreciation on equipment and facilities used in our research and development process, and amortization of intangible assets. We expect our research and development costs to increase for the foreseeable future as we continue to invest in research and development activities that are necessary to develop our future technologies. We are investing to optimize how we manufacture and operate our battery energy storage system in the field, using a</w:t>
      </w:r>
    </w:p>
    <w:p>
      <w:pPr>
        <w:spacing w:after="0" w:line="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chemistry that has been proven over the last decade. In addition, we continue to invest in a next generation product whose test results to date are showing increased performance at an overall lower system cost than our current product configuration.</w:t>
      </w:r>
    </w:p>
    <w:p>
      <w:pPr>
        <w:spacing w:after="0" w:line="5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Research and development costs increased by $1.8 million or 50% from $3.6 million for the three months ended June 30, 2021 to $5.5 million for the three months ended June 30, 2022. The increase in research and development costs was primarily driven by $2.1 million of outside professional services, partially offset by a $0.3 million decrease of materials and supplies purchased.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11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Selling, general and administrative expenses consist mainly of personnel-related expenses including corporate, executive, finance, and other administrative functions, expenses for outside professional services, including legal, audit and accounting services, and expenses for facilities, depreciation, amortization, travel, and marketing costs. We expect selling, general and administrative expenses to increase for the foreseeable future as we implement an infrastructure that supports the growth of our business.</w:t>
      </w:r>
    </w:p>
    <w:p>
      <w:pPr>
        <w:spacing w:after="0" w:line="8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Selling, general and administrative expenses increased by $7.8 million or 69% from $11.3 million for the three months ended June 30, 2021 to $19.1 million for the three months ended June 30, 2022, primarily driven by increases of $3.3 million in outside consulting service expenses, primarily due to performance-based fees related to product cost reduction actions, $2.4 million in payroll and personnel costs and $1.3 million in legal and professional costs.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Loss on pre-existing agreement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incurred a loss on a pre-existing agreement of $22.5 million for the three months ended June 30, 2021 from the termination of the JV agreement with Holtec.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Loss from write-down on property, plant and equipment</w:t>
      </w:r>
    </w:p>
    <w:p>
      <w:pPr>
        <w:spacing w:after="0" w:line="127"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The Company incurred a $2.0 million loss from a write-down on property, plant and equipment for the three months ended June 30, 2022 due to the Company’s review of its assets and the resulting disposals identified for assets not in use as of June 30, 2022.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Grant (income) expense, net</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Grant (income) expense, net includes our expenses net of reimbursement related to grants provided primarily by the California Energy Commission (“CEC”).</w:t>
      </w:r>
    </w:p>
    <w:p>
      <w:pPr>
        <w:spacing w:after="0" w:line="125"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Grant (income) expense, net increased by $0.1 million from $0.1 million grant income for the three months ended June 30, 2021 to $0.2 million grant income for the three months ended June 30, 2022, which relates to grant expenses expected to be recovered from the CEC.</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 net and interest expense - related party</w:t>
      </w:r>
    </w:p>
    <w:p>
      <w:pPr>
        <w:spacing w:after="0" w:line="127"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Interest expense, net increased by $0.1 million or 84% from $0.2 million for the three months ended June 30, 2021 to $0.3 million for the three months ended June 30, 2022. This increase is a result of interest on the equipment financing facility, which was entered into in September 2021.</w:t>
      </w:r>
    </w:p>
    <w:p>
      <w:pPr>
        <w:spacing w:after="0" w:line="71"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Interest expense - related party increased by $2.7 million for the three months ended June 30, 2022 related to the 2021 Convertible Notes issued to Koch Industries in July 2021 and the Yorkville Convertible Notes issued in June 2022. Interest expense includes accrued interest and the amortization of debt issuance cost and the debt discount.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Remeasurement of equity method investment</w:t>
      </w:r>
    </w:p>
    <w:p>
      <w:pPr>
        <w:spacing w:after="0" w:line="127"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For the three months ended June 30, 2021, we recognized a $7.5 million loss on our equity method investment in Hi-Power. This loss on our equity method investment resulted from remeasurement of our 49% ownership in Hi-Power on April 9, 2021 due to our acquisition of the remaining 51% interest previously held by Holtec.</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fair value, embedded derivative - related party</w:t>
      </w:r>
    </w:p>
    <w:p>
      <w:pPr>
        <w:spacing w:after="0" w:line="11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2021 Convertible Notes issued in July 2021 contains a conversion feature which is precluded from being considered indexed to the Company’s stock. Therefore, the conversion feature is accounted for as an embedded derivative and remeasured at its fair value at each balance sheet date. The change in its fair value is recognized in the condensed consolidated statements of operations during the period of change. The change in fair value of $4.0 million for the three months ended June 30, 2022 reflects the change in fair value of the embedded derivative feature largely as a result of the decrease in the Company’s stock price.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fair value, warrants liability - related party</w:t>
      </w:r>
    </w:p>
    <w:p>
      <w:pPr>
        <w:spacing w:after="0" w:line="12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$0.3 million, or 54% change, from $0.6 million for the three months ended June 30, 2021 to $0.3 million for the three months ended June 30, 2022, reflects the change in fair value of the Private Placement Warrants classified as liability.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 of state tax attributes</w:t>
      </w:r>
    </w:p>
    <w:p>
      <w:pPr>
        <w:spacing w:after="0" w:line="14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recognized income of $2.2 million during the three months ended June 30, 2021, related to the sale of our state net operating losses and research and development credit carryforwards under the New Jersey Economic Development Authority Technology Business Tax Certificate Transfer Program.</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 (expense)</w:t>
      </w:r>
    </w:p>
    <w:p>
      <w:pPr>
        <w:spacing w:after="0" w:line="12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Other expense of $0.6 million for the three months ended June 30, 2022 included a commitment fee of $1.1 million paid upon entry into SEPA and $0.1 million of issuance costs from an Advance notice issued under the SEPA in May 2022, offset by the gain of $0.5 million from the settlement of the Advance under the SEPA.</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 benefit</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 income tax benefit of less than 0.1 million was recorded for the three months ended June 30, 2022 in relation to the pre-tax loss from the Company’s international subsidiaries.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786"/>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six months ended June 30, 2022 and 2021</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18"/>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sets forth our operating results for the periods indicated:</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0"/>
        </w:trPr>
        <w:tc>
          <w:tcPr>
            <w:tcW w:w="10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8"/>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8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20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1"/>
        </w:trPr>
        <w:tc>
          <w:tcPr>
            <w:tcW w:w="54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9,193</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8,417</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w:t>
            </w:r>
          </w:p>
        </w:tc>
      </w:tr>
      <w:tr>
        <w:trPr>
          <w:trHeight w:val="180"/>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Cost and expenses: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5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goods sold</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72,443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59,990</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r>
      <w:tr>
        <w:trPr>
          <w:trHeight w:val="180"/>
        </w:trPr>
        <w:tc>
          <w:tcPr>
            <w:tcW w:w="55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5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33,394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13,267</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0"/>
        </w:trPr>
        <w:tc>
          <w:tcPr>
            <w:tcW w:w="55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Loss on pre-existing agreement</w:t>
            </w:r>
          </w:p>
        </w:tc>
        <w:tc>
          <w:tcPr>
            <w:tcW w:w="1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30,368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(30,368)</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5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from write-down on property, plant and equipment</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18,127</w:t>
            </w:r>
          </w:p>
        </w:tc>
      </w:tr>
      <w:tr>
        <w:trPr>
          <w:trHeight w:val="180"/>
        </w:trPr>
        <w:tc>
          <w:tcPr>
            <w:tcW w:w="55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4"/>
                <w:szCs w:val="14"/>
                <w:color w:val="auto"/>
              </w:rPr>
              <w:t>Grant expense (income), net</w:t>
            </w: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171"/>
        </w:trPr>
        <w:tc>
          <w:tcPr>
            <w:tcW w:w="5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(70,839)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(38,241)</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0"/>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5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180"/>
        </w:trPr>
        <w:tc>
          <w:tcPr>
            <w:tcW w:w="55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Interest expense - related party</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(4,838)</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0"/>
        </w:trPr>
        <w:tc>
          <w:tcPr>
            <w:tcW w:w="5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Remeasurement of equity method investment</w:t>
            </w:r>
          </w:p>
        </w:tc>
        <w:tc>
          <w:tcPr>
            <w:tcW w:w="1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7,480</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55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Change in fair value, embedded derivative - related party</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11,673</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0"/>
        </w:trPr>
        <w:tc>
          <w:tcPr>
            <w:tcW w:w="5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warrant liability - related party</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180"/>
        </w:trPr>
        <w:tc>
          <w:tcPr>
            <w:tcW w:w="55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Income from equity in unconsolidated joint venture</w:t>
            </w:r>
          </w:p>
        </w:tc>
        <w:tc>
          <w:tcPr>
            <w:tcW w:w="1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5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 of state tax attributes</w:t>
            </w:r>
          </w:p>
        </w:tc>
        <w:tc>
          <w:tcPr>
            <w:tcW w:w="1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55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Other income (expense)</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71"/>
        </w:trPr>
        <w:tc>
          <w:tcPr>
            <w:tcW w:w="55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(102,543)</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(75,499)</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(27,044)</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0"/>
        </w:trPr>
        <w:tc>
          <w:tcPr>
            <w:tcW w:w="55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Income tax benefit</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6"/>
        </w:trPr>
        <w:tc>
          <w:tcPr>
            <w:tcW w:w="55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(102,478)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(75,499)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summary of our operating results for the six months ended June 30, 2022 is as follows: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12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Revenue increased by $8.4 million, or 1,085% from $0.8 million for the six months ended June 30, 2021 to $9.2 million for the six months ended June 30, 2022. The increase in revenue for the six months ended June 30, 2022 was primarily driven by higher volume of battery energy storage systems delivered from our backlog compared to the same period of 2021.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goods sold</w:t>
      </w:r>
    </w:p>
    <w:p>
      <w:pPr>
        <w:spacing w:after="0" w:line="127"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Cost of goods sold increased by $60.0 million, or 482% from $12.5 million for the six months ended June 30, 2021 to $72.4 million for the six months ended June 30, 2022. The Company began shipping battery energy storage systems to customers in 2021. As a result, we have yet to achieve our optimal operational scale. However, we are beginning to experience improvement in first-pass manufacturing yield and increased throughput, and a material cost benefit from scale. We believe we have not yet reached the cost entitlement of our product cost, manufacturing processes or system design. We have seen significantly reduced scrap rates along with increased production output as we continue to ramp our production. We expect our overall gross margin percentage to improve as we increase volume in our factory, further refine our manufacturing processes, continue to optimize our supply chain, increase our sales, and spread our overhead costs over larger production volumes.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1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Research and development costs increased by $1.7 million or 20% from $8.7 million for the six months ended June 30, 2021 to $10.4 million for the six months ended June 30, 2022. The increase in research and development costs was primarily driven by $2.1 million of outside professional services and $1.6 million of payroll and stock compensation costs, offset by a $2.2 million decrease of materials and supplies due to reduced battery testing.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11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Selling, general and administrative expenses increased by $13.3 million or 66% from $20.1 million for the six months ended June 30, 2021 to $33.4 million for the six months ended June 30, 2022, primarily driven by increases of $3.9 million in outside service expenses, primarily due to performance-based fees related to product cost reduction actions, $5.4 million in payroll and personnel costs, $2.4 million in legal and professional costs, $0.8 million in customs, duties and other taxes and $0.5 million in stock compensation costs.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Loss on pre-existing agreement</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incurred a loss on pre-existing agreement of $30.4 million for the six months ended June 30, 2021 from the termination of the JV agreement with Holtec.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Loss from write-down on property, plant and equipment</w:t>
      </w:r>
    </w:p>
    <w:p>
      <w:pPr>
        <w:spacing w:after="0" w:line="127" w:lineRule="exact"/>
        <w:rPr>
          <w:sz w:val="20"/>
          <w:szCs w:val="20"/>
          <w:color w:val="auto"/>
        </w:rPr>
      </w:pPr>
    </w:p>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The Company incurred a $2.0 million loss from a write-down on property, plant and equipment for the six months ended June 30, 2022 due to the Company’s review of its assets and the resulting disposals identified for assets not in use as of June 30, 2022.</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Grant (income) expense, net</w:t>
      </w:r>
    </w:p>
    <w:p>
      <w:pPr>
        <w:spacing w:after="0" w:line="11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Grant expense, net increased by less than $0.1 million for the six months ended June 30, 2022, compared to the six months ended June 30, 2021, which relates to grant expenses expected to be recovered from the CEC.</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 net and interest expense - related party</w:t>
      </w:r>
    </w:p>
    <w:p>
      <w:pPr>
        <w:spacing w:after="0" w:line="12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Interest expense, net increased by $0.4 million or 255% from $0.2 for the six months ended June 30, 2021 to $0.6 million for the six months ended June 30, 2022. This increase is a result of interest on an equipment financing facility, which was entered into in September 2021.</w:t>
      </w:r>
    </w:p>
    <w:p>
      <w:pPr>
        <w:spacing w:after="0" w:line="6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Interest expense - related party increased by $4.8 million for the six months ended June 30, 2022 related to the 2021 Convertible Notes issued to Koch Industries in July 2021 and the Yorkville Convertible Note issued in June 2022. Interest expense includes accrued interest and the amortization of debt issuance costs and the debt discount.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Remeasurement of equity method investment</w:t>
      </w:r>
    </w:p>
    <w:p>
      <w:pPr>
        <w:spacing w:after="0" w:line="12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For the six months ended June 30, 2021, we recognized a $7.5 million loss on our equity method investment in Hi-Power. This loss on our equity method investment resulted from remeasurement of our 49% ownership in Hi-Power on April 9, 2021 due to our acquisition of the remaining 51% interest previously held by Holtec.</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fair value, embedded derivative - related party</w:t>
      </w:r>
    </w:p>
    <w:p>
      <w:pPr>
        <w:spacing w:after="0" w:line="12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change in fair value of $11.7 million for the six months ended June 30, 2022 reflects the change in fair value of the embedded derivative feature of the 2021 Convertible Notes largely as a result of the decrease in the Company’s stock price.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fair value, warrants liability - related party</w:t>
      </w:r>
    </w:p>
    <w:p>
      <w:pPr>
        <w:spacing w:after="0" w:line="11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$0.5 million, or 132% change, from $0.4 million for the six months ended June 30, 2021 to $0.8 million for the six months ended June 30, 2022, reflects the change in fair value of the Private Placement Warrants classified as liability.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from equity in unconsolidated joint venture</w:t>
      </w:r>
    </w:p>
    <w:p>
      <w:pPr>
        <w:spacing w:after="0" w:line="117" w:lineRule="exact"/>
        <w:rPr>
          <w:sz w:val="20"/>
          <w:szCs w:val="20"/>
          <w:color w:val="auto"/>
        </w:rPr>
      </w:pPr>
    </w:p>
    <w:p>
      <w:pPr>
        <w:jc w:val="both"/>
        <w:ind w:firstLine="509"/>
        <w:spacing w:after="0" w:line="280" w:lineRule="auto"/>
        <w:rPr>
          <w:sz w:val="20"/>
          <w:szCs w:val="20"/>
          <w:color w:val="auto"/>
        </w:rPr>
      </w:pPr>
      <w:r>
        <w:rPr>
          <w:rFonts w:ascii="Times New Roman" w:cs="Times New Roman" w:eastAsia="Times New Roman" w:hAnsi="Times New Roman"/>
          <w:sz w:val="14"/>
          <w:szCs w:val="14"/>
          <w:color w:val="auto"/>
        </w:rPr>
        <w:t>The income from equity in unconsolidated joint venture is attributable to the results of our joint venture Hi-Power before the acquisition. Hi-Power became a wholly-owned subsidiary on April 9, 2021 and its operational results have been consolidated within the Company’s condensed consolidated statements of operations since the acquisition date for the six months ended June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 of state tax attributes</w:t>
      </w:r>
    </w:p>
    <w:p>
      <w:pPr>
        <w:spacing w:after="0" w:line="14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recognized income of $2.2 million during the six months ended June 30, 2021, related to the sale of our state net operating losses and research and development credit carryforwards under the New Jersey Economic Development Authority Technology Business Tax Certificate Transfer Program.</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 (expense)</w:t>
      </w:r>
    </w:p>
    <w:p>
      <w:pPr>
        <w:spacing w:after="0" w:line="11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Other expense of $0.5 million for the six months ended June 30, 2022 included a commitment fee of $1.1 million paid upon entry into the SEPA and $0.1 million of issuance costs from an Advance issued under the SEPA in May 2022, offset by the gain of $0.5 million from the settlement of the Advance under the SEPA.</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 benefit</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 income tax benefit of less than 0.1 million was recorded for the six months ended June 30, 2022 in relation to the pre-tax loss from the Company’s international subsidiaries.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2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The Company continues to increase the commercialization of its battery energy storage system and build a manufacturing footprint to meet its current demand. To date, the Company has had limited revenue generating activities. Accordingly, the Company has incurred significant recurring losses, and net operating cash outflows from operations. Operating expenses consist primarily of costs related to the Company’s sales of its battery energy storage system and related services, research and development costs, and recurring general and administrative expenses. Management and the Company’s Board of Directors anticipate the Company will eventually reach a scale of profitability through the sale of battery energy storage systems and other complementary products and services, and therefore, the Company believes the current stage of the Company’s lifecycle justifies continued intensive investment in the development and launch of products. Accordingly, the Company expects to continue to incur significant losses and net operating cash outflows from operations for the foreseeable future and to continue to require additional capital to fund the Company’s operations and obligations as they become due, including funding that is necessary to continue to scale up the Company’s operations to allow for the delivery of order backlog, to secure additional order opportunities for its battery energy storage systems, and to continue to invest in research and development.</w:t>
      </w:r>
    </w:p>
    <w:p>
      <w:pPr>
        <w:spacing w:after="0" w:line="8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The Company continues to pursue various funding options to raise additional capital to support its operations. As previously reported, the Company has moved through Part I of the application under the U.S. Department of Energy’s Loan Guarantee Solicitation for Applications for Renewable Energy Projects and Efficient Energy Projects (the “DOE Loan Program”), and submitted an application under Part II of the loan program in May 2022. In addition, in April 2022, the Company entered into a $200 million common stock SEPA with YA II PN, Ltd. an affiliate of Yorkville Advisors (“Yorkville”). The SEPA gives the Company the right, but not the obligation, to sell up to $200 million of common equity to Yorkville at times of the Company’s choosing during the two-year term of the agreement. The SEPA provides for shares to be issued to Yorkville at a discounted price of 97.0% of the 3-day volume-weighted average price following notification to Yorkville that the Company wishes to draw upon the facility (each, an “Advance”). Furthermore, the SEPA allows for Pre-Advance loans in the aggregate principal amount not to exceed $50 million per loan, pursuant to a promissory note subject to the mutual consent of the parties, which must be repaid with the proceeds from sales of equity to Yorkville, to the extent outstanding at the time of an Advance, or otherwise in cash. Notwithstanding the foregoing, pursuant to the terms of the Credit Agreement (as defined below), we cannot incur more than $15 million of Pre-Advance Loans pursuant to the SEPA. The Company’s option to sell shares of common stock to Yorkville remains subject to certain limitations including a requirement that Yorkville may not purchase any shares that would result in it owning more than 9.99 percent of the Company’s outstanding common stock at the time of an Advance. In May 2022, the Company issued and sold 3,967,939 shares of common stock to YA II PN, Ltd. under the SEPA for $5.0 million. In June 2022, the Company issued and sold a Promissory Note with an aggregate principal amount of $7.5 million in a private placement to Yorkville under the Supplemental Agreement to the SEPA. The Supplemental Agreement gave Yorkville the right to deliver notices (each, “Investor Notice”) requiring the Company to deliver an Advance notice under the SEPA for the issuance and sale of common stock for so long as there was an outstanding balance owed under the Promissory Note. The proceeds of any issuance of common stock pursuant to such an Advance will be used to repay amounts owed under the Promissory Note. As of August 1, 2022, we have repaid all outstanding amounts owed to Yorkville pursuant to the Promissory Note by issuing and selling to Yorkville an aggregate of 3,393,663 shares of our common stock pursuant to the Investor Notices.</w:t>
      </w:r>
    </w:p>
    <w:p>
      <w:pPr>
        <w:spacing w:after="0" w:line="9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There can be no assurance that the Company will successfully complete Part II of the DOE Loan Program or that the Company will be able to utilize the SEPA to its full $200.0 million capacity, or otherwise be able to obtain new funding from other sources on terms acceptable to the Company, on a timely basis, or at all.</w:t>
      </w:r>
    </w:p>
    <w:p>
      <w:pPr>
        <w:spacing w:after="0" w:line="7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continues to believe the uncertainties mentioned above raise substantial doubt about the Company’s ability to continue as a going concern. If the Company is unable to raise additional capital, on acceptable terms or at all, the Company may have to significantly delay, scale back or ultimately discontinue the development or commercialization of its product and/or consider a sale or other strategic transaction.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As of June 30, 2022, the Company had total assets of $97,740, which includes total cash and cash equivalents of $16,273, total liabilities of $155,569, which includes the total amounts owed on the Company’s outstanding convertible notes payable of $84,538 (see Note 14 in the Notes to the condensed consolidated financial statements), notes payable of $14,016 (see Note 15 in the Notes to the condensed consolidated financial statements) and long-term debt of $5,581 (see Note 16 in the Notes to the condensed consolidated financial statements) and a total accumulated deficit of $519,005, which is primarily attributable to the significant recurring losses the Company has accumulated since inception. The Company has historically relied on outside capital to fund its cost structure and expects this reliance to continue for the foreseeable future until the Company reaches profitability through its planned revenue generating activities. However, as of the date the accompanying condensed consolidated financial statements were issued, management concluded that the Company did not have sufficient capital on hand to support its current cost structure for one year after the date the accompanying condensed consolidated financial statements were issued. Based on our current financial projections, which are consistent with previous assessments, the Company will require additional capital to fund its operations or defer or reduce cash expenditures in the second half of 2022 to continue our operations.</w:t>
      </w:r>
    </w:p>
    <w:p>
      <w:pPr>
        <w:spacing w:after="0" w:line="8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As previously disclosed, since our inception, we have financed our operations primarily through funding received from the Private Placement of convertible notes and the issuance of common and preferred units. In November 2020, we received $142.3 million in connection with the consummation of the Merger and the Private Placement upon the Closing. In July 2021, we received $100.0 million in proceeds from the issuance of the 2021 Convertible Notes to Koch Industries (see Note 14 in the Notes to our condensed consolidated financial statements). In September 2021, the Company entered into a $25.0 million Equipment Financing Agreement with Trinity (the “Equipment Financing Agreement”), the proceeds of which will be used to acquire certain equipment and other property, subject to Trinity's approval. As of June 30, 2022, the Company had drawn $7.0 million from this equipment financing agreement. In May 2022, the Company received proceeds of $5.0 million from the issuance of shares under the SEPA between the Company and Yorkville, and net proceeds of $7.35 million from the issuance and sale of the Promissory Note to Yorkville under the Supplemental Agreement.</w:t>
      </w:r>
    </w:p>
    <w:p>
      <w:pPr>
        <w:spacing w:after="0" w:line="83"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4"/>
          <w:szCs w:val="14"/>
          <w:color w:val="auto"/>
        </w:rPr>
        <w:t>On July 29, 2022 (the “Closing Date”), the Company entered into a Senior Secured Term Loan Credit Agreement (the “Credit Agreement”) with ACP Post Oak Credit I LLC, as lender, administrative agent and collateral agent, and the lenders from time to time party thereto (collectively, “Atlas” or the “Lender”). The Credit Agreement provides for an $85.1 million term loan (the “Term Loan”), the entirety of which was funded on the Closing Date. The Credit Agreement also permits the Company to make an one-time request for an additional commitment of up to $14.9 million, with funding of such commitment in the sole discretion of the Lenders, under certain circumstances and under the same terms as set forth in the Credit Agreement. On the Closing Date, the Company also entered into a Guarantee and Collateral Agreement, dated as of July 29, 2022, by and among the Company, the other grantors named therein and Atlas (the “Guarantee and Collateral Agreement”).</w:t>
      </w:r>
    </w:p>
    <w:p>
      <w:pPr>
        <w:spacing w:after="0" w:line="9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Term Loan is set to mature on the earlier of (i) July 29, 2026 and (ii) 91 days prior to the then-current maturity date of the 2021 Convertible Notes, which matures on June 30, 2026, after giving effect to any extension, refinancing or replacement thereof (the “Maturity Date”).</w:t>
      </w:r>
    </w:p>
    <w:p>
      <w:pPr>
        <w:spacing w:after="0" w:line="7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outstanding principal balance of the Term Loan bears interest at the applicable margin plus, at the Company’s election, either (i) the benchmark secured overnight financing rate (“SOFR”), which is a per annum rate equal to the greater of (y) the Term SOFR (as defined in the Credit Agreement) plus 0.2616% and (z) 1.0%, or (ii) the alternate base rate (“ABR”), which is a per annum rate equal to the greatest of (x) the Prime Rate (as defined in the Credit Agreement), (y) the NYFRB Rate (as defined in the Credit Agreement) plus 0.5% and (z) the SOFR. The applicable margin under the Credit Agreement is 8.50% per annum with respect to SOFR loans, and 7.50% per annum with respect to ABR loans.</w:t>
      </w:r>
    </w:p>
    <w:p>
      <w:pPr>
        <w:spacing w:after="0" w:line="7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Term Loan is secured by substantially all of the assets of the Company and its subsidiaries other than the assets of Hi-Power and is guaranteed by the Company’s subsidiaries other than Hi-Power. The Credit Agreement also contains customary affirmative and negative covenants. In particular, the Credit Agreement requires the Company to have liquidity of at least $9.6 million as of the last day of each fiscal quarter, subject to certain adjustments set forth in the Credit Agreement. In addition, the Credit Agreement limits the Company’s and its subsidiaries’ ability to incur indebtedness, make restricted payments, including cash dividends on its common stock, make certain investments, loans and advances, enter into mergers and acquisitions, sell, assign, transfer or otherwise dispose of its assets, enter into transactions with its affiliates and engage in sale and leaseback transactions, among other restrictions. Furthermore, the limitation on the Company’s ability to incur indebtedness also (i) limits the amount of Pre-Advance Loans that the Company may have outstanding at any time to $15.0 million under the SEPA and (ii) requires the payment of principal and interest in kind on each of the Pre-Advance Loans (if any) and the 2021 Convertible Notes.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expect capital expenditures and working capital requirements to increase as we seek to execute on our growth strategy. We currently anticipate that total capital expenditures for fiscal 2022 will be approximately $25.0 million to $35.0 million, which will be used primarily for additional equipment, automation, and other infrastructure to expand our capacity to meet our customer’s needs. Our capital expenditure and working capital requirements in the foreseeable future may change depending on many factors, including but not limited to equipment requirements to support the next generation(s) of our battery energy storage systems and growth in our backlog, our operating results, our ability to secure funding and any adjustments in our operating plan needed in response to industry conditions, competition or unexpected events.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our cash flows from operating, investing, and financing activities for the periods presented.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1"/>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4"/>
                <w:szCs w:val="14"/>
                <w:color w:val="auto"/>
              </w:rPr>
            </w:pPr>
          </w:p>
        </w:tc>
        <w:tc>
          <w:tcPr>
            <w:tcW w:w="98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4"/>
                <w:szCs w:val="14"/>
                <w:color w:val="auto"/>
              </w:rPr>
            </w:pPr>
          </w:p>
        </w:tc>
        <w:tc>
          <w:tcPr>
            <w:tcW w:w="92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8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center"/>
              <w:ind w:left="309"/>
              <w:spacing w:after="0"/>
              <w:rPr>
                <w:sz w:val="20"/>
                <w:szCs w:val="20"/>
                <w:color w:val="auto"/>
              </w:rPr>
            </w:pPr>
            <w:r>
              <w:rPr>
                <w:rFonts w:ascii="Times New Roman" w:cs="Times New Roman" w:eastAsia="Times New Roman" w:hAnsi="Times New Roman"/>
                <w:sz w:val="14"/>
                <w:szCs w:val="14"/>
                <w:color w:val="auto"/>
              </w:rPr>
              <w:t>(86,992)</w:t>
            </w:r>
          </w:p>
        </w:tc>
        <w:tc>
          <w:tcPr>
            <w:tcW w:w="32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center"/>
              <w:ind w:left="329"/>
              <w:spacing w:after="0"/>
              <w:rPr>
                <w:sz w:val="20"/>
                <w:szCs w:val="20"/>
                <w:color w:val="auto"/>
              </w:rPr>
            </w:pPr>
            <w:r>
              <w:rPr>
                <w:rFonts w:ascii="Times New Roman" w:cs="Times New Roman" w:eastAsia="Times New Roman" w:hAnsi="Times New Roman"/>
                <w:sz w:val="14"/>
                <w:szCs w:val="14"/>
                <w:color w:val="auto"/>
              </w:rPr>
              <w:t>(48,887)</w:t>
            </w:r>
          </w:p>
        </w:tc>
      </w:tr>
      <w:tr>
        <w:trPr>
          <w:trHeight w:val="18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(11,758)</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rPr>
              <w:t>(15,784)</w:t>
            </w:r>
          </w:p>
        </w:tc>
      </w:tr>
      <w:tr>
        <w:trPr>
          <w:trHeight w:val="18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center"/>
              <w:ind w:left="309"/>
              <w:spacing w:after="0"/>
              <w:rPr>
                <w:sz w:val="20"/>
                <w:szCs w:val="20"/>
                <w:color w:val="auto"/>
              </w:rPr>
            </w:pPr>
            <w:r>
              <w:rPr>
                <w:rFonts w:ascii="Times New Roman" w:cs="Times New Roman" w:eastAsia="Times New Roman" w:hAnsi="Times New Roman"/>
                <w:sz w:val="14"/>
                <w:szCs w:val="14"/>
                <w:color w:val="auto"/>
              </w:rPr>
              <w:t>10,584</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center"/>
              <w:ind w:left="369"/>
              <w:spacing w:after="0"/>
              <w:rPr>
                <w:sz w:val="20"/>
                <w:szCs w:val="20"/>
                <w:color w:val="auto"/>
              </w:rPr>
            </w:pPr>
            <w:r>
              <w:rPr>
                <w:rFonts w:ascii="Times New Roman" w:cs="Times New Roman" w:eastAsia="Times New Roman" w:hAnsi="Times New Roman"/>
                <w:sz w:val="14"/>
                <w:szCs w:val="14"/>
                <w:color w:val="auto"/>
              </w:rPr>
              <w:t>17,508</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flows from operating activities:</w:t>
      </w:r>
    </w:p>
    <w:p>
      <w:pPr>
        <w:spacing w:after="0" w:line="12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Cash flows used in operating activities to date have been primarily comprised of costs related to research and development, manufacturing of our products, and other general and administrative activities. As we expand the commercial-grade production of our battery energy storage systems, we expect our expenses related to personnel, manufacturing, research and development and selling, general and administrative activities to increase.</w:t>
      </w:r>
    </w:p>
    <w:p>
      <w:pPr>
        <w:spacing w:after="0" w:line="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Net cash used in operating activities was $87.0 million for the six months ended June 30, 2022 which was comprised of a net loss of $102.5 million, adjusted for non-cash charges, including stock-based compensation of $7.4 million, depreciation and amortization of $2.3 million, change in fair value of embedded derivative of $11.7 million, change in fair value of warrants liability of $0.8 million, accreted interest on convertible notes payable of $1.5 million, and loss on write-down of property, plant and equipment of $2.0 million. The net cash inflow from changes in operating assets and liabilities was $13.1 million, primarily driven by an increase in accounts payable and accrued expenses of $20.6 million and increase in contract liabilities of $0.9 million, partially offset by an increase in accounts receivable of $0.7 million, an increase in vendor deposits of $5.3 million, and a decrease in notes payable of $4.7 million.</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Net cash used in operating activities was $48.9 million for the six months ended June 30, 2021, which was comprised of a net loss of $75.5 million, adjusted for non-cash charges, including stock-based compensation of $5.7 million, depreciation and amortization of $1.1 million, loss from remeasurement of equity investment of $7.5 million, and a change in fair value of warrants liability of $0.4 million. The net cash inflow from changes in operating assets and liabilities was $12.8 million, primarily driven by an increase in notes payable of $18.4 million, increase in contract liability of $1.3 million, increase in accounts payable and accrued expenses of $1.4 million, partially offset by a decrease in the provision for firm purchase commitments of $3.4 million, increase in vendor deposits of $3.2 million, and an increase in inventory of $1.6 million. The cash used in operating activities includes $15.1 million in payments made to Holtec in connection with the termination of the JV agreement. In addition, a significant amount of cash was spent on materials to refine and improve our manufacturing process as well as research and development activities to improve quality consistency.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flows from investing activities:</w:t>
      </w:r>
    </w:p>
    <w:p>
      <w:pPr>
        <w:spacing w:after="0" w:line="11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Cash flows used in investing activities for the six months ended June 30, 2022 were comprised primarily of payment made for purchases of property, plant and equipment of $11.5 million and notes receivable advanced to customers of $0.3 million.</w:t>
      </w:r>
    </w:p>
    <w:p>
      <w:pPr>
        <w:spacing w:after="0" w:line="7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Our cash flows used in investing activities for the six months ended June 30, 2021 were composed primarily of payments made for the Hi-Power acquisition of $0.2 million, purchases of property, plant and equipment of $7.5 million, investment in joint venture of $4.0 million, and notes receivable advanced to customers of $4.1 million.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flows from financing activities:</w:t>
      </w:r>
    </w:p>
    <w:p>
      <w:pPr>
        <w:spacing w:after="0" w:line="12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Net cash provided by financing activities was $10.6 million for the six months ended June 30, 2022, primarily due to the net proceeds received from issuance of convertible notes of $7.2 million and proceeds received from issuance of common stock under SEPA of $5.0 million, partially offset by payments on the equipment financing facility of $0.8 million and $0.9 million for share repurchases from employees for tax withholding purposes.</w:t>
      </w:r>
    </w:p>
    <w:p>
      <w:pPr>
        <w:spacing w:after="0" w:line="8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Net cash provided by financing activities was $17.5 million for the six months ended June 30, 2021, primarily due to the proceeds received from warrants exercised of $16.9 million and from options exercised of $0.8 million.</w:t>
      </w:r>
    </w:p>
    <w:p>
      <w:pPr>
        <w:spacing w:after="0" w:line="6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have certain obligations and commitments to make future payments under contracts. The following table sets forth our estimates of future payments at June 30, 2022. See Note 9, Note 14, Note 15, Note 16, and Note 19 for further information of these obligations and commitments.</w:t>
      </w:r>
    </w:p>
    <w:p>
      <w:pPr>
        <w:spacing w:after="0" w:line="179" w:lineRule="exact"/>
        <w:rPr>
          <w:sz w:val="20"/>
          <w:szCs w:val="20"/>
          <w:color w:val="auto"/>
        </w:rPr>
      </w:pPr>
    </w:p>
    <w:p>
      <w:pPr>
        <w:ind w:left="20"/>
        <w:spacing w:after="0"/>
        <w:tabs>
          <w:tab w:leader="none" w:pos="5560" w:val="left"/>
          <w:tab w:leader="none" w:pos="6500" w:val="left"/>
          <w:tab w:leader="none" w:pos="7920" w:val="left"/>
          <w:tab w:leader="none" w:pos="9160" w:val="left"/>
          <w:tab w:leader="none" w:pos="10140" w:val="left"/>
        </w:tabs>
        <w:rPr>
          <w:sz w:val="20"/>
          <w:szCs w:val="20"/>
          <w:color w:val="auto"/>
        </w:rPr>
      </w:pPr>
      <w:r>
        <w:rPr>
          <w:rFonts w:ascii="Times New Roman" w:cs="Times New Roman" w:eastAsia="Times New Roman" w:hAnsi="Times New Roman"/>
          <w:sz w:val="13"/>
          <w:szCs w:val="13"/>
          <w:b w:val="1"/>
          <w:bCs w:val="1"/>
          <w:color w:val="auto"/>
        </w:rPr>
        <w:t>($ in thousands)</w:t>
      </w:r>
      <w:r>
        <w:rPr>
          <w:sz w:val="20"/>
          <w:szCs w:val="20"/>
          <w:color w:val="auto"/>
        </w:rPr>
        <w:tab/>
      </w:r>
      <w:r>
        <w:rPr>
          <w:rFonts w:ascii="Times New Roman" w:cs="Times New Roman" w:eastAsia="Times New Roman" w:hAnsi="Times New Roman"/>
          <w:sz w:val="13"/>
          <w:szCs w:val="13"/>
          <w:b w:val="1"/>
          <w:bCs w:val="1"/>
          <w:color w:val="auto"/>
        </w:rPr>
        <w:t>Total</w:t>
      </w:r>
      <w:r>
        <w:rPr>
          <w:sz w:val="20"/>
          <w:szCs w:val="20"/>
          <w:color w:val="auto"/>
        </w:rPr>
        <w:tab/>
      </w:r>
      <w:r>
        <w:rPr>
          <w:rFonts w:ascii="Times New Roman" w:cs="Times New Roman" w:eastAsia="Times New Roman" w:hAnsi="Times New Roman"/>
          <w:sz w:val="13"/>
          <w:szCs w:val="13"/>
          <w:b w:val="1"/>
          <w:bCs w:val="1"/>
          <w:color w:val="auto"/>
        </w:rPr>
        <w:t>Less than 1 year</w:t>
      </w:r>
      <w:r>
        <w:rPr>
          <w:sz w:val="20"/>
          <w:szCs w:val="20"/>
          <w:color w:val="auto"/>
        </w:rPr>
        <w:tab/>
      </w:r>
      <w:r>
        <w:rPr>
          <w:rFonts w:ascii="Times New Roman" w:cs="Times New Roman" w:eastAsia="Times New Roman" w:hAnsi="Times New Roman"/>
          <w:sz w:val="13"/>
          <w:szCs w:val="13"/>
          <w:b w:val="1"/>
          <w:bCs w:val="1"/>
          <w:color w:val="auto"/>
        </w:rPr>
        <w:t>1-3 years</w:t>
      </w:r>
      <w:r>
        <w:rPr>
          <w:sz w:val="20"/>
          <w:szCs w:val="20"/>
          <w:color w:val="auto"/>
        </w:rPr>
        <w:tab/>
      </w:r>
      <w:r>
        <w:rPr>
          <w:rFonts w:ascii="Times New Roman" w:cs="Times New Roman" w:eastAsia="Times New Roman" w:hAnsi="Times New Roman"/>
          <w:sz w:val="13"/>
          <w:szCs w:val="13"/>
          <w:b w:val="1"/>
          <w:bCs w:val="1"/>
          <w:color w:val="auto"/>
        </w:rPr>
        <w:t>3-5 years</w:t>
      </w:r>
      <w:r>
        <w:rPr>
          <w:sz w:val="20"/>
          <w:szCs w:val="20"/>
          <w:color w:val="auto"/>
        </w:rPr>
        <w:tab/>
      </w:r>
      <w:r>
        <w:rPr>
          <w:rFonts w:ascii="Times New Roman" w:cs="Times New Roman" w:eastAsia="Times New Roman" w:hAnsi="Times New Roman"/>
          <w:sz w:val="12"/>
          <w:szCs w:val="12"/>
          <w:b w:val="1"/>
          <w:bCs w:val="1"/>
          <w:color w:val="auto"/>
        </w:rPr>
        <w:t>More than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61530" cy="1212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2021 Convertible Notes, including interest </w:t>
      </w:r>
      <w:r>
        <w:rPr>
          <w:rFonts w:ascii="Times New Roman" w:cs="Times New Roman" w:eastAsia="Times New Roman" w:hAnsi="Times New Roman"/>
          <w:sz w:val="18"/>
          <w:szCs w:val="18"/>
          <w:color w:val="auto"/>
          <w:vertAlign w:val="superscript"/>
        </w:rPr>
        <w:t>(1)</w:t>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Yorkville Convertible Note, including interest </w:t>
      </w:r>
      <w:r>
        <w:rPr>
          <w:rFonts w:ascii="Times New Roman" w:cs="Times New Roman" w:eastAsia="Times New Roman" w:hAnsi="Times New Roman"/>
          <w:sz w:val="17"/>
          <w:szCs w:val="17"/>
          <w:color w:val="auto"/>
          <w:vertAlign w:val="superscript"/>
        </w:rPr>
        <w:t>(2)</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Note payable, including interest</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Operating and capital lease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Firm purchase commitment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Equipment financing, including interest</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128,271</w:t>
            </w: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2,729</w:t>
            </w:r>
          </w:p>
        </w:tc>
        <w:tc>
          <w:tcPr>
            <w:tcW w:w="4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10,917</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114,625</w:t>
            </w:r>
          </w:p>
        </w:tc>
        <w:tc>
          <w:tcPr>
            <w:tcW w:w="5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r>
      <w:tr>
        <w:trPr>
          <w:trHeight w:val="293"/>
        </w:trPr>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7,725</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7,725</w:t>
            </w: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7,151</w:t>
            </w: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3,297</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580" w:type="dxa"/>
            <w:vAlign w:val="bottom"/>
          </w:tcPr>
          <w:p>
            <w:pPr>
              <w:spacing w:after="0"/>
              <w:rPr>
                <w:sz w:val="15"/>
                <w:szCs w:val="15"/>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6,815</w:t>
            </w: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4,362</w:t>
            </w: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165,367</w:t>
            </w: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19,831</w:t>
            </w:r>
          </w:p>
        </w:tc>
        <w:tc>
          <w:tcPr>
            <w:tcW w:w="4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28,576</w:t>
            </w: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116,960</w:t>
            </w:r>
          </w:p>
        </w:tc>
        <w:tc>
          <w:tcPr>
            <w:tcW w:w="5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-605790</wp:posOffset>
            </wp:positionV>
            <wp:extent cx="7161530" cy="1143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-376555</wp:posOffset>
            </wp:positionV>
            <wp:extent cx="7161530" cy="1143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-147320</wp:posOffset>
            </wp:positionV>
            <wp:extent cx="7161530" cy="134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80" w:space="720"/>
            <w:col w:w="6180"/>
          </w:cols>
          <w:pgMar w:left="300" w:top="125" w:right="319" w:bottom="1440" w:gutter="0" w:footer="0" w:header="0"/>
          <w:type w:val="continuous"/>
        </w:sectPr>
      </w:pPr>
    </w:p>
    <w:p>
      <w:pPr>
        <w:spacing w:after="0" w:line="51" w:lineRule="exact"/>
        <w:rPr>
          <w:sz w:val="20"/>
          <w:szCs w:val="20"/>
          <w:color w:val="auto"/>
        </w:rPr>
      </w:pPr>
    </w:p>
    <w:p>
      <w:pPr>
        <w:jc w:val="both"/>
        <w:ind w:right="80" w:firstLine="5"/>
        <w:spacing w:after="0" w:line="246" w:lineRule="auto"/>
        <w:tabs>
          <w:tab w:leader="none" w:pos="142"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methods of interest payments for the 2021 Convertible Notes are based on the Company's current intentions, which are subject to change. As of June 30, 2022, the Company intended to repay the contractual interest due on December 30, 2022 in-kind and remaining interest in cash. However, the Credit Agreement the Company entered into on July 29, 2022 limits the interest payment due in the future to be paid in-kind.</w:t>
      </w:r>
    </w:p>
    <w:p>
      <w:pPr>
        <w:spacing w:after="0" w:line="346" w:lineRule="exact"/>
        <w:rPr>
          <w:rFonts w:ascii="Times New Roman" w:cs="Times New Roman" w:eastAsia="Times New Roman" w:hAnsi="Times New Roman"/>
          <w:sz w:val="17"/>
          <w:szCs w:val="17"/>
          <w:color w:val="auto"/>
          <w:vertAlign w:val="superscript"/>
        </w:rPr>
      </w:pPr>
    </w:p>
    <w:p>
      <w:pPr>
        <w:ind w:firstLine="5"/>
        <w:spacing w:after="0" w:line="230" w:lineRule="auto"/>
        <w:tabs>
          <w:tab w:leader="none" w:pos="149"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of the date of this report, the Company has repaid all outstanding amounts owed to Yorkville under the Promissory Note by issuing and selling 3,393,663 shares of common stock pursuant to Investor Notices delivered pursuant to the SEPA and the Supplemental Agreement.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2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condensed consolidated financial statements are prepared in conformity with U.S. generally accepted accounting principles. In preparing our condensed consolidated financial statements, we make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w:t>
      </w:r>
    </w:p>
    <w:p>
      <w:pPr>
        <w:spacing w:after="0" w:line="8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significant accounting policies are described in Note 1 in the Notes to the audited financial statements included in our Annual Report on Form 10-K for the year ended December 31, 2021. Our most significant accounting policies, which reflect significant management estimates and judgment in determining amounts reported in our financial statements for the quarter ended June 30, 2022 were product warranty and fair value of the embedded conversion feature. There have been no material changes to our critical accounting estimates as compared to our critical accounting policies and estimates included in our Annual Report on Form 10-K for the year ended December 31, 2021.</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27"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There have been no material changes in our market risk exposures for the six months ended June 30, 2022, as compared to those discussed in our Annual Report on Form 10-K for the year ended December 31, 2021.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management, under the supervision of our Chief Executive Officer (CEO) and our Chief Financial Officer (CFO), evaluated the effectiveness of the design and operation of our disclosure controls and procedures (as defined in Rules 13a-15(e) and 15d-15(e) under the Exchange Act) as of the end of the period covered by this report. Based upon that evaluation, and consistent with the evaluations previously reported in prior periods, the CEO and CFO have concluded that our disclosure controls and procedures were not effective as of June 30, 2022 because of material weaknesses resulting from our lack of a formalized internal control framework in accordance with COSO, inadequate segregation of duties in the financial reporting process, lack of review and approval of journal entries, and a lack of management review controls.</w:t>
      </w:r>
    </w:p>
    <w:p>
      <w:pPr>
        <w:spacing w:after="0" w:line="90"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CEO and our CFO, to allow timely decisions regarding required disclosure.</w:t>
      </w:r>
    </w:p>
    <w:p>
      <w:pPr>
        <w:spacing w:after="0" w:line="8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light of these material weaknesses, we performed additional analyses, reconciliations, and other post-closing procedures to determine that our condensed consolidated financial statements are prepared in accordance with U.S. generally accepted accounting principles. Accordingly, management concluded that the condensed consolidated financial statements included in this report fairly present in all material respects our financial condition, results of operations and cash flows for the periods presented.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2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Rules 13a-15(f) and 15d-15(f) under the Securities Exchange Act of 1934) during our most recent quarter that have materially affected, or are reasonably likely to materially affect, our internal control over financial reporting.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From time to time, we may be involved in litigation relating to claims arising out of our operations.</w:t>
      </w:r>
    </w:p>
    <w:p>
      <w:pPr>
        <w:spacing w:after="0" w:line="125"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As disclosed in Note 9 of the Notes to our condensed consolidated financial statements, the Company was under a previously-reported investigation by the U.S. Department of Justice (the “DOJ”) for underpayment of certain custom duties in past years in connection with imports of batteries and battery components manufactured abroad. On July 7, 2022, the Company entered into a settlement agreement (the “Settlement Agreement”) with the DOJ and Vincent Icolari (“Relator”) to resolve the investigation. The investigation resulted from a qui tam lawsuit (the “Civil Action”) filed by the Relator in December 2019 alleging violations of the False Claims Act, which is currently pending in the United States District Court for the District of New Jersey.</w:t>
      </w:r>
    </w:p>
    <w:p>
      <w:pPr>
        <w:spacing w:after="0" w:line="8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Pursuant to the terms of the Settlement Agreement, Eos Energy has agreed to pay a total of $1.0 million to the United States and $0.1 million to Relator’s counsel. The Company had estimated the settlement amount and accrued it in the previously filed financial statement and the final settlement amount and legal fee were included in accrued expenses on the condensed consolidated balance sheets as of June 30, 2022.</w:t>
      </w:r>
    </w:p>
    <w:p>
      <w:pPr>
        <w:spacing w:after="0" w:line="7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disclosed in Note 9 of the Notes to our condensed consolidated financial statements, in April 2022, the Company received a subpoena from the U.S. Securities and Exchange Commission requesting information regarding a variety of matters, including negotiations and agreements with customers and the Company’s disclosures to investors. The Company is fully cooperating with the investigation, which is at an early stage, and is endeavoring to address all inquiries raised by the SEC staff as expeditiously as possible.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1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 addition to the other information set forth in the Quarterly Report on Form 10-Q, you should carefully consider the factors discussed in Part I, Item 1A, “Risk Factors” in our Annual Report on Form 10-K, for the fiscal year ended December 31, 2021, as further supplemented by the following updated risk factor related to potential legal proceedings.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nature of our business exposes us to potential legal proceedings or claims that could adversely affect our operating results. These claims could conceivably exceed the level of our liability insurance coverage.</w:t>
      </w:r>
    </w:p>
    <w:p>
      <w:pPr>
        <w:spacing w:after="0" w:line="5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are a party to lawsuits in the normal course of our business. Litigation can be expensive, lengthy and disruptive to normal business operations. Moreover, the results of complex legal proceedings are difficult to predict. Responding to lawsuits brought against us, or legal actions that we may initiate, can be expensive and time-consuming. Unfavorable outcomes from these claims and/or lawsuits could adversely affect our business, results of operations, or financial condition, and we could incur substantial monetary liability and/or be required to change our business practices.</w:t>
      </w:r>
    </w:p>
    <w:p>
      <w:pPr>
        <w:spacing w:after="0" w:line="8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business may expose us to claims for personal injury, death or property damage resulting from the use of our products or from employee related matters. Additionally, we could be subject to potential litigation associated with compliance with various laws and governmental regulations at the federal, state or local levels, such as those relating to the protection of persons with disabilities, employment, health, safety, security and other regulations under which we operate.</w:t>
      </w:r>
    </w:p>
    <w:p>
      <w:pPr>
        <w:spacing w:after="0" w:line="8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April 2022, the Company received a subpoena from the U.S. Securities and Exchange Commission requesting information regarding a variety of matters, including negotiations and agreements with customers and the Company’s disclosures to investors. The Company is fully cooperating with the investigation, which is at an early stage, and is endeavoring to address all inquiries raised by the SEC staff as expeditiously as possible.</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We carry comprehensive insurance, subject to deductibles, at levels we believe are sufficient to cover existing and future claims made during the respective policy periods. However, we may be exposed to multiple claims, and, as a result, could incur significant out-of-pocket costs before reaching the deductible amount, which could adversely affect our financial condition and results of operations. In addition, the cost of such insurance policies may increase significantly upon renewal of those policies as a result of general rate increases for the type of insurance we carry as well as our historical experience and experience in our industry. Although we have not experienced any material losses that were not covered by insurance, our existing or future claims may exceed the coverage level of our insurance, and such insurance may not continue to be available on economically reasonable terms, or at all. If we are required to pay significantly higher premiums for insurance, are not able to maintain insurance coverage at affordable rates or must pay amounts in excess of claims covered by our insurance, then we could experience higher costs that could adversely affect our financial condition and results of operations.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11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6"/>
        </w:trPr>
        <w:tc>
          <w:tcPr>
            <w:tcW w:w="10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(a) Exhibits</w:t>
            </w:r>
          </w:p>
        </w:tc>
        <w:tc>
          <w:tcPr>
            <w:tcW w:w="1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60" w:type="dxa"/>
            <w:vAlign w:val="bottom"/>
            <w:gridSpan w:val="23"/>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Schedule/Form</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18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80" w:type="dxa"/>
            <w:vAlign w:val="bottom"/>
            <w:tcBorders>
              <w:top w:val="single" w:sz="8" w:color="auto"/>
            </w:tcBorders>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4.1</w:t>
            </w: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740" w:type="dxa"/>
            <w:vAlign w:val="bottom"/>
            <w:tcBorders>
              <w:top w:val="single" w:sz="8" w:color="auto"/>
            </w:tcBorders>
            <w:gridSpan w:val="25"/>
            <w:shd w:val="clear" w:color="auto" w:fill="CCEEFF"/>
          </w:tcPr>
          <w:p>
            <w:pPr>
              <w:spacing w:after="0" w:line="139" w:lineRule="exact"/>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Indenture, dated April 7, 2022, between the Company and Wilmington Trust,</w:t>
              </w:r>
            </w:hyperlink>
          </w:p>
        </w:tc>
        <w:tc>
          <w:tcPr>
            <w:tcW w:w="2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Form 8-K</w:t>
            </w: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File No. 001-39291</w:t>
            </w: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April 13, 2022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360" w:type="dxa"/>
            <w:vAlign w:val="bottom"/>
            <w:tcBorders>
              <w:top w:val="single" w:sz="8" w:color="0000FF"/>
            </w:tcBorders>
            <w:gridSpan w:val="12"/>
            <w:shd w:val="clear" w:color="auto" w:fill="CCEEFF"/>
          </w:tcPr>
          <w:p>
            <w:pPr>
              <w:spacing w:after="0" w:line="118" w:lineRule="exact"/>
              <w:rPr>
                <w:rFonts w:ascii="Times New Roman" w:cs="Times New Roman" w:eastAsia="Times New Roman" w:hAnsi="Times New Roman"/>
                <w:sz w:val="13"/>
                <w:szCs w:val="13"/>
                <w:color w:val="0000FF"/>
              </w:rPr>
            </w:pPr>
            <w:hyperlink r:id="rId113">
              <w:r>
                <w:rPr>
                  <w:rFonts w:ascii="Times New Roman" w:cs="Times New Roman" w:eastAsia="Times New Roman" w:hAnsi="Times New Roman"/>
                  <w:sz w:val="13"/>
                  <w:szCs w:val="13"/>
                  <w:color w:val="0000FF"/>
                </w:rPr>
                <w:t>National Association, as trustee (incorporated by reference to Exhibit 10.1 of</w:t>
              </w:r>
            </w:hyperlink>
          </w:p>
        </w:tc>
        <w:tc>
          <w:tcPr>
            <w:tcW w:w="400" w:type="dxa"/>
            <w:vAlign w:val="bottom"/>
            <w:tcBorders>
              <w:top w:val="single" w:sz="8" w:color="CCEEFF"/>
            </w:tcBorders>
            <w:gridSpan w:val="14"/>
            <w:shd w:val="clear" w:color="auto" w:fill="CCEEFF"/>
          </w:tcPr>
          <w:p>
            <w:pPr>
              <w:jc w:val="right"/>
              <w:ind w:right="180"/>
              <w:spacing w:after="0" w:line="118" w:lineRule="exact"/>
              <w:rPr>
                <w:rFonts w:ascii="Times New Roman" w:cs="Times New Roman" w:eastAsia="Times New Roman" w:hAnsi="Times New Roman"/>
                <w:sz w:val="13"/>
                <w:szCs w:val="13"/>
                <w:color w:val="0000FF"/>
              </w:rPr>
            </w:pPr>
            <w:hyperlink r:id="rId113">
              <w:r>
                <w:rPr>
                  <w:rFonts w:ascii="Times New Roman" w:cs="Times New Roman" w:eastAsia="Times New Roman" w:hAnsi="Times New Roman"/>
                  <w:sz w:val="13"/>
                  <w:szCs w:val="13"/>
                  <w:color w:val="0000FF"/>
                </w:rPr>
                <w:t>the</w:t>
              </w:r>
            </w:hyperlink>
          </w:p>
        </w:tc>
        <w:tc>
          <w:tcPr>
            <w:tcW w:w="1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580" w:type="dxa"/>
            <w:vAlign w:val="bottom"/>
            <w:tcBorders>
              <w:top w:val="single" w:sz="8" w:color="0000FF"/>
            </w:tcBorders>
            <w:gridSpan w:val="17"/>
            <w:shd w:val="clear" w:color="auto" w:fill="CCEEFF"/>
          </w:tcPr>
          <w:p>
            <w:pPr>
              <w:spacing w:after="0" w:line="118" w:lineRule="exact"/>
              <w:rPr>
                <w:rFonts w:ascii="Times New Roman" w:cs="Times New Roman" w:eastAsia="Times New Roman" w:hAnsi="Times New Roman"/>
                <w:sz w:val="13"/>
                <w:szCs w:val="13"/>
                <w:color w:val="0000FF"/>
              </w:rPr>
            </w:pPr>
            <w:hyperlink r:id="rId113">
              <w:r>
                <w:rPr>
                  <w:rFonts w:ascii="Times New Roman" w:cs="Times New Roman" w:eastAsia="Times New Roman" w:hAnsi="Times New Roman"/>
                  <w:sz w:val="13"/>
                  <w:szCs w:val="13"/>
                  <w:color w:val="0000FF"/>
                </w:rPr>
                <w:t>Registrant’s Current Report on Form 8-K filed with the SEC on April 13, 2022)</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146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1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1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760" w:type="dxa"/>
            <w:vAlign w:val="bottom"/>
            <w:gridSpan w:val="26"/>
            <w:shd w:val="clear" w:color="auto" w:fill="CCEEFF"/>
          </w:tcPr>
          <w:p>
            <w:pPr>
              <w:spacing w:after="0" w:line="149" w:lineRule="exact"/>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Convertible Promissory Note, dated as of June 13, 2022, between Eos Energy</w:t>
              </w:r>
            </w:hyperlink>
          </w:p>
        </w:tc>
        <w:tc>
          <w:tcPr>
            <w:tcW w:w="1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Form 8-K</w:t>
            </w:r>
          </w:p>
        </w:tc>
        <w:tc>
          <w:tcPr>
            <w:tcW w:w="124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9"/>
              </w:rPr>
              <w:t>File No. 001-39291</w:t>
            </w: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June 13, 2022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400" w:type="dxa"/>
            <w:vAlign w:val="bottom"/>
            <w:tcBorders>
              <w:top w:val="single" w:sz="8" w:color="0000FF"/>
            </w:tcBorders>
            <w:gridSpan w:val="13"/>
            <w:shd w:val="clear" w:color="auto" w:fill="CCEEFF"/>
          </w:tcPr>
          <w:p>
            <w:pPr>
              <w:spacing w:after="0" w:line="118" w:lineRule="exact"/>
              <w:rPr>
                <w:rFonts w:ascii="Times New Roman" w:cs="Times New Roman" w:eastAsia="Times New Roman" w:hAnsi="Times New Roman"/>
                <w:sz w:val="13"/>
                <w:szCs w:val="13"/>
                <w:color w:val="0000FF"/>
              </w:rPr>
            </w:pPr>
            <w:hyperlink r:id="rId114">
              <w:r>
                <w:rPr>
                  <w:rFonts w:ascii="Times New Roman" w:cs="Times New Roman" w:eastAsia="Times New Roman" w:hAnsi="Times New Roman"/>
                  <w:sz w:val="13"/>
                  <w:szCs w:val="13"/>
                  <w:color w:val="0000FF"/>
                </w:rPr>
                <w:t>Enterprises, Inc. and YA II PN, LTD.</w:t>
              </w:r>
            </w:hyperlink>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14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1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1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760" w:type="dxa"/>
            <w:vAlign w:val="bottom"/>
            <w:gridSpan w:val="26"/>
            <w:shd w:val="clear" w:color="auto" w:fill="CCEEFF"/>
          </w:tcPr>
          <w:p>
            <w:pPr>
              <w:spacing w:after="0" w:line="149" w:lineRule="exact"/>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Standby Equity Purchase Agreement, dated April 28, 2022, by and between Eos</w:t>
              </w:r>
            </w:hyperlink>
          </w:p>
        </w:tc>
        <w:tc>
          <w:tcPr>
            <w:tcW w:w="1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Form 8-K</w:t>
            </w:r>
          </w:p>
        </w:tc>
        <w:tc>
          <w:tcPr>
            <w:tcW w:w="124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9"/>
              </w:rPr>
              <w:t>File No. 001-39291</w:t>
            </w: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April 28, 2022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160" w:type="dxa"/>
            <w:vAlign w:val="bottom"/>
            <w:tcBorders>
              <w:top w:val="single" w:sz="8" w:color="0000FF"/>
              <w:bottom w:val="single" w:sz="8" w:color="0000FF"/>
            </w:tcBorders>
            <w:gridSpan w:val="8"/>
            <w:shd w:val="clear" w:color="auto" w:fill="CCEEFF"/>
          </w:tcPr>
          <w:p>
            <w:pPr>
              <w:spacing w:after="0" w:line="139" w:lineRule="exact"/>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Energy Enterprises, Inc. and YA II PN, Ltd. (incorporated by reference to</w:t>
              </w:r>
            </w:hyperlink>
          </w:p>
        </w:tc>
        <w:tc>
          <w:tcPr>
            <w:tcW w:w="380" w:type="dxa"/>
            <w:vAlign w:val="bottom"/>
            <w:tcBorders>
              <w:top w:val="single" w:sz="8" w:color="0000FF"/>
              <w:bottom w:val="single" w:sz="8" w:color="CCEEFF"/>
            </w:tcBorders>
            <w:gridSpan w:val="8"/>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760" w:type="dxa"/>
            <w:vAlign w:val="bottom"/>
            <w:gridSpan w:val="26"/>
            <w:shd w:val="clear" w:color="auto" w:fill="CCEEFF"/>
          </w:tcPr>
          <w:p>
            <w:pPr>
              <w:spacing w:after="0" w:line="139" w:lineRule="exact"/>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Exhibit 10.1 of the Registrant’s Current Report on Form 8-K filed with the SEC</w:t>
              </w:r>
            </w:hyperlink>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520" w:type="dxa"/>
            <w:vAlign w:val="bottom"/>
            <w:tcBorders>
              <w:top w:val="single" w:sz="8" w:color="0000FF"/>
            </w:tcBorders>
            <w:gridSpan w:val="15"/>
            <w:shd w:val="clear" w:color="auto" w:fill="CCEEFF"/>
          </w:tcPr>
          <w:p>
            <w:pPr>
              <w:spacing w:after="0" w:line="129" w:lineRule="exact"/>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on April 28, 2022)</w:t>
              </w:r>
            </w:hyperlink>
          </w:p>
        </w:tc>
        <w:tc>
          <w:tcPr>
            <w:tcW w:w="8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8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46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1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8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980" w:type="dxa"/>
            <w:vAlign w:val="bottom"/>
            <w:tcBorders>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10.2*</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140" w:type="dxa"/>
            <w:vAlign w:val="bottom"/>
            <w:tcBorders>
              <w:bottom w:val="single" w:sz="8" w:color="0000FF"/>
            </w:tcBorders>
            <w:gridSpan w:val="7"/>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Joinder to Investment Agreement, dated May 1, 2022 among Eos Energy</w:t>
            </w:r>
          </w:p>
        </w:tc>
        <w:tc>
          <w:tcPr>
            <w:tcW w:w="620" w:type="dxa"/>
            <w:vAlign w:val="bottom"/>
            <w:tcBorders>
              <w:bottom w:val="single" w:sz="8" w:color="CCEEFF"/>
            </w:tcBorders>
            <w:gridSpan w:val="19"/>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760" w:type="dxa"/>
            <w:vAlign w:val="bottom"/>
            <w:gridSpan w:val="26"/>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FF"/>
              </w:rPr>
              <w:t>Enterprises, Inc., Spring Creek Capital, LLC and Wood River Capital, LLC</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9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1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1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9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8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760" w:type="dxa"/>
            <w:vAlign w:val="bottom"/>
            <w:gridSpan w:val="26"/>
            <w:shd w:val="clear" w:color="auto" w:fill="CCEEFF"/>
          </w:tcPr>
          <w:p>
            <w:pPr>
              <w:spacing w:after="0" w:line="149" w:lineRule="exact"/>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Amendment No. 1 to the Standby Equity Purchase Agreement, dated as of April</w:t>
              </w:r>
            </w:hyperlink>
          </w:p>
        </w:tc>
        <w:tc>
          <w:tcPr>
            <w:tcW w:w="1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Form 8-K</w:t>
            </w:r>
          </w:p>
        </w:tc>
        <w:tc>
          <w:tcPr>
            <w:tcW w:w="124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9"/>
              </w:rPr>
              <w:t>File No. 001-39291</w:t>
            </w: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June 13, 2022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660" w:type="dxa"/>
            <w:vAlign w:val="bottom"/>
            <w:tcBorders>
              <w:top w:val="single" w:sz="8" w:color="0000FF"/>
            </w:tcBorders>
            <w:gridSpan w:val="21"/>
            <w:shd w:val="clear" w:color="auto" w:fill="CCEEFF"/>
          </w:tcPr>
          <w:p>
            <w:pPr>
              <w:spacing w:after="0" w:line="118" w:lineRule="exact"/>
              <w:rPr>
                <w:rFonts w:ascii="Times New Roman" w:cs="Times New Roman" w:eastAsia="Times New Roman" w:hAnsi="Times New Roman"/>
                <w:sz w:val="13"/>
                <w:szCs w:val="13"/>
                <w:color w:val="0000FF"/>
              </w:rPr>
            </w:pPr>
            <w:hyperlink r:id="rId116">
              <w:r>
                <w:rPr>
                  <w:rFonts w:ascii="Times New Roman" w:cs="Times New Roman" w:eastAsia="Times New Roman" w:hAnsi="Times New Roman"/>
                  <w:sz w:val="13"/>
                  <w:szCs w:val="13"/>
                  <w:color w:val="0000FF"/>
                </w:rPr>
                <w:t>28, 2022, between Eos Energy Enterprises, Inc. and YA II PN, LTD.</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8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1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8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260" w:type="dxa"/>
            <w:vAlign w:val="bottom"/>
            <w:tcBorders>
              <w:bottom w:val="single" w:sz="8" w:color="0000FF"/>
            </w:tcBorders>
            <w:gridSpan w:val="9"/>
            <w:shd w:val="clear" w:color="auto" w:fill="CCEEFF"/>
          </w:tcPr>
          <w:p>
            <w:pPr>
              <w:spacing w:after="0" w:line="149" w:lineRule="exact"/>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Supplemental Agreement, dated as of June 13, 2022, to the Standby Equity</w:t>
              </w:r>
            </w:hyperlink>
          </w:p>
        </w:tc>
        <w:tc>
          <w:tcPr>
            <w:tcW w:w="500" w:type="dxa"/>
            <w:vAlign w:val="bottom"/>
            <w:tcBorders>
              <w:bottom w:val="single" w:sz="8" w:color="CCEEFF"/>
            </w:tcBorders>
            <w:gridSpan w:val="17"/>
            <w:shd w:val="clear" w:color="auto" w:fill="CCEEFF"/>
          </w:tcPr>
          <w:p>
            <w:pPr>
              <w:spacing w:after="0"/>
              <w:rPr>
                <w:sz w:val="12"/>
                <w:szCs w:val="12"/>
                <w:color w:val="auto"/>
              </w:rPr>
            </w:pPr>
          </w:p>
        </w:tc>
        <w:tc>
          <w:tcPr>
            <w:tcW w:w="1280" w:type="dxa"/>
            <w:vAlign w:val="bottom"/>
            <w:tcBorders>
              <w:bottom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Form 8-K</w:t>
            </w:r>
          </w:p>
        </w:tc>
        <w:tc>
          <w:tcPr>
            <w:tcW w:w="1240" w:type="dxa"/>
            <w:vAlign w:val="bottom"/>
            <w:tcBorders>
              <w:bottom w:val="single" w:sz="8" w:color="CCEEFF"/>
            </w:tcBorders>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9"/>
              </w:rPr>
              <w:t>File No. 001-39291</w:t>
            </w:r>
          </w:p>
        </w:tc>
        <w:tc>
          <w:tcPr>
            <w:tcW w:w="94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bottom w:val="single" w:sz="8" w:color="CCEEFF"/>
            </w:tcBorders>
            <w:shd w:val="clear" w:color="auto" w:fill="CCEEFF"/>
          </w:tcPr>
          <w:p>
            <w:pPr>
              <w:spacing w:after="0"/>
              <w:rPr>
                <w:sz w:val="12"/>
                <w:szCs w:val="12"/>
                <w:color w:val="auto"/>
              </w:rPr>
            </w:pPr>
          </w:p>
        </w:tc>
        <w:tc>
          <w:tcPr>
            <w:tcW w:w="184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June 13, 2022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760" w:type="dxa"/>
            <w:vAlign w:val="bottom"/>
            <w:gridSpan w:val="26"/>
            <w:shd w:val="clear" w:color="auto" w:fill="CCEEFF"/>
          </w:tcPr>
          <w:p>
            <w:pPr>
              <w:spacing w:after="0" w:line="139" w:lineRule="exact"/>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Purchase Agreement dated as of April 28, 2022 between Eos Energy Enterprises,</w:t>
              </w:r>
            </w:hyperlink>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600" w:type="dxa"/>
            <w:vAlign w:val="bottom"/>
            <w:tcBorders>
              <w:top w:val="single" w:sz="8" w:color="0000FF"/>
            </w:tcBorders>
            <w:gridSpan w:val="18"/>
            <w:shd w:val="clear" w:color="auto" w:fill="CCEEFF"/>
          </w:tcPr>
          <w:p>
            <w:pPr>
              <w:spacing w:after="0" w:line="139" w:lineRule="exact"/>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Inc. and YA II PN, LTD.</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4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1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1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9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10.5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760" w:type="dxa"/>
            <w:vAlign w:val="bottom"/>
            <w:gridSpan w:val="26"/>
            <w:shd w:val="clear" w:color="auto" w:fill="CCEEFF"/>
          </w:tcPr>
          <w:p>
            <w:pPr>
              <w:spacing w:after="0" w:line="159" w:lineRule="exact"/>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Senior Secured Term Loan Credit Agreement, dated as of July 29, 2022, by and</w:t>
              </w:r>
            </w:hyperlink>
          </w:p>
        </w:tc>
        <w:tc>
          <w:tcPr>
            <w:tcW w:w="128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240" w:type="dxa"/>
            <w:vAlign w:val="bottom"/>
            <w:gridSpan w:val="2"/>
            <w:shd w:val="clear" w:color="auto" w:fill="CCEEFF"/>
          </w:tcPr>
          <w:p>
            <w:pPr>
              <w:jc w:val="center"/>
              <w:ind w:right="10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9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3"/>
                <w:szCs w:val="13"/>
                <w:color w:val="auto"/>
              </w:rPr>
            </w:pPr>
          </w:p>
        </w:tc>
        <w:tc>
          <w:tcPr>
            <w:tcW w:w="18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August 1, 2022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500" w:type="dxa"/>
            <w:vAlign w:val="bottom"/>
            <w:tcBorders>
              <w:top w:val="single" w:sz="8" w:color="0000FF"/>
            </w:tcBorders>
            <w:gridSpan w:val="14"/>
            <w:shd w:val="clear" w:color="auto" w:fill="CCEEFF"/>
          </w:tcPr>
          <w:p>
            <w:pPr>
              <w:spacing w:after="0" w:line="139" w:lineRule="exact"/>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among Eos Energy Enterprises, Inc., the lenders party thereto, and ACP Post</w:t>
              </w:r>
            </w:hyperlink>
          </w:p>
        </w:tc>
        <w:tc>
          <w:tcPr>
            <w:tcW w:w="120" w:type="dxa"/>
            <w:vAlign w:val="bottom"/>
            <w:tcBorders>
              <w:top w:val="single" w:sz="8" w:color="CCEEFF"/>
            </w:tcBorders>
            <w:gridSpan w:val="5"/>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340" w:type="dxa"/>
            <w:vAlign w:val="bottom"/>
            <w:tcBorders>
              <w:top w:val="single" w:sz="8" w:color="0000FF"/>
            </w:tcBorders>
            <w:gridSpan w:val="11"/>
            <w:shd w:val="clear" w:color="auto" w:fill="CCEEFF"/>
          </w:tcPr>
          <w:p>
            <w:pPr>
              <w:spacing w:after="0" w:line="139" w:lineRule="exact"/>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Oak Credit I LLC, as administrative agent and collateral agent.</w:t>
              </w:r>
            </w:hyperlink>
          </w:p>
        </w:tc>
        <w:tc>
          <w:tcPr>
            <w:tcW w:w="280" w:type="dxa"/>
            <w:vAlign w:val="bottom"/>
            <w:tcBorders>
              <w:top w:val="single" w:sz="8" w:color="CCEEFF"/>
            </w:tcBorders>
            <w:gridSpan w:val="8"/>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1460" w:type="dxa"/>
            <w:vAlign w:val="bottom"/>
            <w:tcBorders>
              <w:top w:val="single" w:sz="8" w:color="0000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1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1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760" w:type="dxa"/>
            <w:vAlign w:val="bottom"/>
            <w:gridSpan w:val="26"/>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Executive Officer pursuant to Exchange Act Rules 13a-</w:t>
            </w: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700" w:type="dxa"/>
            <w:vAlign w:val="bottom"/>
            <w:tcBorders>
              <w:top w:val="single" w:sz="8" w:color="0000FF"/>
            </w:tcBorders>
            <w:gridSpan w:val="23"/>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14(a) and 15d-14(a), as adopted pursuant to Section 302 of the Sarbanes-Oxley</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1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680" w:type="dxa"/>
            <w:vAlign w:val="bottom"/>
            <w:tcBorders>
              <w:top w:val="single" w:sz="8" w:color="0000FF"/>
            </w:tcBorders>
            <w:gridSpan w:val="2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Act of 2002</w:t>
            </w: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4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1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1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760" w:type="dxa"/>
            <w:vAlign w:val="bottom"/>
            <w:gridSpan w:val="26"/>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Financial Officer pursuant to Exchange Act Rules 13a-</w:t>
            </w: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720" w:type="dxa"/>
            <w:vAlign w:val="bottom"/>
            <w:tcBorders>
              <w:top w:val="single" w:sz="8" w:color="0000FF"/>
            </w:tcBorders>
            <w:gridSpan w:val="24"/>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14(a) and 15d-14(a), as adopted pursuant to Section 302 of the Sarbanes-Oxley</w:t>
            </w:r>
          </w:p>
        </w:tc>
        <w:tc>
          <w:tcPr>
            <w:tcW w:w="40" w:type="dxa"/>
            <w:vAlign w:val="bottom"/>
            <w:tcBorders>
              <w:top w:val="single" w:sz="8" w:color="CCEEFF"/>
            </w:tcBorders>
            <w:gridSpan w:val="2"/>
            <w:shd w:val="clear" w:color="auto" w:fill="CCEEFF"/>
          </w:tcPr>
          <w:p>
            <w:pPr>
              <w:spacing w:after="0"/>
              <w:rPr>
                <w:sz w:val="10"/>
                <w:szCs w:val="10"/>
                <w:color w:val="auto"/>
              </w:rPr>
            </w:pPr>
          </w:p>
        </w:tc>
        <w:tc>
          <w:tcPr>
            <w:tcW w:w="1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680" w:type="dxa"/>
            <w:vAlign w:val="bottom"/>
            <w:tcBorders>
              <w:top w:val="single" w:sz="8" w:color="0000FF"/>
            </w:tcBorders>
            <w:gridSpan w:val="2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Act of 2002</w:t>
            </w:r>
          </w:p>
        </w:tc>
        <w:tc>
          <w:tcPr>
            <w:tcW w:w="80" w:type="dxa"/>
            <w:vAlign w:val="bottom"/>
            <w:tcBorders>
              <w:top w:val="single" w:sz="8" w:color="CCEEFF"/>
            </w:tcBorders>
            <w:gridSpan w:val="4"/>
            <w:shd w:val="clear" w:color="auto" w:fill="CCEEFF"/>
          </w:tcPr>
          <w:p>
            <w:pPr>
              <w:spacing w:after="0"/>
              <w:rPr>
                <w:sz w:val="12"/>
                <w:szCs w:val="12"/>
                <w:color w:val="auto"/>
              </w:rPr>
            </w:pPr>
          </w:p>
        </w:tc>
        <w:tc>
          <w:tcPr>
            <w:tcW w:w="1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4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1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1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760" w:type="dxa"/>
            <w:vAlign w:val="bottom"/>
            <w:gridSpan w:val="26"/>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Executive Officer and Chief Financial Officer pursuant to</w:t>
            </w: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640" w:type="dxa"/>
            <w:vAlign w:val="bottom"/>
            <w:tcBorders>
              <w:top w:val="single" w:sz="8" w:color="0000FF"/>
            </w:tcBorders>
            <w:gridSpan w:val="20"/>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18 U.S.C. Section 1350, as adopted pursuant to Section 906 of the Sarbanes-</w:t>
            </w:r>
          </w:p>
        </w:tc>
        <w:tc>
          <w:tcPr>
            <w:tcW w:w="120" w:type="dxa"/>
            <w:vAlign w:val="bottom"/>
            <w:tcBorders>
              <w:top w:val="single" w:sz="8" w:color="CCEEFF"/>
            </w:tcBorders>
            <w:gridSpan w:val="6"/>
            <w:shd w:val="clear" w:color="auto" w:fill="CCEEFF"/>
          </w:tcPr>
          <w:p>
            <w:pPr>
              <w:spacing w:after="0"/>
              <w:rPr>
                <w:sz w:val="10"/>
                <w:szCs w:val="10"/>
                <w:color w:val="auto"/>
              </w:rPr>
            </w:pPr>
          </w:p>
        </w:tc>
        <w:tc>
          <w:tcPr>
            <w:tcW w:w="1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620" w:type="dxa"/>
            <w:vAlign w:val="bottom"/>
            <w:tcBorders>
              <w:top w:val="single" w:sz="8" w:color="0000FF"/>
            </w:tcBorders>
            <w:gridSpan w:val="19"/>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Oxley Act of 2002</w:t>
            </w:r>
          </w:p>
        </w:tc>
        <w:tc>
          <w:tcPr>
            <w:tcW w:w="140" w:type="dxa"/>
            <w:vAlign w:val="bottom"/>
            <w:tcBorders>
              <w:top w:val="single" w:sz="8" w:color="CCEEFF"/>
            </w:tcBorders>
            <w:gridSpan w:val="7"/>
            <w:shd w:val="clear" w:color="auto" w:fill="CCEEFF"/>
          </w:tcPr>
          <w:p>
            <w:pPr>
              <w:spacing w:after="0"/>
              <w:rPr>
                <w:sz w:val="12"/>
                <w:szCs w:val="12"/>
                <w:color w:val="auto"/>
              </w:rPr>
            </w:pPr>
          </w:p>
        </w:tc>
        <w:tc>
          <w:tcPr>
            <w:tcW w:w="1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20" w:type="dxa"/>
            <w:vAlign w:val="bottom"/>
            <w:tcBorders>
              <w:top w:val="single" w:sz="8" w:color="CCEEFF"/>
            </w:tcBorders>
            <w:gridSpan w:val="2"/>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4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1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1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00" w:type="dxa"/>
            <w:vAlign w:val="bottom"/>
            <w:gridSpan w:val="3"/>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101.INS</w:t>
            </w:r>
          </w:p>
        </w:tc>
        <w:tc>
          <w:tcPr>
            <w:tcW w:w="20" w:type="dxa"/>
            <w:vAlign w:val="bottom"/>
            <w:shd w:val="clear" w:color="auto" w:fill="CCEEFF"/>
          </w:tcPr>
          <w:p>
            <w:pPr>
              <w:spacing w:after="0"/>
              <w:rPr>
                <w:sz w:val="11"/>
                <w:szCs w:val="11"/>
                <w:color w:val="auto"/>
              </w:rPr>
            </w:pPr>
          </w:p>
        </w:tc>
        <w:tc>
          <w:tcPr>
            <w:tcW w:w="4760" w:type="dxa"/>
            <w:vAlign w:val="bottom"/>
            <w:gridSpan w:val="26"/>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XBRL Instance Document - the instance document does not appear in the</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760" w:type="dxa"/>
            <w:vAlign w:val="bottom"/>
            <w:gridSpan w:val="26"/>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7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document.</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shd w:val="clear" w:color="auto" w:fill="CCEEFF"/>
          </w:tcPr>
          <w:p>
            <w:pPr>
              <w:spacing w:after="0"/>
              <w:rPr>
                <w:sz w:val="15"/>
                <w:szCs w:val="15"/>
                <w:color w:val="auto"/>
              </w:rPr>
            </w:pPr>
          </w:p>
        </w:tc>
        <w:tc>
          <w:tcPr>
            <w:tcW w:w="47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27"/>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gridSpan w:val="19"/>
          </w:tcPr>
          <w:p>
            <w:pPr>
              <w:jc w:val="right"/>
              <w:ind w:right="20"/>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818"/>
        </w:trPr>
        <w:tc>
          <w:tcPr>
            <w:tcW w:w="10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840" w:type="dxa"/>
            <w:vAlign w:val="bottom"/>
            <w:tcBorders>
              <w:bottom w:val="single" w:sz="8" w:color="auto"/>
            </w:tcBorders>
          </w:tcPr>
          <w:p>
            <w:pPr>
              <w:spacing w:after="0"/>
              <w:rPr>
                <w:sz w:val="24"/>
                <w:szCs w:val="24"/>
                <w:color w:val="auto"/>
              </w:rPr>
            </w:pPr>
          </w:p>
        </w:tc>
      </w:tr>
      <w:tr>
        <w:trPr>
          <w:trHeight w:val="17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740" w:type="dxa"/>
            <w:vAlign w:val="bottom"/>
            <w:gridSpan w:val="2"/>
          </w:tcPr>
          <w:p>
            <w:pPr>
              <w:ind w:left="15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Schedule/Form</w:t>
            </w: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18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171"/>
        </w:trPr>
        <w:tc>
          <w:tcPr>
            <w:tcW w:w="10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80" w:type="dxa"/>
            <w:vAlign w:val="bottom"/>
            <w:tcBorders>
              <w:top w:val="single" w:sz="8" w:color="CCEEFF"/>
            </w:tcBorders>
            <w:shd w:val="clear" w:color="auto" w:fill="CCEEFF"/>
          </w:tcPr>
          <w:p>
            <w:pPr>
              <w:spacing w:after="0"/>
              <w:rPr>
                <w:sz w:val="14"/>
                <w:szCs w:val="14"/>
                <w:color w:val="auto"/>
              </w:rPr>
            </w:pPr>
          </w:p>
        </w:tc>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14"/>
                <w:szCs w:val="14"/>
                <w:color w:val="auto"/>
              </w:rPr>
            </w:pPr>
          </w:p>
        </w:tc>
      </w:tr>
      <w:tr>
        <w:trPr>
          <w:trHeight w:val="127"/>
        </w:trPr>
        <w:tc>
          <w:tcPr>
            <w:tcW w:w="104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r>
      <w:tr>
        <w:trPr>
          <w:trHeight w:val="180"/>
        </w:trPr>
        <w:tc>
          <w:tcPr>
            <w:tcW w:w="1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127"/>
        </w:trPr>
        <w:tc>
          <w:tcPr>
            <w:tcW w:w="104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r>
      <w:tr>
        <w:trPr>
          <w:trHeight w:val="180"/>
        </w:trPr>
        <w:tc>
          <w:tcPr>
            <w:tcW w:w="1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127"/>
        </w:trPr>
        <w:tc>
          <w:tcPr>
            <w:tcW w:w="104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r>
      <w:tr>
        <w:trPr>
          <w:trHeight w:val="180"/>
        </w:trPr>
        <w:tc>
          <w:tcPr>
            <w:tcW w:w="1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bl>
    <w:p>
      <w:pPr>
        <w:spacing w:after="0" w:line="123" w:lineRule="exact"/>
        <w:rPr>
          <w:sz w:val="20"/>
          <w:szCs w:val="20"/>
          <w:color w:val="auto"/>
        </w:rPr>
      </w:pPr>
    </w:p>
    <w:p>
      <w:pPr>
        <w:ind w:left="1140" w:right="5760" w:hanging="1121"/>
        <w:spacing w:after="0" w:line="271" w:lineRule="auto"/>
        <w:tabs>
          <w:tab w:leader="none" w:pos="1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161530" cy="2292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61530" cy="22923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23" w:lineRule="exact"/>
        <w:rPr>
          <w:sz w:val="20"/>
          <w:szCs w:val="20"/>
          <w:color w:val="auto"/>
        </w:rPr>
      </w:pPr>
    </w:p>
    <w:p>
      <w:pPr>
        <w:ind w:left="260" w:hanging="255"/>
        <w:spacing w:after="0" w:line="253" w:lineRule="auto"/>
        <w:tabs>
          <w:tab w:leader="none" w:pos="26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exhibits and schedules to this Exhibit have been omitted in accordance with Regulation S-K Item 601(a)(5). The Registrant agrees to furnish a copy of all omitted exhibits and schedules to the SEC upon its request.</w:t>
      </w:r>
    </w:p>
    <w:p>
      <w:pPr>
        <w:ind w:left="260" w:hanging="255"/>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30" w:lineRule="exact"/>
        <w:rPr>
          <w:sz w:val="20"/>
          <w:szCs w:val="20"/>
          <w:color w:val="auto"/>
        </w:rPr>
      </w:pPr>
    </w:p>
    <w:p>
      <w:pPr>
        <w:ind w:left="260" w:hanging="255"/>
        <w:spacing w:after="0" w:line="290" w:lineRule="auto"/>
        <w:tabs>
          <w:tab w:leader="none" w:pos="25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Financial Statements</w:t>
      </w:r>
      <w:r>
        <w:rPr>
          <w:rFonts w:ascii="Times New Roman" w:cs="Times New Roman" w:eastAsia="Times New Roman" w:hAnsi="Times New Roman"/>
          <w:sz w:val="14"/>
          <w:szCs w:val="14"/>
          <w:color w:val="auto"/>
        </w:rPr>
        <w:t>. The financial statements filed as part of this registration statement are listed in the index to the financial statements immediately preceding such financial statements,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index to the financial statements is incorporated herein by reference.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7000" w:type="dxa"/>
            <w:vAlign w:val="bottom"/>
            <w:gridSpan w:val="3"/>
          </w:tcPr>
          <w:p>
            <w:pPr>
              <w:ind w:left="278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tc>
        <w:tc>
          <w:tcPr>
            <w:tcW w:w="120" w:type="dxa"/>
            <w:vAlign w:val="bottom"/>
          </w:tcPr>
          <w:p>
            <w:pPr>
              <w:spacing w:after="0"/>
              <w:rPr>
                <w:sz w:val="16"/>
                <w:szCs w:val="16"/>
                <w:color w:val="auto"/>
              </w:rPr>
            </w:pPr>
          </w:p>
        </w:tc>
      </w:tr>
      <w:tr>
        <w:trPr>
          <w:trHeight w:val="38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Date: August 1, 2022</w:t>
            </w:r>
          </w:p>
        </w:tc>
        <w:tc>
          <w:tcPr>
            <w:tcW w:w="3600" w:type="dxa"/>
            <w:vAlign w:val="bottom"/>
          </w:tcPr>
          <w:p>
            <w:pPr>
              <w:ind w:left="2780"/>
              <w:spacing w:after="0"/>
              <w:rPr>
                <w:sz w:val="20"/>
                <w:szCs w:val="20"/>
                <w:color w:val="auto"/>
              </w:rPr>
            </w:pPr>
            <w:r>
              <w:rPr>
                <w:rFonts w:ascii="Times New Roman" w:cs="Times New Roman" w:eastAsia="Times New Roman" w:hAnsi="Times New Roman"/>
                <w:sz w:val="14"/>
                <w:szCs w:val="14"/>
                <w:color w:val="auto"/>
              </w:rPr>
              <w:t>By:</w:t>
            </w:r>
          </w:p>
        </w:tc>
        <w:tc>
          <w:tcPr>
            <w:tcW w:w="3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Joe Mastrangelo</w:t>
            </w:r>
          </w:p>
        </w:tc>
        <w:tc>
          <w:tcPr>
            <w:tcW w:w="120" w:type="dxa"/>
            <w:vAlign w:val="bottom"/>
          </w:tcPr>
          <w:p>
            <w:pPr>
              <w:spacing w:after="0"/>
              <w:rPr>
                <w:sz w:val="24"/>
                <w:szCs w:val="24"/>
                <w:color w:val="auto"/>
              </w:rPr>
            </w:pPr>
          </w:p>
        </w:tc>
      </w:tr>
      <w:tr>
        <w:trPr>
          <w:trHeight w:val="171"/>
        </w:trPr>
        <w:tc>
          <w:tcPr>
            <w:tcW w:w="4000" w:type="dxa"/>
            <w:vAlign w:val="bottom"/>
          </w:tcPr>
          <w:p>
            <w:pPr>
              <w:spacing w:after="0"/>
              <w:rPr>
                <w:sz w:val="14"/>
                <w:szCs w:val="14"/>
                <w:color w:val="auto"/>
              </w:rPr>
            </w:pPr>
          </w:p>
        </w:tc>
        <w:tc>
          <w:tcPr>
            <w:tcW w:w="3600" w:type="dxa"/>
            <w:vAlign w:val="bottom"/>
          </w:tcPr>
          <w:p>
            <w:pPr>
              <w:ind w:left="2780"/>
              <w:spacing w:after="0"/>
              <w:rPr>
                <w:sz w:val="20"/>
                <w:szCs w:val="20"/>
                <w:color w:val="auto"/>
              </w:rPr>
            </w:pPr>
            <w:r>
              <w:rPr>
                <w:rFonts w:ascii="Times New Roman" w:cs="Times New Roman" w:eastAsia="Times New Roman" w:hAnsi="Times New Roman"/>
                <w:sz w:val="14"/>
                <w:szCs w:val="14"/>
                <w:color w:val="auto"/>
              </w:rPr>
              <w:t>Name:</w:t>
            </w:r>
          </w:p>
        </w:tc>
        <w:tc>
          <w:tcPr>
            <w:tcW w:w="3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Joe Mastrangelo</w:t>
            </w:r>
          </w:p>
        </w:tc>
        <w:tc>
          <w:tcPr>
            <w:tcW w:w="120" w:type="dxa"/>
            <w:vAlign w:val="bottom"/>
          </w:tcPr>
          <w:p>
            <w:pPr>
              <w:spacing w:after="0"/>
              <w:rPr>
                <w:sz w:val="14"/>
                <w:szCs w:val="14"/>
                <w:color w:val="auto"/>
              </w:rPr>
            </w:pPr>
          </w:p>
        </w:tc>
      </w:tr>
      <w:tr>
        <w:trPr>
          <w:trHeight w:val="129"/>
        </w:trPr>
        <w:tc>
          <w:tcPr>
            <w:tcW w:w="4000" w:type="dxa"/>
            <w:vAlign w:val="bottom"/>
          </w:tcPr>
          <w:p>
            <w:pPr>
              <w:spacing w:after="0"/>
              <w:rPr>
                <w:sz w:val="11"/>
                <w:szCs w:val="11"/>
                <w:color w:val="auto"/>
              </w:rPr>
            </w:pPr>
          </w:p>
        </w:tc>
        <w:tc>
          <w:tcPr>
            <w:tcW w:w="3600" w:type="dxa"/>
            <w:vAlign w:val="bottom"/>
          </w:tcPr>
          <w:p>
            <w:pPr>
              <w:ind w:left="2780"/>
              <w:spacing w:after="0" w:line="129" w:lineRule="exact"/>
              <w:rPr>
                <w:sz w:val="20"/>
                <w:szCs w:val="20"/>
                <w:color w:val="auto"/>
              </w:rPr>
            </w:pPr>
            <w:r>
              <w:rPr>
                <w:rFonts w:ascii="Times New Roman" w:cs="Times New Roman" w:eastAsia="Times New Roman" w:hAnsi="Times New Roman"/>
                <w:sz w:val="14"/>
                <w:szCs w:val="14"/>
                <w:color w:val="auto"/>
              </w:rPr>
              <w:t>Title:</w:t>
            </w:r>
          </w:p>
        </w:tc>
        <w:tc>
          <w:tcPr>
            <w:tcW w:w="34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Chief Executive Officer and Director</w:t>
            </w:r>
          </w:p>
        </w:tc>
        <w:tc>
          <w:tcPr>
            <w:tcW w:w="120" w:type="dxa"/>
            <w:vAlign w:val="bottom"/>
          </w:tcPr>
          <w:p>
            <w:pPr>
              <w:spacing w:after="0"/>
              <w:rPr>
                <w:sz w:val="11"/>
                <w:szCs w:val="11"/>
                <w:color w:val="auto"/>
              </w:rPr>
            </w:pPr>
          </w:p>
        </w:tc>
      </w:tr>
      <w:tr>
        <w:trPr>
          <w:trHeight w:val="184"/>
        </w:trPr>
        <w:tc>
          <w:tcPr>
            <w:tcW w:w="40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20" w:type="dxa"/>
            <w:vAlign w:val="bottom"/>
          </w:tcPr>
          <w:p>
            <w:pPr>
              <w:spacing w:after="0"/>
              <w:rPr>
                <w:sz w:val="16"/>
                <w:szCs w:val="16"/>
                <w:color w:val="auto"/>
              </w:rPr>
            </w:pPr>
          </w:p>
        </w:tc>
      </w:tr>
      <w:tr>
        <w:trPr>
          <w:trHeight w:val="62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Date: August 1, 2022</w:t>
            </w:r>
          </w:p>
        </w:tc>
        <w:tc>
          <w:tcPr>
            <w:tcW w:w="3600" w:type="dxa"/>
            <w:vAlign w:val="bottom"/>
          </w:tcPr>
          <w:p>
            <w:pPr>
              <w:ind w:left="2840"/>
              <w:spacing w:after="0"/>
              <w:rPr>
                <w:sz w:val="20"/>
                <w:szCs w:val="20"/>
                <w:color w:val="auto"/>
              </w:rPr>
            </w:pPr>
            <w:r>
              <w:rPr>
                <w:rFonts w:ascii="Times New Roman" w:cs="Times New Roman" w:eastAsia="Times New Roman" w:hAnsi="Times New Roman"/>
                <w:sz w:val="14"/>
                <w:szCs w:val="14"/>
                <w:color w:val="auto"/>
              </w:rPr>
              <w:t>By:</w:t>
            </w:r>
          </w:p>
        </w:tc>
        <w:tc>
          <w:tcPr>
            <w:tcW w:w="40" w:type="dxa"/>
            <w:vAlign w:val="bottom"/>
          </w:tcPr>
          <w:p>
            <w:pPr>
              <w:spacing w:after="0"/>
              <w:rPr>
                <w:sz w:val="24"/>
                <w:szCs w:val="24"/>
                <w:color w:val="auto"/>
              </w:rPr>
            </w:pPr>
          </w:p>
        </w:tc>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Randall Gonzales</w:t>
            </w:r>
          </w:p>
        </w:tc>
        <w:tc>
          <w:tcPr>
            <w:tcW w:w="120" w:type="dxa"/>
            <w:vAlign w:val="bottom"/>
            <w:tcBorders>
              <w:bottom w:val="single" w:sz="8" w:color="auto"/>
            </w:tcBorders>
          </w:tcPr>
          <w:p>
            <w:pPr>
              <w:spacing w:after="0"/>
              <w:rPr>
                <w:sz w:val="24"/>
                <w:szCs w:val="24"/>
                <w:color w:val="auto"/>
              </w:rPr>
            </w:pPr>
          </w:p>
        </w:tc>
      </w:tr>
      <w:tr>
        <w:trPr>
          <w:trHeight w:val="171"/>
        </w:trPr>
        <w:tc>
          <w:tcPr>
            <w:tcW w:w="4000" w:type="dxa"/>
            <w:vAlign w:val="bottom"/>
          </w:tcPr>
          <w:p>
            <w:pPr>
              <w:spacing w:after="0"/>
              <w:rPr>
                <w:sz w:val="14"/>
                <w:szCs w:val="14"/>
                <w:color w:val="auto"/>
              </w:rPr>
            </w:pPr>
          </w:p>
        </w:tc>
        <w:tc>
          <w:tcPr>
            <w:tcW w:w="3600" w:type="dxa"/>
            <w:vAlign w:val="bottom"/>
          </w:tcPr>
          <w:p>
            <w:pPr>
              <w:ind w:left="2840"/>
              <w:spacing w:after="0"/>
              <w:rPr>
                <w:sz w:val="20"/>
                <w:szCs w:val="20"/>
                <w:color w:val="auto"/>
              </w:rPr>
            </w:pPr>
            <w:r>
              <w:rPr>
                <w:rFonts w:ascii="Times New Roman" w:cs="Times New Roman" w:eastAsia="Times New Roman" w:hAnsi="Times New Roman"/>
                <w:sz w:val="14"/>
                <w:szCs w:val="14"/>
                <w:color w:val="auto"/>
              </w:rPr>
              <w:t>Name:</w:t>
            </w:r>
          </w:p>
        </w:tc>
        <w:tc>
          <w:tcPr>
            <w:tcW w:w="40" w:type="dxa"/>
            <w:vAlign w:val="bottom"/>
          </w:tcPr>
          <w:p>
            <w:pPr>
              <w:spacing w:after="0"/>
              <w:rPr>
                <w:sz w:val="14"/>
                <w:szCs w:val="14"/>
                <w:color w:val="auto"/>
              </w:rPr>
            </w:pPr>
          </w:p>
        </w:tc>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Randall Gonzales</w:t>
            </w:r>
          </w:p>
        </w:tc>
        <w:tc>
          <w:tcPr>
            <w:tcW w:w="120" w:type="dxa"/>
            <w:vAlign w:val="bottom"/>
            <w:tcBorders>
              <w:bottom w:val="single" w:sz="8" w:color="auto"/>
            </w:tcBorders>
          </w:tcPr>
          <w:p>
            <w:pPr>
              <w:spacing w:after="0"/>
              <w:rPr>
                <w:sz w:val="14"/>
                <w:szCs w:val="14"/>
                <w:color w:val="auto"/>
              </w:rPr>
            </w:pPr>
          </w:p>
        </w:tc>
      </w:tr>
      <w:tr>
        <w:trPr>
          <w:trHeight w:val="129"/>
        </w:trPr>
        <w:tc>
          <w:tcPr>
            <w:tcW w:w="4000" w:type="dxa"/>
            <w:vAlign w:val="bottom"/>
          </w:tcPr>
          <w:p>
            <w:pPr>
              <w:spacing w:after="0"/>
              <w:rPr>
                <w:sz w:val="11"/>
                <w:szCs w:val="11"/>
                <w:color w:val="auto"/>
              </w:rPr>
            </w:pPr>
          </w:p>
        </w:tc>
        <w:tc>
          <w:tcPr>
            <w:tcW w:w="3600" w:type="dxa"/>
            <w:vAlign w:val="bottom"/>
          </w:tcPr>
          <w:p>
            <w:pPr>
              <w:ind w:left="2840"/>
              <w:spacing w:after="0" w:line="129" w:lineRule="exact"/>
              <w:rPr>
                <w:sz w:val="20"/>
                <w:szCs w:val="20"/>
                <w:color w:val="auto"/>
              </w:rPr>
            </w:pPr>
            <w:r>
              <w:rPr>
                <w:rFonts w:ascii="Times New Roman" w:cs="Times New Roman" w:eastAsia="Times New Roman" w:hAnsi="Times New Roman"/>
                <w:sz w:val="14"/>
                <w:szCs w:val="14"/>
                <w:color w:val="auto"/>
              </w:rPr>
              <w:t>Title:</w:t>
            </w:r>
          </w:p>
        </w:tc>
        <w:tc>
          <w:tcPr>
            <w:tcW w:w="40" w:type="dxa"/>
            <w:vAlign w:val="bottom"/>
          </w:tcPr>
          <w:p>
            <w:pPr>
              <w:spacing w:after="0"/>
              <w:rPr>
                <w:sz w:val="11"/>
                <w:szCs w:val="11"/>
                <w:color w:val="auto"/>
              </w:rPr>
            </w:pPr>
          </w:p>
        </w:tc>
        <w:tc>
          <w:tcPr>
            <w:tcW w:w="336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Chief Financial Officer</w:t>
            </w:r>
          </w:p>
        </w:tc>
        <w:tc>
          <w:tcPr>
            <w:tcW w:w="120" w:type="dxa"/>
            <w:vAlign w:val="bottom"/>
          </w:tcPr>
          <w:p>
            <w:pPr>
              <w:spacing w:after="0"/>
              <w:rPr>
                <w:sz w:val="11"/>
                <w:szCs w:val="11"/>
                <w:color w:val="auto"/>
              </w:rPr>
            </w:pPr>
          </w:p>
        </w:tc>
      </w:tr>
      <w:tr>
        <w:trPr>
          <w:trHeight w:val="184"/>
        </w:trPr>
        <w:tc>
          <w:tcPr>
            <w:tcW w:w="40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1140"/>
          </w:cols>
          <w:pgMar w:left="300" w:top="125" w:right="459" w:bottom="1440"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5" w:lineRule="exact"/>
        <w:rPr>
          <w:sz w:val="20"/>
          <w:szCs w:val="20"/>
          <w:color w:val="auto"/>
        </w:rPr>
      </w:pPr>
    </w:p>
    <w:p>
      <w:pPr>
        <w:jc w:val="center"/>
        <w:ind w:left="320" w:right="2700"/>
        <w:spacing w:after="0" w:line="259" w:lineRule="auto"/>
        <w:rPr>
          <w:sz w:val="20"/>
          <w:szCs w:val="20"/>
          <w:color w:val="auto"/>
        </w:rPr>
      </w:pPr>
      <w:r>
        <w:rPr>
          <w:rFonts w:ascii="Times New Roman" w:cs="Times New Roman" w:eastAsia="Times New Roman" w:hAnsi="Times New Roman"/>
          <w:sz w:val="14"/>
          <w:szCs w:val="14"/>
          <w:b w:val="1"/>
          <w:bCs w:val="1"/>
          <w:color w:val="auto"/>
        </w:rPr>
        <w:t>CERTIFICATION PURSUANT TO RULE 13a-14(a) OR 15d-14(a) OF THE SECURITIES EXCHANGE ACT OF 1934, AS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Joseph Mastrangelo, certify that:</w:t>
      </w:r>
    </w:p>
    <w:p>
      <w:pPr>
        <w:spacing w:after="0" w:line="83" w:lineRule="exact"/>
        <w:rPr>
          <w:sz w:val="20"/>
          <w:szCs w:val="20"/>
          <w:color w:val="auto"/>
        </w:rPr>
      </w:pPr>
    </w:p>
    <w:p>
      <w:pPr>
        <w:ind w:left="400" w:hanging="140"/>
        <w:spacing w:after="0"/>
        <w:tabs>
          <w:tab w:leader="none" w:pos="4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Eos Energy Enterprises, Inc.;</w:t>
      </w:r>
    </w:p>
    <w:p>
      <w:pPr>
        <w:spacing w:after="0" w:line="72" w:lineRule="exact"/>
        <w:rPr>
          <w:rFonts w:ascii="Times New Roman" w:cs="Times New Roman" w:eastAsia="Times New Roman" w:hAnsi="Times New Roman"/>
          <w:sz w:val="14"/>
          <w:szCs w:val="14"/>
          <w:color w:val="auto"/>
        </w:rPr>
      </w:pPr>
    </w:p>
    <w:p>
      <w:pPr>
        <w:ind w:left="260"/>
        <w:spacing w:after="0" w:line="287" w:lineRule="auto"/>
        <w:tabs>
          <w:tab w:leader="none" w:pos="401"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 w:lineRule="exact"/>
        <w:rPr>
          <w:rFonts w:ascii="Times New Roman" w:cs="Times New Roman" w:eastAsia="Times New Roman" w:hAnsi="Times New Roman"/>
          <w:sz w:val="14"/>
          <w:szCs w:val="14"/>
          <w:color w:val="auto"/>
        </w:rPr>
      </w:pPr>
    </w:p>
    <w:p>
      <w:pPr>
        <w:ind w:left="260"/>
        <w:spacing w:after="0" w:line="287" w:lineRule="auto"/>
        <w:tabs>
          <w:tab w:leader="none" w:pos="40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Times New Roman" w:cs="Times New Roman" w:eastAsia="Times New Roman" w:hAnsi="Times New Roman"/>
          <w:sz w:val="14"/>
          <w:szCs w:val="14"/>
          <w:color w:val="auto"/>
        </w:rPr>
      </w:pPr>
    </w:p>
    <w:p>
      <w:pPr>
        <w:ind w:left="260"/>
        <w:spacing w:after="0" w:line="287" w:lineRule="auto"/>
        <w:tabs>
          <w:tab w:leader="none" w:pos="40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8" w:lineRule="exact"/>
        <w:rPr>
          <w:rFonts w:ascii="Times New Roman" w:cs="Times New Roman" w:eastAsia="Times New Roman" w:hAnsi="Times New Roman"/>
          <w:sz w:val="14"/>
          <w:szCs w:val="14"/>
          <w:color w:val="auto"/>
        </w:rPr>
      </w:pPr>
    </w:p>
    <w:p>
      <w:pPr>
        <w:ind w:left="520" w:hanging="6"/>
        <w:spacing w:after="0" w:line="287" w:lineRule="auto"/>
        <w:tabs>
          <w:tab w:leader="none" w:pos="659"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 w:lineRule="exact"/>
        <w:rPr>
          <w:rFonts w:ascii="Times New Roman" w:cs="Times New Roman" w:eastAsia="Times New Roman" w:hAnsi="Times New Roman"/>
          <w:sz w:val="14"/>
          <w:szCs w:val="14"/>
          <w:color w:val="auto"/>
        </w:rPr>
      </w:pPr>
    </w:p>
    <w:p>
      <w:pPr>
        <w:ind w:left="520" w:hanging="6"/>
        <w:spacing w:after="0" w:line="287" w:lineRule="auto"/>
        <w:tabs>
          <w:tab w:leader="none" w:pos="675"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520" w:hanging="6"/>
        <w:spacing w:after="0" w:line="287" w:lineRule="auto"/>
        <w:tabs>
          <w:tab w:leader="none" w:pos="675"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4"/>
          <w:szCs w:val="14"/>
          <w:color w:val="auto"/>
        </w:rPr>
      </w:pPr>
    </w:p>
    <w:p>
      <w:pPr>
        <w:ind w:left="520" w:hanging="6"/>
        <w:spacing w:after="0" w:line="287" w:lineRule="auto"/>
        <w:tabs>
          <w:tab w:leader="none" w:pos="668"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 w:lineRule="exact"/>
        <w:rPr>
          <w:rFonts w:ascii="Times New Roman" w:cs="Times New Roman" w:eastAsia="Times New Roman" w:hAnsi="Times New Roman"/>
          <w:sz w:val="14"/>
          <w:szCs w:val="14"/>
          <w:color w:val="auto"/>
        </w:rPr>
      </w:pPr>
    </w:p>
    <w:p>
      <w:pPr>
        <w:ind w:left="260"/>
        <w:spacing w:after="0" w:line="287" w:lineRule="auto"/>
        <w:tabs>
          <w:tab w:leader="none" w:pos="40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Times New Roman" w:cs="Times New Roman" w:eastAsia="Times New Roman" w:hAnsi="Times New Roman"/>
          <w:sz w:val="14"/>
          <w:szCs w:val="14"/>
          <w:color w:val="auto"/>
        </w:rPr>
      </w:pPr>
    </w:p>
    <w:p>
      <w:pPr>
        <w:ind w:left="520" w:hanging="6"/>
        <w:spacing w:after="0" w:line="287" w:lineRule="auto"/>
        <w:tabs>
          <w:tab w:leader="none" w:pos="662"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Times New Roman" w:cs="Times New Roman" w:eastAsia="Times New Roman" w:hAnsi="Times New Roman"/>
          <w:sz w:val="14"/>
          <w:szCs w:val="14"/>
          <w:color w:val="auto"/>
        </w:rPr>
      </w:pPr>
    </w:p>
    <w:p>
      <w:pPr>
        <w:ind w:left="660" w:hanging="146"/>
        <w:spacing w:after="0"/>
        <w:tabs>
          <w:tab w:leader="none" w:pos="6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38" w:lineRule="exact"/>
        <w:rPr>
          <w:sz w:val="20"/>
          <w:szCs w:val="20"/>
          <w:color w:val="auto"/>
        </w:rPr>
      </w:pPr>
    </w:p>
    <w:p>
      <w:pPr>
        <w:ind w:left="20"/>
        <w:spacing w:after="0"/>
        <w:tabs>
          <w:tab w:leader="none" w:pos="5620" w:val="left"/>
          <w:tab w:leader="none" w:pos="6140" w:val="left"/>
        </w:tabs>
        <w:rPr>
          <w:sz w:val="20"/>
          <w:szCs w:val="20"/>
          <w:color w:val="auto"/>
        </w:rPr>
      </w:pPr>
      <w:r>
        <w:rPr>
          <w:rFonts w:ascii="Times New Roman" w:cs="Times New Roman" w:eastAsia="Times New Roman" w:hAnsi="Times New Roman"/>
          <w:sz w:val="14"/>
          <w:szCs w:val="14"/>
          <w:color w:val="auto"/>
        </w:rPr>
        <w:t>Date: August 1, 2022</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Joseph Mastrangelo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28575</wp:posOffset>
            </wp:positionV>
            <wp:extent cx="326072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3260725" cy="6985"/>
                    </a:xfrm>
                    <a:prstGeom prst="rect">
                      <a:avLst/>
                    </a:prstGeom>
                    <a:noFill/>
                  </pic:spPr>
                </pic:pic>
              </a:graphicData>
            </a:graphic>
          </wp:anchor>
        </w:drawing>
      </w:r>
    </w:p>
    <w:p>
      <w:pPr>
        <w:spacing w:after="0" w:line="4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4"/>
          <w:szCs w:val="14"/>
          <w:color w:val="auto"/>
        </w:rPr>
        <w:t>Joseph Mastrangelo</w:t>
      </w:r>
    </w:p>
    <w:p>
      <w:pPr>
        <w:spacing w:after="0" w:line="5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4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1332" w:right="31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5" w:lineRule="exact"/>
        <w:rPr>
          <w:sz w:val="20"/>
          <w:szCs w:val="20"/>
          <w:color w:val="auto"/>
        </w:rPr>
      </w:pPr>
    </w:p>
    <w:p>
      <w:pPr>
        <w:jc w:val="center"/>
        <w:ind w:left="320" w:right="2700"/>
        <w:spacing w:after="0" w:line="259" w:lineRule="auto"/>
        <w:rPr>
          <w:sz w:val="20"/>
          <w:szCs w:val="20"/>
          <w:color w:val="auto"/>
        </w:rPr>
      </w:pPr>
      <w:r>
        <w:rPr>
          <w:rFonts w:ascii="Times New Roman" w:cs="Times New Roman" w:eastAsia="Times New Roman" w:hAnsi="Times New Roman"/>
          <w:sz w:val="14"/>
          <w:szCs w:val="14"/>
          <w:b w:val="1"/>
          <w:bCs w:val="1"/>
          <w:color w:val="auto"/>
        </w:rPr>
        <w:t>CERTIFICATION PURSUANT TO RULE 13a-14(a) OR 15d-14(a) OF THE SECURITIES EXCHANGE ACT OF 1934, AS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Randall Gonzales, certify that:</w:t>
      </w:r>
    </w:p>
    <w:p>
      <w:pPr>
        <w:spacing w:after="0" w:line="83" w:lineRule="exact"/>
        <w:rPr>
          <w:sz w:val="20"/>
          <w:szCs w:val="20"/>
          <w:color w:val="auto"/>
        </w:rPr>
      </w:pPr>
    </w:p>
    <w:p>
      <w:pPr>
        <w:ind w:left="400" w:hanging="140"/>
        <w:spacing w:after="0"/>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Eos Energy Enterprises, Inc.;</w:t>
      </w:r>
    </w:p>
    <w:p>
      <w:pPr>
        <w:spacing w:after="0" w:line="72" w:lineRule="exact"/>
        <w:rPr>
          <w:rFonts w:ascii="Times New Roman" w:cs="Times New Roman" w:eastAsia="Times New Roman" w:hAnsi="Times New Roman"/>
          <w:sz w:val="14"/>
          <w:szCs w:val="14"/>
          <w:color w:val="auto"/>
        </w:rPr>
      </w:pPr>
    </w:p>
    <w:p>
      <w:pPr>
        <w:ind w:left="260"/>
        <w:spacing w:after="0" w:line="287" w:lineRule="auto"/>
        <w:tabs>
          <w:tab w:leader="none" w:pos="40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 w:lineRule="exact"/>
        <w:rPr>
          <w:rFonts w:ascii="Times New Roman" w:cs="Times New Roman" w:eastAsia="Times New Roman" w:hAnsi="Times New Roman"/>
          <w:sz w:val="14"/>
          <w:szCs w:val="14"/>
          <w:color w:val="auto"/>
        </w:rPr>
      </w:pPr>
    </w:p>
    <w:p>
      <w:pPr>
        <w:ind w:left="260"/>
        <w:spacing w:after="0" w:line="287" w:lineRule="auto"/>
        <w:tabs>
          <w:tab w:leader="none" w:pos="40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Times New Roman" w:cs="Times New Roman" w:eastAsia="Times New Roman" w:hAnsi="Times New Roman"/>
          <w:sz w:val="14"/>
          <w:szCs w:val="14"/>
          <w:color w:val="auto"/>
        </w:rPr>
      </w:pPr>
    </w:p>
    <w:p>
      <w:pPr>
        <w:ind w:left="260"/>
        <w:spacing w:after="0" w:line="287" w:lineRule="auto"/>
        <w:tabs>
          <w:tab w:leader="none" w:pos="40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8" w:lineRule="exact"/>
        <w:rPr>
          <w:rFonts w:ascii="Times New Roman" w:cs="Times New Roman" w:eastAsia="Times New Roman" w:hAnsi="Times New Roman"/>
          <w:sz w:val="14"/>
          <w:szCs w:val="14"/>
          <w:color w:val="auto"/>
        </w:rPr>
      </w:pPr>
    </w:p>
    <w:p>
      <w:pPr>
        <w:ind w:left="520" w:hanging="6"/>
        <w:spacing w:after="0" w:line="287" w:lineRule="auto"/>
        <w:tabs>
          <w:tab w:leader="none" w:pos="659"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 w:lineRule="exact"/>
        <w:rPr>
          <w:rFonts w:ascii="Times New Roman" w:cs="Times New Roman" w:eastAsia="Times New Roman" w:hAnsi="Times New Roman"/>
          <w:sz w:val="14"/>
          <w:szCs w:val="14"/>
          <w:color w:val="auto"/>
        </w:rPr>
      </w:pPr>
    </w:p>
    <w:p>
      <w:pPr>
        <w:ind w:left="520" w:hanging="6"/>
        <w:spacing w:after="0" w:line="287" w:lineRule="auto"/>
        <w:tabs>
          <w:tab w:leader="none" w:pos="675"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520" w:hanging="6"/>
        <w:spacing w:after="0" w:line="287" w:lineRule="auto"/>
        <w:tabs>
          <w:tab w:leader="none" w:pos="675"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4"/>
          <w:szCs w:val="14"/>
          <w:color w:val="auto"/>
        </w:rPr>
      </w:pPr>
    </w:p>
    <w:p>
      <w:pPr>
        <w:ind w:left="520" w:hanging="6"/>
        <w:spacing w:after="0" w:line="287" w:lineRule="auto"/>
        <w:tabs>
          <w:tab w:leader="none" w:pos="668"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 w:lineRule="exact"/>
        <w:rPr>
          <w:rFonts w:ascii="Times New Roman" w:cs="Times New Roman" w:eastAsia="Times New Roman" w:hAnsi="Times New Roman"/>
          <w:sz w:val="14"/>
          <w:szCs w:val="14"/>
          <w:color w:val="auto"/>
        </w:rPr>
      </w:pPr>
    </w:p>
    <w:p>
      <w:pPr>
        <w:ind w:left="260"/>
        <w:spacing w:after="0" w:line="287" w:lineRule="auto"/>
        <w:tabs>
          <w:tab w:leader="none" w:pos="40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Times New Roman" w:cs="Times New Roman" w:eastAsia="Times New Roman" w:hAnsi="Times New Roman"/>
          <w:sz w:val="14"/>
          <w:szCs w:val="14"/>
          <w:color w:val="auto"/>
        </w:rPr>
      </w:pPr>
    </w:p>
    <w:p>
      <w:pPr>
        <w:ind w:left="520" w:hanging="6"/>
        <w:spacing w:after="0" w:line="287" w:lineRule="auto"/>
        <w:tabs>
          <w:tab w:leader="none" w:pos="662"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Times New Roman" w:cs="Times New Roman" w:eastAsia="Times New Roman" w:hAnsi="Times New Roman"/>
          <w:sz w:val="14"/>
          <w:szCs w:val="14"/>
          <w:color w:val="auto"/>
        </w:rPr>
      </w:pPr>
    </w:p>
    <w:p>
      <w:pPr>
        <w:ind w:left="660" w:hanging="146"/>
        <w:spacing w:after="0"/>
        <w:tabs>
          <w:tab w:leader="none" w:pos="66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38" w:lineRule="exact"/>
        <w:rPr>
          <w:sz w:val="20"/>
          <w:szCs w:val="20"/>
          <w:color w:val="auto"/>
        </w:rPr>
      </w:pPr>
    </w:p>
    <w:p>
      <w:pPr>
        <w:ind w:left="20"/>
        <w:spacing w:after="0"/>
        <w:tabs>
          <w:tab w:leader="none" w:pos="5740" w:val="left"/>
          <w:tab w:leader="none" w:pos="6260" w:val="left"/>
        </w:tabs>
        <w:rPr>
          <w:sz w:val="20"/>
          <w:szCs w:val="20"/>
          <w:color w:val="auto"/>
        </w:rPr>
      </w:pPr>
      <w:r>
        <w:rPr>
          <w:rFonts w:ascii="Times New Roman" w:cs="Times New Roman" w:eastAsia="Times New Roman" w:hAnsi="Times New Roman"/>
          <w:sz w:val="14"/>
          <w:szCs w:val="14"/>
          <w:color w:val="auto"/>
        </w:rPr>
        <w:t>Date: August 1, 2022</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Randall Gonzales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3978275</wp:posOffset>
            </wp:positionH>
            <wp:positionV relativeFrom="paragraph">
              <wp:posOffset>28575</wp:posOffset>
            </wp:positionV>
            <wp:extent cx="318643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3186430" cy="6985"/>
                    </a:xfrm>
                    <a:prstGeom prst="rect">
                      <a:avLst/>
                    </a:prstGeom>
                    <a:noFill/>
                  </pic:spPr>
                </pic:pic>
              </a:graphicData>
            </a:graphic>
          </wp:anchor>
        </w:drawing>
      </w:r>
    </w:p>
    <w:p>
      <w:pPr>
        <w:spacing w:after="0" w:line="4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color w:val="auto"/>
        </w:rPr>
        <w:t>Randall Gonzales</w:t>
      </w:r>
    </w:p>
    <w:p>
      <w:pPr>
        <w:spacing w:after="0" w:line="5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4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ectPr>
          <w:pgSz w:w="11900" w:h="16838" w:orient="portrait"/>
          <w:cols w:equalWidth="0" w:num="1">
            <w:col w:w="11280"/>
          </w:cols>
          <w:pgMar w:left="300" w:top="1332" w:right="3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Quarterly Report on Form 10-Q of Eos Energy Enterprises, Inc., for the quarterly period ended June 30, 2022 as filed with the Securities and Exchange Commission on the date hereof (the “Report”), I, Joseph Mastrangelo, as Chief Executive Officer of Eos Energy Enterprises,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Eos Energy Enterprises, Inc.</w:t>
      </w:r>
    </w:p>
    <w:p>
      <w:pPr>
        <w:spacing w:after="0" w:line="225" w:lineRule="exact"/>
        <w:rPr>
          <w:sz w:val="20"/>
          <w:szCs w:val="20"/>
          <w:color w:val="auto"/>
        </w:rPr>
      </w:pPr>
    </w:p>
    <w:p>
      <w:pPr>
        <w:ind w:left="20"/>
        <w:spacing w:after="0"/>
        <w:tabs>
          <w:tab w:leader="none" w:pos="5620" w:val="left"/>
          <w:tab w:leader="none" w:pos="6140" w:val="left"/>
        </w:tabs>
        <w:rPr>
          <w:sz w:val="20"/>
          <w:szCs w:val="20"/>
          <w:color w:val="auto"/>
        </w:rPr>
      </w:pPr>
      <w:r>
        <w:rPr>
          <w:rFonts w:ascii="Times New Roman" w:cs="Times New Roman" w:eastAsia="Times New Roman" w:hAnsi="Times New Roman"/>
          <w:sz w:val="14"/>
          <w:szCs w:val="14"/>
          <w:color w:val="auto"/>
        </w:rPr>
        <w:t>Date: August 1, 2022</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Joseph Mastrangelo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28575</wp:posOffset>
            </wp:positionV>
            <wp:extent cx="326072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3260725" cy="6985"/>
                    </a:xfrm>
                    <a:prstGeom prst="rect">
                      <a:avLst/>
                    </a:prstGeom>
                    <a:noFill/>
                  </pic:spPr>
                </pic:pic>
              </a:graphicData>
            </a:graphic>
          </wp:anchor>
        </w:drawing>
      </w:r>
    </w:p>
    <w:p>
      <w:pPr>
        <w:spacing w:after="0" w:line="4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4"/>
          <w:szCs w:val="14"/>
          <w:color w:val="auto"/>
        </w:rPr>
        <w:t>Joseph Mastrangelo</w:t>
      </w:r>
    </w:p>
    <w:p>
      <w:pPr>
        <w:spacing w:after="0" w:line="5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4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3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Quarterly Report on Form 10-Q of Eos Energy Enterprises, Inc., for the quarterly period ended June 30, 2022 as filed with the Securities and Exchange Commission on the date hereof (the “Report”), I, Randall Gonzales, as Chief Financial Officer of Eos Energy Enterprises,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Eos Energy Enterprises, Inc.</w:t>
      </w:r>
    </w:p>
    <w:p>
      <w:pPr>
        <w:spacing w:after="0" w:line="225" w:lineRule="exact"/>
        <w:rPr>
          <w:sz w:val="20"/>
          <w:szCs w:val="20"/>
          <w:color w:val="auto"/>
        </w:rPr>
      </w:pPr>
    </w:p>
    <w:p>
      <w:pPr>
        <w:ind w:left="20"/>
        <w:spacing w:after="0"/>
        <w:tabs>
          <w:tab w:leader="none" w:pos="5780" w:val="left"/>
          <w:tab w:leader="none" w:pos="6320" w:val="left"/>
        </w:tabs>
        <w:rPr>
          <w:sz w:val="20"/>
          <w:szCs w:val="20"/>
          <w:color w:val="auto"/>
        </w:rPr>
      </w:pPr>
      <w:r>
        <w:rPr>
          <w:rFonts w:ascii="Times New Roman" w:cs="Times New Roman" w:eastAsia="Times New Roman" w:hAnsi="Times New Roman"/>
          <w:sz w:val="14"/>
          <w:szCs w:val="14"/>
          <w:color w:val="auto"/>
        </w:rPr>
        <w:t>Date: August 1, 2022</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Randall Gonzales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28575</wp:posOffset>
            </wp:positionV>
            <wp:extent cx="314642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42"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4"/>
          <w:szCs w:val="14"/>
          <w:color w:val="auto"/>
        </w:rPr>
        <w:t>Randall Gonzales</w:t>
      </w:r>
    </w:p>
    <w:p>
      <w:pPr>
        <w:spacing w:after="0" w:line="51"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4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sectPr>
      <w:pgSz w:w="11900" w:h="16838" w:orient="portrait"/>
      <w:cols w:equalWidth="0" w:num="1">
        <w:col w:w="11280"/>
      </w:cols>
      <w:pgMar w:left="300" w:top="133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bullet"/>
      <w:start w:val="1"/>
    </w:lvl>
  </w:abstractNum>
  <w:abstractNum w:abstractNumId="3">
    <w:nsid w:val="12200854"/>
    <w:multiLevelType w:val="hybridMultilevel"/>
    <w:lvl w:ilvl="0">
      <w:lvlJc w:val="left"/>
      <w:lvlText w:val="(%1)"/>
      <w:numFmt w:val="lowerRoman"/>
      <w:start w:val="2"/>
    </w:lvl>
  </w:abstractNum>
  <w:abstractNum w:abstractNumId="4">
    <w:nsid w:val="4DB127F8"/>
    <w:multiLevelType w:val="hybridMultilevel"/>
    <w:lvl w:ilvl="0">
      <w:lvlJc w:val="left"/>
      <w:lvlText w:val="%1."/>
      <w:numFmt w:val="decimal"/>
      <w:start w:val="19"/>
    </w:lvl>
  </w:abstractNum>
  <w:abstractNum w:abstractNumId="5">
    <w:nsid w:val="216231B"/>
    <w:multiLevelType w:val="hybridMultilevel"/>
    <w:lvl w:ilvl="0">
      <w:lvlJc w:val="left"/>
      <w:lvlText w:val="%1."/>
      <w:numFmt w:val="decimal"/>
      <w:start w:val="19"/>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04"/>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lowerLetter"/>
      <w:start w:val="2"/>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13" Type="http://schemas.openxmlformats.org/officeDocument/2006/relationships/hyperlink" Target="https://www.sec.gov/Archives/edgar/data/0001805077/000162828022009094/ex41wilmingtontrustindentu.htm" TargetMode="External"/><Relationship Id="rId114" Type="http://schemas.openxmlformats.org/officeDocument/2006/relationships/hyperlink" Target="https://www.sec.gov/Archives/edgar/data/1805077/000121390022032374/ea161481ex4-1_eosenergy.htm" TargetMode="External"/><Relationship Id="rId115" Type="http://schemas.openxmlformats.org/officeDocument/2006/relationships/hyperlink" Target="https://www.sec.gov/Archives/edgar/data/0001805077/000162828022011192/eose-standbyequitypurchase.htm" TargetMode="External"/><Relationship Id="rId116" Type="http://schemas.openxmlformats.org/officeDocument/2006/relationships/hyperlink" Target="https://www.sec.gov/Archives/edgar/data/1805077/000121390022032374/ea161481ex10-1_eosenergy.htm" TargetMode="External"/><Relationship Id="rId117" Type="http://schemas.openxmlformats.org/officeDocument/2006/relationships/hyperlink" Target="https://www.sec.gov/Archives/edgar/data/1805077/000121390022032374/ea161481ex10-2_eosenergy.htm" TargetMode="External"/><Relationship Id="rId118" Type="http://schemas.openxmlformats.org/officeDocument/2006/relationships/hyperlink" Target="https://www.sec.gov/Archives/edgar/data/0001805077/000162828022019887/seniorsecuredtermloancred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2022-08-01T16:25:08Z</dcterms:created>
  <dcterms:modified xsi:type="dcterms:W3CDTF">2022-08-01T16:25:08Z</dcterms:modified>
</cp:coreProperties>
</file>