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UNITED STATES</w:t>
            </w:r>
          </w:p>
        </w:tc>
        <w:tc>
          <w:tcPr>
            <w:tcW w:w="80" w:type="dxa"/>
            <w:vAlign w:val="bottom"/>
          </w:tcPr>
          <w:p>
            <w:pPr>
              <w:spacing w:after="0"/>
              <w:rPr>
                <w:sz w:val="11"/>
                <w:szCs w:val="11"/>
                <w:color w:val="auto"/>
              </w:rPr>
            </w:pPr>
          </w:p>
        </w:tc>
        <w:tc>
          <w:tcPr>
            <w:tcW w:w="3780" w:type="dxa"/>
            <w:vAlign w:val="bottom"/>
          </w:tcPr>
          <w:p>
            <w:pPr>
              <w:spacing w:after="0"/>
              <w:rPr>
                <w:sz w:val="11"/>
                <w:szCs w:val="11"/>
                <w:color w:val="auto"/>
              </w:rPr>
            </w:pPr>
          </w:p>
        </w:tc>
      </w:tr>
      <w:tr>
        <w:trPr>
          <w:trHeight w:val="138"/>
        </w:trPr>
        <w:tc>
          <w:tcPr>
            <w:tcW w:w="5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tc>
        <w:tc>
          <w:tcPr>
            <w:tcW w:w="80" w:type="dxa"/>
            <w:vAlign w:val="bottom"/>
          </w:tcPr>
          <w:p>
            <w:pPr>
              <w:spacing w:after="0"/>
              <w:rPr>
                <w:sz w:val="11"/>
                <w:szCs w:val="11"/>
                <w:color w:val="auto"/>
              </w:rPr>
            </w:pPr>
          </w:p>
        </w:tc>
        <w:tc>
          <w:tcPr>
            <w:tcW w:w="3780" w:type="dxa"/>
            <w:vAlign w:val="bottom"/>
          </w:tcPr>
          <w:p>
            <w:pPr>
              <w:spacing w:after="0"/>
              <w:rPr>
                <w:sz w:val="11"/>
                <w:szCs w:val="11"/>
                <w:color w:val="auto"/>
              </w:rPr>
            </w:pPr>
          </w:p>
        </w:tc>
      </w:tr>
      <w:tr>
        <w:trPr>
          <w:trHeight w:val="149"/>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Washington, D.C. 20549</w:t>
            </w: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276"/>
        </w:trPr>
        <w:tc>
          <w:tcPr>
            <w:tcW w:w="5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FORM 10-K</w:t>
            </w:r>
          </w:p>
        </w:tc>
        <w:tc>
          <w:tcPr>
            <w:tcW w:w="8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198"/>
        </w:trPr>
        <w:tc>
          <w:tcPr>
            <w:tcW w:w="56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10720" w:type="dxa"/>
            <w:vAlign w:val="bottom"/>
            <w:gridSpan w:val="8"/>
          </w:tcPr>
          <w:p>
            <w:pPr>
              <w:ind w:left="2560"/>
              <w:spacing w:after="0"/>
              <w:rPr>
                <w:sz w:val="20"/>
                <w:szCs w:val="20"/>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tc>
      </w:tr>
      <w:tr>
        <w:trPr>
          <w:trHeight w:val="194"/>
        </w:trPr>
        <w:tc>
          <w:tcPr>
            <w:tcW w:w="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tc>
        <w:tc>
          <w:tcPr>
            <w:tcW w:w="8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198"/>
        </w:trPr>
        <w:tc>
          <w:tcPr>
            <w:tcW w:w="5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rPr>
              <w:t>☐</w:t>
            </w:r>
          </w:p>
        </w:tc>
        <w:tc>
          <w:tcPr>
            <w:tcW w:w="10720" w:type="dxa"/>
            <w:vAlign w:val="bottom"/>
            <w:gridSpan w:val="8"/>
          </w:tcPr>
          <w:p>
            <w:pPr>
              <w:ind w:left="2340"/>
              <w:spacing w:after="0"/>
              <w:rPr>
                <w:sz w:val="20"/>
                <w:szCs w:val="20"/>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tc>
      </w:tr>
      <w:tr>
        <w:trPr>
          <w:trHeight w:val="215"/>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EOS ENERGY ENTERPRISES, INC.</w:t>
            </w: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180"/>
        </w:trPr>
        <w:tc>
          <w:tcPr>
            <w:tcW w:w="560" w:type="dxa"/>
            <w:vAlign w:val="bottom"/>
          </w:tcPr>
          <w:p>
            <w:pPr>
              <w:spacing w:after="0"/>
              <w:rPr>
                <w:sz w:val="15"/>
                <w:szCs w:val="15"/>
                <w:color w:val="auto"/>
              </w:rPr>
            </w:pPr>
          </w:p>
        </w:tc>
        <w:tc>
          <w:tcPr>
            <w:tcW w:w="302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001-39291</w:t>
            </w:r>
          </w:p>
        </w:tc>
        <w:tc>
          <w:tcPr>
            <w:tcW w:w="140" w:type="dxa"/>
            <w:vAlign w:val="bottom"/>
          </w:tcPr>
          <w:p>
            <w:pPr>
              <w:spacing w:after="0"/>
              <w:rPr>
                <w:sz w:val="15"/>
                <w:szCs w:val="15"/>
                <w:color w:val="auto"/>
              </w:rPr>
            </w:pPr>
          </w:p>
        </w:tc>
        <w:tc>
          <w:tcPr>
            <w:tcW w:w="38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84-4290188</w:t>
            </w:r>
          </w:p>
        </w:tc>
      </w:tr>
      <w:tr>
        <w:trPr>
          <w:trHeight w:val="30"/>
        </w:trPr>
        <w:tc>
          <w:tcPr>
            <w:tcW w:w="5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32"/>
        </w:trPr>
        <w:tc>
          <w:tcPr>
            <w:tcW w:w="560" w:type="dxa"/>
            <w:vAlign w:val="bottom"/>
          </w:tcPr>
          <w:p>
            <w:pPr>
              <w:spacing w:after="0"/>
              <w:rPr>
                <w:sz w:val="11"/>
                <w:szCs w:val="11"/>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color w:val="auto"/>
              </w:rPr>
              <w:t>(State or other jurisdiction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color w:val="auto"/>
              </w:rPr>
              <w:t>(Commission</w:t>
            </w:r>
          </w:p>
        </w:tc>
        <w:tc>
          <w:tcPr>
            <w:tcW w:w="80" w:type="dxa"/>
            <w:vAlign w:val="bottom"/>
          </w:tcPr>
          <w:p>
            <w:pPr>
              <w:spacing w:after="0"/>
              <w:rPr>
                <w:sz w:val="11"/>
                <w:szCs w:val="11"/>
                <w:color w:val="auto"/>
              </w:rPr>
            </w:pPr>
          </w:p>
        </w:tc>
        <w:tc>
          <w:tcPr>
            <w:tcW w:w="378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560" w:type="dxa"/>
            <w:vAlign w:val="bottom"/>
          </w:tcPr>
          <w:p>
            <w:pPr>
              <w:spacing w:after="0"/>
              <w:rPr>
                <w:sz w:val="12"/>
                <w:szCs w:val="12"/>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color w:val="auto"/>
              </w:rPr>
              <w:t>of incorporation)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color w:val="auto"/>
              </w:rPr>
              <w:t>File Number)</w:t>
            </w:r>
          </w:p>
        </w:tc>
        <w:tc>
          <w:tcPr>
            <w:tcW w:w="80" w:type="dxa"/>
            <w:vAlign w:val="bottom"/>
          </w:tcPr>
          <w:p>
            <w:pPr>
              <w:spacing w:after="0"/>
              <w:rPr>
                <w:sz w:val="12"/>
                <w:szCs w:val="12"/>
                <w:color w:val="auto"/>
              </w:rPr>
            </w:pPr>
          </w:p>
        </w:tc>
        <w:tc>
          <w:tcPr>
            <w:tcW w:w="378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3920 Park Avenue</w:t>
            </w: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40"/>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Edison, New Jersey 08820</w:t>
            </w: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125"/>
        </w:trPr>
        <w:tc>
          <w:tcPr>
            <w:tcW w:w="5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color w:val="auto"/>
              </w:rPr>
              <w:t>(Address of principal executive offices, including zip code)</w:t>
            </w:r>
          </w:p>
        </w:tc>
        <w:tc>
          <w:tcPr>
            <w:tcW w:w="80" w:type="dxa"/>
            <w:vAlign w:val="bottom"/>
          </w:tcPr>
          <w:p>
            <w:pPr>
              <w:spacing w:after="0"/>
              <w:rPr>
                <w:sz w:val="10"/>
                <w:szCs w:val="10"/>
                <w:color w:val="auto"/>
              </w:rPr>
            </w:pPr>
          </w:p>
        </w:tc>
        <w:tc>
          <w:tcPr>
            <w:tcW w:w="3780" w:type="dxa"/>
            <w:vAlign w:val="bottom"/>
          </w:tcPr>
          <w:p>
            <w:pPr>
              <w:spacing w:after="0"/>
              <w:rPr>
                <w:sz w:val="10"/>
                <w:szCs w:val="10"/>
                <w:color w:val="auto"/>
              </w:rPr>
            </w:pPr>
          </w:p>
        </w:tc>
      </w:tr>
      <w:tr>
        <w:trPr>
          <w:trHeight w:val="149"/>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(732) 225-8400</w:t>
            </w: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296"/>
        </w:trPr>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95"/>
        </w:trPr>
        <w:tc>
          <w:tcPr>
            <w:tcW w:w="560" w:type="dxa"/>
            <w:vAlign w:val="bottom"/>
            <w:tcBorders>
              <w:bottom w:val="single" w:sz="8" w:color="FEFEFE"/>
            </w:tcBorders>
            <w:shd w:val="clear" w:color="auto" w:fill="FEFEFE"/>
          </w:tcPr>
          <w:p>
            <w:pPr>
              <w:spacing w:after="0"/>
              <w:rPr>
                <w:sz w:val="16"/>
                <w:szCs w:val="16"/>
                <w:color w:val="auto"/>
              </w:rPr>
            </w:pPr>
          </w:p>
        </w:tc>
        <w:tc>
          <w:tcPr>
            <w:tcW w:w="3020" w:type="dxa"/>
            <w:vAlign w:val="bottom"/>
            <w:tcBorders>
              <w:bottom w:val="single" w:sz="8" w:color="FEFEFE"/>
            </w:tcBorders>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0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3440" w:type="dxa"/>
            <w:vAlign w:val="bottom"/>
            <w:tcBorders>
              <w:bottom w:val="single" w:sz="8" w:color="FEFEFE"/>
            </w:tcBorders>
            <w:gridSpan w:val="2"/>
            <w:shd w:val="clear" w:color="auto" w:fill="FEFEFE"/>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80" w:type="dxa"/>
            <w:vAlign w:val="bottom"/>
            <w:tcBorders>
              <w:bottom w:val="single" w:sz="8" w:color="FEFEFE"/>
            </w:tcBorders>
            <w:shd w:val="clear" w:color="auto" w:fill="FEFEFE"/>
          </w:tcPr>
          <w:p>
            <w:pPr>
              <w:spacing w:after="0"/>
              <w:rPr>
                <w:sz w:val="16"/>
                <w:szCs w:val="16"/>
                <w:color w:val="auto"/>
              </w:rPr>
            </w:pPr>
          </w:p>
        </w:tc>
        <w:tc>
          <w:tcPr>
            <w:tcW w:w="3780" w:type="dxa"/>
            <w:vAlign w:val="bottom"/>
            <w:tcBorders>
              <w:bottom w:val="single" w:sz="8" w:color="FEFEFE"/>
            </w:tcBorders>
            <w:shd w:val="clear" w:color="auto" w:fill="FEFEFE"/>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1"/>
        </w:trPr>
        <w:tc>
          <w:tcPr>
            <w:tcW w:w="560" w:type="dxa"/>
            <w:vAlign w:val="bottom"/>
            <w:tcBorders>
              <w:top w:val="single" w:sz="8" w:color="auto"/>
              <w:bottom w:val="single" w:sz="8" w:color="CCEEFF"/>
            </w:tcBorders>
            <w:shd w:val="clear" w:color="auto" w:fill="CCEEFF"/>
          </w:tcPr>
          <w:p>
            <w:pPr>
              <w:spacing w:after="0"/>
              <w:rPr>
                <w:sz w:val="13"/>
                <w:szCs w:val="13"/>
                <w:color w:val="auto"/>
              </w:rPr>
            </w:pPr>
          </w:p>
        </w:tc>
        <w:tc>
          <w:tcPr>
            <w:tcW w:w="3020" w:type="dxa"/>
            <w:vAlign w:val="bottom"/>
            <w:tcBorders>
              <w:top w:val="single" w:sz="8" w:color="auto"/>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color w:val="auto"/>
              </w:rPr>
              <w:t>Common stock, par value $0.0001 per share</w:t>
            </w: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4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EOSE</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7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r>
        <w:trPr>
          <w:trHeight w:val="151"/>
        </w:trPr>
        <w:tc>
          <w:tcPr>
            <w:tcW w:w="560" w:type="dxa"/>
            <w:vAlign w:val="bottom"/>
          </w:tcPr>
          <w:p>
            <w:pPr>
              <w:spacing w:after="0"/>
              <w:rPr>
                <w:sz w:val="13"/>
                <w:szCs w:val="13"/>
                <w:color w:val="auto"/>
              </w:rPr>
            </w:pPr>
          </w:p>
        </w:tc>
        <w:tc>
          <w:tcPr>
            <w:tcW w:w="3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Warrants, each exercisable for one share of 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EOSEW</w:t>
            </w:r>
          </w:p>
        </w:tc>
        <w:tc>
          <w:tcPr>
            <w:tcW w:w="80" w:type="dxa"/>
            <w:vAlign w:val="bottom"/>
          </w:tcPr>
          <w:p>
            <w:pPr>
              <w:spacing w:after="0"/>
              <w:rPr>
                <w:sz w:val="13"/>
                <w:szCs w:val="13"/>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bl>
    <w:p>
      <w:pPr>
        <w:spacing w:after="0" w:line="1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479425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499745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02"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29" w:lineRule="exact"/>
        <w:rPr>
          <w:sz w:val="24"/>
          <w:szCs w:val="24"/>
          <w:color w:val="auto"/>
        </w:rPr>
      </w:pPr>
    </w:p>
    <w:p>
      <w:pPr>
        <w:jc w:val="both"/>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4" w:lineRule="exact"/>
        <w:rPr>
          <w:sz w:val="24"/>
          <w:szCs w:val="24"/>
          <w:color w:val="auto"/>
        </w:rPr>
      </w:pPr>
    </w:p>
    <w:p>
      <w:pPr>
        <w:jc w:val="both"/>
        <w:ind w:right="2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54" w:lineRule="exact"/>
        <w:rPr>
          <w:sz w:val="24"/>
          <w:szCs w:val="24"/>
          <w:color w:val="auto"/>
        </w:rPr>
      </w:pPr>
    </w:p>
    <w:p>
      <w:pPr>
        <w:jc w:val="both"/>
        <w:ind w:right="2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spacing w:after="0" w:line="347"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240" w:type="dxa"/>
            <w:vAlign w:val="bottom"/>
          </w:tcPr>
          <w:p>
            <w:pPr>
              <w:ind w:left="1940"/>
              <w:spacing w:after="0" w:line="111" w:lineRule="exact"/>
              <w:rPr>
                <w:sz w:val="20"/>
                <w:szCs w:val="20"/>
                <w:color w:val="auto"/>
              </w:rPr>
            </w:pPr>
            <w:r>
              <w:rPr>
                <w:rFonts w:ascii="MS PGothic" w:cs="MS PGothic" w:eastAsia="MS PGothic" w:hAnsi="MS PGothic"/>
                <w:sz w:val="11"/>
                <w:szCs w:val="11"/>
                <w:color w:val="auto"/>
              </w:rPr>
              <w:t>☐</w:t>
            </w:r>
          </w:p>
        </w:tc>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Accelerated filer</w:t>
            </w:r>
          </w:p>
        </w:tc>
        <w:tc>
          <w:tcPr>
            <w:tcW w:w="2160" w:type="dxa"/>
            <w:vAlign w:val="bottom"/>
          </w:tcPr>
          <w:p>
            <w:pPr>
              <w:ind w:left="2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29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240" w:type="dxa"/>
            <w:vAlign w:val="bottom"/>
          </w:tcPr>
          <w:p>
            <w:pPr>
              <w:ind w:left="1940"/>
              <w:spacing w:after="0" w:line="111" w:lineRule="exact"/>
              <w:rPr>
                <w:sz w:val="20"/>
                <w:szCs w:val="20"/>
                <w:color w:val="auto"/>
              </w:rPr>
            </w:pPr>
            <w:r>
              <w:rPr>
                <w:rFonts w:ascii="MS PGothic" w:cs="MS PGothic" w:eastAsia="MS PGothic" w:hAnsi="MS PGothic"/>
                <w:sz w:val="11"/>
                <w:szCs w:val="11"/>
                <w:color w:val="auto"/>
              </w:rPr>
              <w:t>☒</w:t>
            </w:r>
          </w:p>
        </w:tc>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160" w:type="dxa"/>
            <w:vAlign w:val="bottom"/>
          </w:tcPr>
          <w:p>
            <w:pPr>
              <w:ind w:left="2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61"/>
        </w:trPr>
        <w:tc>
          <w:tcPr>
            <w:tcW w:w="2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Emerging growth company</w:t>
            </w:r>
          </w:p>
        </w:tc>
        <w:tc>
          <w:tcPr>
            <w:tcW w:w="2160" w:type="dxa"/>
            <w:vAlign w:val="bottom"/>
          </w:tcPr>
          <w:p>
            <w:pPr>
              <w:ind w:left="20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49" w:lineRule="exact"/>
        <w:rPr>
          <w:sz w:val="24"/>
          <w:szCs w:val="24"/>
          <w:color w:val="auto"/>
        </w:rPr>
      </w:pPr>
    </w:p>
    <w:p>
      <w:pPr>
        <w:ind w:right="80"/>
        <w:spacing w:after="0" w:line="15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54" w:lineRule="exact"/>
        <w:rPr>
          <w:sz w:val="24"/>
          <w:szCs w:val="24"/>
          <w:color w:val="auto"/>
        </w:rPr>
      </w:pPr>
    </w:p>
    <w:p>
      <w:pPr>
        <w:ind w:right="42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4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229" w:lineRule="exact"/>
        <w:rPr>
          <w:sz w:val="24"/>
          <w:szCs w:val="24"/>
          <w:color w:val="auto"/>
        </w:rPr>
      </w:pPr>
    </w:p>
    <w:p>
      <w:pPr>
        <w:ind w:right="140"/>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4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registrant is a shell company (as defined in Rule 12b-2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29"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1"/>
          <w:szCs w:val="11"/>
          <w:color w:val="auto"/>
        </w:rPr>
        <w:t>The aggregate market value of the voting stock held by non-affiliates of the registrant as of the last business day of the registrant’s most recently completed second fiscal quarter, June 30, 2024, was approximately $268.5 million based upon the closing sale price of our common stock of $1.27 on that date. As of February 26, 2025, there were 226,599,297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356870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10640" w:type="dxa"/>
            <w:vAlign w:val="bottom"/>
            <w:gridSpan w:val="29"/>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Part I</w:t>
            </w:r>
          </w:p>
        </w:tc>
        <w:tc>
          <w:tcPr>
            <w:tcW w:w="6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color w:val="auto"/>
                <w:w w:val="85"/>
              </w:rPr>
              <w:t>1</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7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1. Business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85"/>
              </w:rPr>
              <w:t>3</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1A. Risk Factors</w:t>
            </w:r>
          </w:p>
        </w:tc>
        <w:tc>
          <w:tcPr>
            <w:tcW w:w="9300" w:type="dxa"/>
            <w:vAlign w:val="bottom"/>
            <w:tcBorders>
              <w:bottom w:val="single" w:sz="8" w:color="CCEEFF"/>
            </w:tcBorders>
            <w:gridSpan w:val="20"/>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11</w:t>
            </w: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1B. Unresolved Staff Comments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33</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5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1C. Cybersecurity</w:t>
            </w:r>
          </w:p>
        </w:tc>
        <w:tc>
          <w:tcPr>
            <w:tcW w:w="6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33</w:t>
            </w:r>
          </w:p>
        </w:tc>
      </w:tr>
      <w:tr>
        <w:trPr>
          <w:trHeight w:val="159"/>
        </w:trPr>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320" w:type="dxa"/>
            <w:vAlign w:val="bottom"/>
            <w:tcBorders>
              <w:top w:val="single" w:sz="8" w:color="auto"/>
            </w:tcBorders>
            <w:gridSpan w:val="9"/>
          </w:tcPr>
          <w:p>
            <w:pPr>
              <w:spacing w:after="0" w:line="159" w:lineRule="exact"/>
              <w:rPr>
                <w:sz w:val="20"/>
                <w:szCs w:val="20"/>
                <w:color w:val="auto"/>
              </w:rPr>
            </w:pPr>
            <w:r>
              <w:rPr>
                <w:rFonts w:ascii="Times New Roman" w:cs="Times New Roman" w:eastAsia="Times New Roman" w:hAnsi="Times New Roman"/>
                <w:sz w:val="14"/>
                <w:szCs w:val="14"/>
                <w:color w:val="auto"/>
              </w:rPr>
              <w:t>Item 2. Properties</w:t>
            </w:r>
          </w:p>
        </w:tc>
        <w:tc>
          <w:tcPr>
            <w:tcW w:w="9240" w:type="dxa"/>
            <w:vAlign w:val="bottom"/>
            <w:tcBorders>
              <w:top w:val="single" w:sz="8" w:color="CCEEFF"/>
            </w:tcBorders>
            <w:gridSpan w:val="19"/>
          </w:tcPr>
          <w:p>
            <w:pPr>
              <w:spacing w:after="0"/>
              <w:rPr>
                <w:sz w:val="13"/>
                <w:szCs w:val="13"/>
                <w:color w:val="auto"/>
              </w:rPr>
            </w:pPr>
          </w:p>
        </w:tc>
        <w:tc>
          <w:tcPr>
            <w:tcW w:w="62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34</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5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3. Legal Proceedings</w:t>
            </w:r>
          </w:p>
        </w:tc>
        <w:tc>
          <w:tcPr>
            <w:tcW w:w="6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34</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7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60" w:type="dxa"/>
            <w:vAlign w:val="bottom"/>
            <w:gridSpan w:val="28"/>
          </w:tcPr>
          <w:p>
            <w:pPr>
              <w:spacing w:after="0" w:line="159" w:lineRule="exact"/>
              <w:rPr>
                <w:sz w:val="20"/>
                <w:szCs w:val="20"/>
                <w:color w:val="auto"/>
              </w:rPr>
            </w:pPr>
            <w:r>
              <w:rPr>
                <w:rFonts w:ascii="Times New Roman" w:cs="Times New Roman" w:eastAsia="Times New Roman" w:hAnsi="Times New Roman"/>
                <w:sz w:val="14"/>
                <w:szCs w:val="14"/>
                <w:color w:val="auto"/>
              </w:rPr>
              <w:t>Item 4. Mine Safety Disclosures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35</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5"/>
              </w:rPr>
              <w:t>Part II</w:t>
            </w:r>
          </w:p>
        </w:tc>
        <w:tc>
          <w:tcPr>
            <w:tcW w:w="10280" w:type="dxa"/>
            <w:vAlign w:val="bottom"/>
            <w:tcBorders>
              <w:bottom w:val="single" w:sz="8" w:color="CCEEFF"/>
            </w:tcBorders>
            <w:gridSpan w:val="26"/>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35</w:t>
            </w: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5. Market for Registrant's Common Equity, Related Stockholder Matters and Issuer Purchases of Equity Securities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35</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9"/>
              </w:rPr>
              <w:t>Item 6. [Reserved]</w:t>
            </w:r>
          </w:p>
        </w:tc>
        <w:tc>
          <w:tcPr>
            <w:tcW w:w="9500" w:type="dxa"/>
            <w:vAlign w:val="bottom"/>
            <w:tcBorders>
              <w:bottom w:val="single" w:sz="8" w:color="CCEEFF"/>
            </w:tcBorders>
            <w:gridSpan w:val="21"/>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35</w:t>
            </w: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7. Management's Discussion and Analysis of Financial Condition and Results of Operations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36</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auto"/>
            </w:tcBorders>
            <w:gridSpan w:val="2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7A. Quantitative and Qualitative Disclosure about Market Risk</w:t>
            </w:r>
          </w:p>
        </w:tc>
        <w:tc>
          <w:tcPr>
            <w:tcW w:w="6680" w:type="dxa"/>
            <w:vAlign w:val="bottom"/>
            <w:tcBorders>
              <w:bottom w:val="single" w:sz="8" w:color="CCEEFF"/>
            </w:tcBorders>
            <w:gridSpan w:val="7"/>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50</w:t>
            </w: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8. Financial Statements and Supplementary Data</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51</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5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9. Changes in and Disagreements with Accountants on Accounting and Financial Disclosures</w:t>
            </w:r>
          </w:p>
        </w:tc>
        <w:tc>
          <w:tcPr>
            <w:tcW w:w="6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111</w:t>
            </w:r>
          </w:p>
        </w:tc>
      </w:tr>
      <w:tr>
        <w:trPr>
          <w:trHeight w:val="159"/>
        </w:trPr>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580" w:type="dxa"/>
            <w:vAlign w:val="bottom"/>
            <w:tcBorders>
              <w:top w:val="single" w:sz="8" w:color="auto"/>
            </w:tcBorders>
            <w:gridSpan w:val="25"/>
          </w:tcPr>
          <w:p>
            <w:pPr>
              <w:spacing w:after="0" w:line="159" w:lineRule="exact"/>
              <w:rPr>
                <w:sz w:val="20"/>
                <w:szCs w:val="20"/>
                <w:color w:val="auto"/>
              </w:rPr>
            </w:pPr>
            <w:r>
              <w:rPr>
                <w:rFonts w:ascii="Times New Roman" w:cs="Times New Roman" w:eastAsia="Times New Roman" w:hAnsi="Times New Roman"/>
                <w:sz w:val="14"/>
                <w:szCs w:val="14"/>
                <w:color w:val="auto"/>
              </w:rPr>
              <w:t>Item 9A. Controls and Procedures</w:t>
            </w:r>
          </w:p>
        </w:tc>
        <w:tc>
          <w:tcPr>
            <w:tcW w:w="4980" w:type="dxa"/>
            <w:vAlign w:val="bottom"/>
            <w:tcBorders>
              <w:top w:val="single" w:sz="8" w:color="CCEEFF"/>
            </w:tcBorders>
            <w:gridSpan w:val="3"/>
          </w:tcPr>
          <w:p>
            <w:pPr>
              <w:spacing w:after="0"/>
              <w:rPr>
                <w:sz w:val="13"/>
                <w:szCs w:val="13"/>
                <w:color w:val="auto"/>
              </w:rPr>
            </w:pPr>
          </w:p>
        </w:tc>
        <w:tc>
          <w:tcPr>
            <w:tcW w:w="62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111</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5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9B. Other Information</w:t>
            </w:r>
          </w:p>
        </w:tc>
        <w:tc>
          <w:tcPr>
            <w:tcW w:w="6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112</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7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60" w:type="dxa"/>
            <w:vAlign w:val="bottom"/>
            <w:gridSpan w:val="28"/>
          </w:tcPr>
          <w:p>
            <w:pPr>
              <w:spacing w:after="0" w:line="159" w:lineRule="exact"/>
              <w:rPr>
                <w:sz w:val="20"/>
                <w:szCs w:val="20"/>
                <w:color w:val="auto"/>
              </w:rPr>
            </w:pPr>
            <w:r>
              <w:rPr>
                <w:rFonts w:ascii="Times New Roman" w:cs="Times New Roman" w:eastAsia="Times New Roman" w:hAnsi="Times New Roman"/>
                <w:sz w:val="14"/>
                <w:szCs w:val="14"/>
                <w:color w:val="auto"/>
              </w:rPr>
              <w:t>Item 9C. Disclosure Regarding Foreign Jurisdictions that Prevent Inspections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112</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640" w:type="dxa"/>
            <w:vAlign w:val="bottom"/>
            <w:gridSpan w:val="2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Part III</w:t>
            </w:r>
          </w:p>
        </w:tc>
        <w:tc>
          <w:tcPr>
            <w:tcW w:w="6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7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10. Directors, Executive Officers and Corporate Governance</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5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11. Executive Compensation</w:t>
            </w:r>
          </w:p>
        </w:tc>
        <w:tc>
          <w:tcPr>
            <w:tcW w:w="6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7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60" w:type="dxa"/>
            <w:vAlign w:val="bottom"/>
            <w:gridSpan w:val="28"/>
          </w:tcPr>
          <w:p>
            <w:pPr>
              <w:spacing w:after="0" w:line="159" w:lineRule="exact"/>
              <w:rPr>
                <w:sz w:val="20"/>
                <w:szCs w:val="20"/>
                <w:color w:val="auto"/>
              </w:rPr>
            </w:pPr>
            <w:r>
              <w:rPr>
                <w:rFonts w:ascii="Times New Roman" w:cs="Times New Roman" w:eastAsia="Times New Roman" w:hAnsi="Times New Roman"/>
                <w:sz w:val="14"/>
                <w:szCs w:val="14"/>
                <w:color w:val="auto"/>
              </w:rPr>
              <w:t>Item 12. Security Ownership of Certain Beneficial Owner and Management and Related Stockholder Matters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0" w:type="dxa"/>
            <w:vAlign w:val="bottom"/>
            <w:tcBorders>
              <w:bottom w:val="single" w:sz="8" w:color="auto"/>
            </w:tcBorders>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13. Certain Relationships and Related Transactions, and Director Independence</w:t>
            </w:r>
          </w:p>
        </w:tc>
        <w:tc>
          <w:tcPr>
            <w:tcW w:w="5760" w:type="dxa"/>
            <w:vAlign w:val="bottom"/>
            <w:tcBorders>
              <w:bottom w:val="single" w:sz="8" w:color="CCEEFF"/>
            </w:tcBorders>
            <w:gridSpan w:val="5"/>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14. Principal Accounting Fees and Services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7"/>
              </w:rPr>
              <w:t>Part IV</w:t>
            </w:r>
          </w:p>
        </w:tc>
        <w:tc>
          <w:tcPr>
            <w:tcW w:w="10220" w:type="dxa"/>
            <w:vAlign w:val="bottom"/>
            <w:tcBorders>
              <w:bottom w:val="single" w:sz="8" w:color="CCEEFF"/>
            </w:tcBorders>
            <w:gridSpan w:val="24"/>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159"/>
        </w:trPr>
        <w:tc>
          <w:tcPr>
            <w:tcW w:w="20" w:type="dxa"/>
            <w:vAlign w:val="bottom"/>
          </w:tcPr>
          <w:p>
            <w:pPr>
              <w:spacing w:after="0"/>
              <w:rPr>
                <w:sz w:val="13"/>
                <w:szCs w:val="13"/>
                <w:color w:val="auto"/>
              </w:rPr>
            </w:pPr>
          </w:p>
        </w:tc>
        <w:tc>
          <w:tcPr>
            <w:tcW w:w="10640" w:type="dxa"/>
            <w:vAlign w:val="bottom"/>
            <w:gridSpan w:val="29"/>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15. Exhibits and Financial Statement Schedules</w:t>
            </w: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w:t>
            </w: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640" w:type="dxa"/>
            <w:vAlign w:val="bottom"/>
            <w:gridSpan w:val="29"/>
            <w:shd w:val="clear" w:color="auto" w:fill="CCEEFF"/>
          </w:tcPr>
          <w:p>
            <w:pPr>
              <w:ind w:left="80"/>
              <w:spacing w:after="0" w:line="159" w:lineRule="exact"/>
              <w:rPr>
                <w:sz w:val="20"/>
                <w:szCs w:val="20"/>
                <w:color w:val="auto"/>
              </w:rPr>
            </w:pPr>
            <w:r>
              <w:rPr>
                <w:rFonts w:ascii="Times New Roman" w:cs="Times New Roman" w:eastAsia="Times New Roman" w:hAnsi="Times New Roman"/>
                <w:sz w:val="14"/>
                <w:szCs w:val="14"/>
                <w:color w:val="auto"/>
              </w:rPr>
              <w:t>Item 16. Form 10-K Summary</w:t>
            </w:r>
          </w:p>
        </w:tc>
        <w:tc>
          <w:tcPr>
            <w:tcW w:w="6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121</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7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All statements included in this Annual Report on Form 10-K ("Annual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Annual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184"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changes adversely affecting the business in which we are engaged;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forecast trends accurately;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 w:name="page3"/>
    <w:bookmarkEnd w:id="2"/>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generate cash, service indebtedness and incur additional indebtedness;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raise financing in the future;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customer's ability to secure project financing;</w:t>
      </w:r>
    </w:p>
    <w:p>
      <w:pPr>
        <w:spacing w:after="0" w:line="51" w:lineRule="exact"/>
        <w:rPr>
          <w:rFonts w:ascii="Times New Roman" w:cs="Times New Roman" w:eastAsia="Times New Roman" w:hAnsi="Times New Roman"/>
          <w:sz w:val="14"/>
          <w:szCs w:val="14"/>
          <w:i w:val="1"/>
          <w:iCs w:val="1"/>
          <w:color w:val="auto"/>
        </w:rPr>
      </w:pPr>
    </w:p>
    <w:p>
      <w:pPr>
        <w:ind w:left="520" w:right="280" w:hanging="260"/>
        <w:spacing w:after="0" w:line="316" w:lineRule="auto"/>
        <w:tabs>
          <w:tab w:leader="none" w:pos="516"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associated with the Credit Agreement (defined below), including risks of default, dilution of outstanding common stock, consequences for failure to meet milestones and contractual lockup of shares;</w:t>
      </w: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 of final tax credits available to our customers or to Eos pursuant to the Inflation Reduction Act including potential impacts from any repeal or modification of the legislation;</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timing and availability of future funding under the Department of Energy Loan Facility;</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continue to develop efficient manufacturing processes to scale and to forecast related costs and efficiencies accurately;</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fluctuations in our revenue and operating results;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competition from existing or new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convert firm order backlog and pipeline to revenue;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associated with security breaches in our information technology systems;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related to legal proceedings or claims;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associated with evolving energy policies in the United States and other countries and the potential costs of regulatory compliance;</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risks associated with changes to the U.S. trade environment;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maintain the listing of our shares of common stock on NASDAQ;</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grow our business and manage growth profitably, maintain relationships with customers and suppliers and retain our management and key employees;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related to adverse changes in general economic conditions, including inflationary pressures and increased interest rates;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 from supply chain disruptions and other impacts of geopolitical conflict;</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changes in applicable laws or regulations; and</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other factors detailed under the section titled “Risk Factors” herein.</w:t>
      </w:r>
    </w:p>
    <w:p>
      <w:pPr>
        <w:spacing w:after="0" w:line="117"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4"/>
          <w:szCs w:val="14"/>
          <w:i w:val="1"/>
          <w:iCs w:val="1"/>
          <w:color w:val="auto"/>
        </w:rPr>
        <w:t>More information on these important factors that could cause actual results to differ materially from those projected in the forward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looking statements we make in this Annual Report are set forth in Part I, Item 1A under “Risk Factors”. In addition, there may be other factors of which we are presently unaware or that we currently deem immaterial that could cause our actual results to be materially different from the results referenced in the forward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looking statements.</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Eos Energy Enterprises, Inc. (NASDAQ: EOSE) (“Eos”, “we,” “us,” “our,” or “Company”) is an American energy company and America’s leading innovator in designing, manufacturing, and providing zinc-based battery energy storage systems ("BESS"), sourced, and manufactured in the United States. The Eos BESS are safe, non-flammable, secure, and sustainable alternatives to lithium-ion batteries, making them ideal for utility-scale, microgrid, and commercial and industrial long-duration applications.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Eos, a Delaware corporation, was originally incorporated in Delaware on June 3, 2019, as a special purpose acquisition company under the name B. Riley Principal Merger Corp. II., in order to acquire a company or companies, through a merger, capital stock exchange, asset acquisition, stock purchase, reorganization or similar business combination. Upon the completion of a business combination on November 16, 2020 (the "Merger"), the Company changed its name to “Eos Energy Enterprises, Inc.” The Company’s common shares started trading under the ticker NASDAQ: EOSE on November 16, 2020.</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April 8, 2021, the Company entered into a unit purchase agreement (the “Purchase Agreement”) with Holtec Power, Inc. (“Holtec”), in accordance with the terms and conditions of which the Company purchased from Holtec the remaining 51% interest in HI-POWER, LLC (“Hi-Power”) that was not already owned by the Company. Hi-Power was incorporated as a joint venture between the Company and Holtec in 2019. In connection with the transaction, the Company also entered into a transition services agreement and a sublease with Holtec. The transaction closed on April 9, 2021.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designs, develops, manufactures, and markets innovative zinc-based energy storage solutions for utility-scale, microgrid, and commercial &amp; industrial (“C&amp;I”) applications. We believe that our batteries have the potential to emerge as a leading alternative to Lithium-ion (“Li-ion”) batteries for such long-duration applications. The Company has developed a broad range of intellectual property with multiple patents covering unique battery chemistry, mechanical product design, energy block configuration and a software operating system (Battery Management System or "BMS"). The BMS software uses proprietary Eos-developed algorithms and includes ambient and battery temperature sensors, as well as voltage and electric current sensors for the electrical strings and the system. The Company currently focuses on manufacturing and selling turn-key direct current ("DC") battery energy storage systems. The Company plans to develop a turn-key alternating current ("AC") system. The Company’s primary applications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The Company has a manufacturing facility in Turtle Creek, Pennsylvania to produce DC energy blocks with an integrated BMS.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primary market is North America. The Company has one operating and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Principal Products and Services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provides utilities, independent power producers, renewables developers and C&amp;I customers with an alternative to lithium-ion and lead-acid monopolar batteries for critical 3- to 12-hour or longer discharge duration applications. We believe the Z3 battery is transforming how utility, industrial and commercial customers store power.</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 w:cs="Times New Roman" w:eastAsia="Times New Roman" w:hAnsi="Times New Roman"/>
          <w:sz w:val="14"/>
          <w:szCs w:val="14"/>
          <w:b w:val="1"/>
          <w:bCs w:val="1"/>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Availability of Raw Materials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procures materials from various third parties and across commodities, including chemicals and substrates, fabricated metal products, plastics, electronics and electrical components. We use both domestic and international raw materials suppliers to create our current Z3™ battery module. We will continue to focus on domesticating our supply chain in an economically sustainable manner.</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we believe we have sufficient sources for the materials, components, services and supplies used in our manufacturing activities, we are highly dependent on the availability of essential materials, parts and subassemblies from our suppliers. The predominant raw materials that are required for our Z3™ battery product are zinc halide salts, felt, resin, titanium and conductive polymer.</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effectively manages its supply chain through close relationships with key suppliers. We engage in formal agreements with our strategic supplier partners and continually look to implement strategies and opportunities to ensure a resilient supply network.</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based on the latest Internal Revenue Service ("IRS") guidance, the Company believes that our current Z3™ battery module feature raw materials sourcing sufficient to qualify for the Domestic Content Bonus awarded by the Inflation Reduction Act’s ("IRA") tax credits.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the energy storage industry has evolved into a critical sector and increased global demand for global sustainable energy systems. The Company's development of clean energy complements fossil fuels in meeting the world’s growing demands for electricity. The world moves towards decarbonization and the increased use of renewable energy sources like solar and wind, energy storage plays a pivotal role in stabilizing grids, ensuring reliable power supply and maximizing the utility of intermittent power generation.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global energy storage market is experiencing robust growth, driven by the rising need for grid reliability, increased renewable energy integration and advancements in energy storage technologies. We believe the market size is expected to expand significantly in the next decade. Key drivers of industry growth are renewable energy integration, grid modernization, cost reductions and energy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 w:name="page6"/>
    <w:bookmarkEnd w:id="5"/>
    <w:p>
      <w:pPr>
        <w:jc w:val="both"/>
        <w:spacing w:after="0" w:line="287" w:lineRule="auto"/>
        <w:rPr>
          <w:sz w:val="20"/>
          <w:szCs w:val="20"/>
          <w:color w:val="auto"/>
        </w:rPr>
      </w:pPr>
      <w:r>
        <w:rPr>
          <w:rFonts w:ascii="Times New Roman" w:cs="Times New Roman" w:eastAsia="Times New Roman" w:hAnsi="Times New Roman"/>
          <w:sz w:val="14"/>
          <w:szCs w:val="14"/>
          <w:color w:val="auto"/>
        </w:rPr>
        <w:t>Certain countries' government policies, subsidies, and incentives play a role in accelerating the development and deployment of energy storage technologies. In the United States, the Department of Energy (“DOE”) has historically supported energy storage research and development, and some states have even adopted energy storage mandates.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Energy storage is a rapidly evolving industry that we believe is integral to the future of global energy systems. The Eos Z3 BESS provides a viable use case for standalone storage as an alternative to the bottleneck for the energy storage grid as the world continues to use fossil fuels for energy and electricity. Additionally, we believe our BESS' technology, safety and wide operating range makes us a "workhorse" asset for the energy grid.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continues to invest in the design, development, and production of its next-generation product, the Eos Z3 battery. This new battery builds upon the same electrochemistry that has remained largely unchanged for nearly a decade. The Eos Z3 is engineered to reduce costs and weight while enhancing manufacturability and overall system performance. Compared to the previous Gen 2.3, the Z3 features a more cost-effective design with a simplified tub structure, 50% fewer cells, and 98% fewer welds per battery module. We believe that the Eos Z3 will offer customers twice the energy density per square foot, while maintaining the same level of safety and reliability as the previous generation.</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transition to the Eos Z3 is progressing as planned, with the first fully-automated battery manufacturing line now installed and in commercial production. The Z3 uses the same chemistry, known for its ability to endure over 3 million cycles, but introduces a new mechanical design aimed at improving performance, reducing costs, and enhancing manufacturability. The Company began delivering Z3 battery modules in Q3 2023. The Z3 incorporates valuable lessons learned from the past fifteen years, which the Company expects will drive efficiencies as it scales its state-of-the-art manufacturing capabilities.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believes that the simplicity, flexibility, and safety of its products are key attributes desired by the market. Moreover, the Company recognizes the competitive advantage offered by the Inflation Reduction Act, which provides production tax credits (PTC) for domestically manufactured battery components, as well as tax credits for customers involved in projects meeting domestic content requirements (see the Regulations section in Item 1 - Business). The Company also plans to collaborate with a consortium of community leaders, universities, and supply chain partners to pursue funding opportunities under the Bipartisan Infrastructure Law of 2021.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Trends and Opportunities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believes there is a global push to generate energy through sustainable, renewable sources. However, this shift creates imbalances in existing energy grids that must be addressed. Managing these imbalances will require a variety of energy storage technologies to provide safe, reliable power. Until now, most energy storage systems have been short-duration, typically providing power for less than four hours. The Company anticipates that the future will demand mid-duration (6-12 hour) BESS that offer the flexibility to address intermittency and congestion challenges.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Z3 battery is primarily composed of five earth-abundant, readily available raw materials with established supply chains, which enables the Company to drive costs down as production scales 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lithium-ion batteries currently dominate stationary energy storage, driven in large part by the electric vehicle (EV) market, the Company sees an emerging challenge in the lithium supply chain.</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growing industry-wide concern regarding the safety risks associated with lithium-ion batteries, including incidents of thermal runaway, fires, and explosions. Lithium-ion batteries are vulnerable to internal short circuits and thermal instability due to the flammable nature of their electrolytes, which can lead to significant safety incidents and have prompted intensified regulatory scrutiny. In contrast, our battery technology is designed without these characteristics, offering a significantly enhanced safety profile and reinforcing our commitment to reliable and secure energy storage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success of our business depends, in part, on our ability to maintain and protect our proprietary technology, information, processes and know-how. We rely primarily on patent, trademark, copyright and trade secret laws in the United States and similar laws in other countries, confidentiality agreements and procedures and other contractual arrangements. These patents are subject to regulatory approval by the respective governing entity where the patent was filed. A majority of our patents relate to cell chemistry, architecture and battery mechanical design, system packaging and BMS. We continually assess opportunities to seek patent protection for those aspects of our technology, design, methodologies and processes that we believe provide significant competitive advantages.</w:t>
      </w:r>
    </w:p>
    <w:p>
      <w:pPr>
        <w:spacing w:after="0" w:line="2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periodically assesses its patent portfolio in relation to the patents’ utility and materiality to the current operation and future strategy of the business and abandons applications or ceases to maintain patents which are deemed immaterial to our current or future business operations. As of December 31, 2024, we have 26 patent families and 160 patents pending, issued, or published in 29 countries, protecting our technology and system architecture. The Company's key patents, related to its most recent generation product and future products, are not scheduled to expire until 2035 or later.</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the Company relies on trade secret protection and confidentiality agreements to safeguard our interests with respect to proprietary know-how that is not patentable and processes for which patents are difficult to enforce. We believe that many key elements of our manufacturing processes involve proprietary know-how, technology or data that are not covered by patents or patent applications, including technical processes, test equipment designs, algorithms and procedures. All of our research and development personnel have entered into confidentiality and proprietary information agreements with us. These agreements address intellectual property protection issues and requires our employees to assign to us all of the inventions, designs and technologies that Company personnel develop during the course of their employment. We also require our customers and business partners to enter into confidentiality agreements before we disclose any sensitive aspects of our technology or business plans.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Regulations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Programs and Incentives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Globally, both the operations of our business by us and the ownership of our products by our customers are impacted by various government programs, incentives and other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DOE Loan Facility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November 26, 2024, the Company entered into a note purchase agreement with the United States Federal Financing Bank ("FFB") and the United States DOE Loan Programs Office (“LPO”) ("DOE Loan Facility") pursuant to which, among other things, the DOE provided a guarantee of the Company’s (x) obligations to repay the term loan borrowings provided by the FFB to the Company and evidenced by a future advance promissory note (the “FFB Promissory Note”) and (y) the Company’s other obligations owing to FFB in respect of such guaranteed loan, and in connection and concurrently therewith, the Company entered into a Loan Guarantee Agreement with the DOE (collectively, such agreements provide for a multi draw term loan facility, the DOE Loan Facility), marking the first Title XVII battery loan closed. The DOE Loan Facility is a key step in advancing the Company's Project American Made Zinc Energy ("AMAZE") and is expected to fund the expansion of Eos’ manufacturing capacity to 8 GWh by 2027 to meet the growing demand for longer duration battery energy storage systems. The DOE Loan Facility provides for up to $303.5 million in funding, including capitalized interest.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Eligible Project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7" w:name="page8"/>
    <w:bookmarkEnd w:id="7"/>
    <w:p>
      <w:pPr>
        <w:jc w:val="both"/>
        <w:spacing w:after="0" w:line="270" w:lineRule="auto"/>
        <w:rPr>
          <w:sz w:val="20"/>
          <w:szCs w:val="20"/>
          <w:color w:val="auto"/>
        </w:rPr>
      </w:pPr>
      <w:r>
        <w:rPr>
          <w:rFonts w:ascii="Times New Roman" w:cs="Times New Roman" w:eastAsia="Times New Roman" w:hAnsi="Times New Roman"/>
          <w:sz w:val="14"/>
          <w:szCs w:val="14"/>
          <w:color w:val="auto"/>
        </w:rPr>
        <w:t>Through December 31, 2024, the Company has received funding under the DOE Loan Facility for an aggregate amount of $68.3 million, at an interest rate of 4.791% for eligible project costs incurred through December 6, 2024. These costs are a portion of Tranche 1 of the DOE Loan Facility. Tranche 1 provides up to $102.0 million for eligible costs in connection with the design, construction, installation, startup and shakedown of a battery automation line and related tools, with a projected annual production capacity of approximately 1.25 GWh ("Line 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further discussion,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to the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Reduction Act of 2022</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which include our Gen 2.3 and Z3™ BESS, could qualify for investment tax credit (“ITC”). The IRA also offers an extra ten percent credit if the project is in an “energy community” and another ten percent credit if the project satisfies domestic content requirements, which have been set forth. The ten percent bonus for domestic content could represent a strategic advantage for the Company resulting from the Company’s near-sourcing and Made in America strategy, and we currently anticipate that projects utilizing Eos batteries will qualify for the bonus.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Tax Credits under Internal Revenue Code 45X (“PTC”),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April 2024, the IRS issued final regulations related to applicable tax credit transferability and direct pay provisions of the Inflation Reduction Act. The Company has reviewed these regulations and believes they do not have a material impact on the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markets for our products are competitive, and we compete with manufacturers of traditional Li-ion and other battery storage systems. Factors affecting customers when choosing from different battery storage systems in the market include:</w:t>
      </w:r>
    </w:p>
    <w:p>
      <w:pPr>
        <w:spacing w:after="0" w:line="7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performance and features;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sustainability;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lifetime cost of ownership;</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operational costs related to auxiliary equipment;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product lifespan and degradation rate;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and energy efficiency;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duration of the battery's storage;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and support;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U.S.-based manufacturing and sourced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8" w:name="page9"/>
    <w:bookmarkEnd w:id="8"/>
    <w:p>
      <w:pPr>
        <w:jc w:val="both"/>
        <w:spacing w:after="0" w:line="269" w:lineRule="auto"/>
        <w:rPr>
          <w:sz w:val="20"/>
          <w:szCs w:val="20"/>
          <w:color w:val="auto"/>
        </w:rPr>
      </w:pPr>
      <w:r>
        <w:rPr>
          <w:rFonts w:ascii="Times New Roman" w:cs="Times New Roman" w:eastAsia="Times New Roman" w:hAnsi="Times New Roman"/>
          <w:sz w:val="14"/>
          <w:szCs w:val="14"/>
          <w:color w:val="auto"/>
        </w:rPr>
        <w:t>Our Znyth</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battery system competes with products from traditional Li-ion battery manufacturers and solution providers such as Panasonic, Samsung Electronics Co., Ltd, LG Chem, Ltd., Tesla, BYD, Sungrow, and Contemporary Amperex Technology Co. Limited. Our longer duration competitors include ESS Inc., Enervenue, Ambri, Form Energy, and Lockheed Martin. We believe that our current and next generation battery system offers significant technology, safety and cost advantages that reflect a competitive differentiation over Li-ion storage technologies.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the following strengths of our business distinguish us from our competitors and position us to capitalize on the expected continued growth in the energy storage market:</w:t>
      </w:r>
    </w:p>
    <w:p>
      <w:pPr>
        <w:spacing w:after="0" w:line="113" w:lineRule="exact"/>
        <w:rPr>
          <w:sz w:val="20"/>
          <w:szCs w:val="20"/>
          <w:color w:val="auto"/>
        </w:rPr>
      </w:pPr>
    </w:p>
    <w:p>
      <w:pPr>
        <w:jc w:val="both"/>
        <w:ind w:left="520" w:hanging="260"/>
        <w:spacing w:after="0" w:line="260" w:lineRule="auto"/>
        <w:tabs>
          <w:tab w:leader="none" w:pos="516" w:val="left"/>
        </w:tabs>
        <w:numPr>
          <w:ilvl w:val="0"/>
          <w:numId w:val="4"/>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 xml:space="preserve">Differentiated Product- </w:t>
      </w:r>
      <w:r>
        <w:rPr>
          <w:rFonts w:ascii="Times New Roman" w:cs="Times New Roman" w:eastAsia="Times New Roman" w:hAnsi="Times New Roman"/>
          <w:sz w:val="14"/>
          <w:szCs w:val="14"/>
          <w:color w:val="auto"/>
        </w:rPr>
        <w:t>Lithium cells must be kept within a narrow temperature range (25 °C +/- 5 °C), otherwise they are at risk of thermal runaway, potentially leading to fire or explosion.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Znyth™ BESS has a significantly wider thermal operating range (-20°C to 50°C), which eliminates the need for costly thermal management measures such as HVAC and fire suppression systems. Additionally, the product is a static modular battery design, which eliminates the need for pumps or compressors, both maintenance prone equipment required for flow batteries. Our battery system can charge and discharge at different durations, covering a wide range of use cases. The charge and discharge rates are fixed for Li-ion, and the life of a Li-ion battery can degrade if it is not charged or discharged at the rate for which it was designed, while the Eos Znyth technology BESS is not subject to the same degradation. This is because Eos batteries are manufactured at zero voltage and a zero percent state of charge, whereas Li-ion batteries must be kept at a specific voltage and state of charge even when not actively being used.</w:t>
      </w:r>
    </w:p>
    <w:p>
      <w:pPr>
        <w:spacing w:after="0" w:line="88"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Minimal Supply Chain Constraints- </w:t>
      </w:r>
      <w:r>
        <w:rPr>
          <w:rFonts w:ascii="Times New Roman" w:cs="Times New Roman" w:eastAsia="Times New Roman" w:hAnsi="Times New Roman"/>
          <w:sz w:val="14"/>
          <w:szCs w:val="14"/>
          <w:color w:val="auto"/>
        </w:rPr>
        <w:t>All materials for producing our Z3™ battery products are widely available commodities with fewer supply chain constraints and minimal competition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electric vehicles. Additionally, the majority of the materials are recyclable with commercially available recycling processes at end of product life, helping preserve the environment.</w:t>
      </w:r>
    </w:p>
    <w:p>
      <w:pPr>
        <w:spacing w:after="0" w:line="67"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Proven Technology Solution in the Growing and Evolving Energy Storage Market</w:t>
      </w:r>
      <w:r>
        <w:rPr>
          <w:rFonts w:ascii="Times New Roman" w:cs="Times New Roman" w:eastAsia="Times New Roman" w:hAnsi="Times New Roman"/>
          <w:sz w:val="14"/>
          <w:szCs w:val="14"/>
          <w:color w:val="auto"/>
        </w:rPr>
        <w:t>- As we launch the Z3 battery and ramp up manufacturing to gigawatt-hours (“GWh”) scale, we believe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will benefit from the overall growth of the energy storage market, which is expected to reach 6,214 GWh by the end of 2035, as projected by BNEF. From an application perspective, the market is evolving to a LDES market. Our technology is tailored to address such a need. While Li-ion has been optimized for shorter duration, the performance of our batteries improves as it moves towards longer duration, making us the prime technology for the long-duration storage market.</w:t>
      </w:r>
    </w:p>
    <w:p>
      <w:pPr>
        <w:spacing w:after="0" w:line="74"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Experienced Technology Team Focused on Continuous Innovation- </w:t>
      </w:r>
      <w:r>
        <w:rPr>
          <w:rFonts w:ascii="Times New Roman" w:cs="Times New Roman" w:eastAsia="Times New Roman" w:hAnsi="Times New Roman"/>
          <w:sz w:val="14"/>
          <w:szCs w:val="14"/>
          <w:color w:val="auto"/>
        </w:rPr>
        <w:t>Our research and development team is responsible for growing and advancing our intellectual property portfolio,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protecting our technology and system architecture. We believe that our continued investment in research and development will enable us to improve efficiency, energy density, functionality, and reliability while reducing the cost of our battery solution. We are also focused on leveraging our technology know-how to improve our BMS, expanding the operation of our batteries and increasing our overall performance. This same leverage would allow us to optimize our energy management solution to contextualize the operation of the battery based on the application, expanding our customers' ability to use our Znyth™ BESS in a wider set of use-cases.</w:t>
      </w:r>
    </w:p>
    <w:p>
      <w:pPr>
        <w:spacing w:after="0" w:line="86"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Established Global Sales Channels Anchored with Top-Tier Customers- </w:t>
      </w:r>
      <w:r>
        <w:rPr>
          <w:rFonts w:ascii="Times New Roman" w:cs="Times New Roman" w:eastAsia="Times New Roman" w:hAnsi="Times New Roman"/>
          <w:sz w:val="14"/>
          <w:szCs w:val="14"/>
          <w:color w:val="auto"/>
        </w:rPr>
        <w:t>We sell products directly to the electric utility industry and through sales channels to the commercial and industrial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We continue to build relationships with new customers and enter into agreements to provide battery solutions to new customers.</w:t>
      </w:r>
    </w:p>
    <w:p>
      <w:pPr>
        <w:spacing w:after="0" w:line="67"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Strong management team- </w:t>
      </w:r>
      <w:r>
        <w:rPr>
          <w:rFonts w:ascii="Times New Roman" w:cs="Times New Roman" w:eastAsia="Times New Roman" w:hAnsi="Times New Roman"/>
          <w:sz w:val="14"/>
          <w:szCs w:val="14"/>
          <w:color w:val="auto"/>
        </w:rPr>
        <w:t>We have assembled an executive team focused on accelerating the commercialization of the next-generation Z3™ battery product. With decades of combined,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diverse experience in the energy industry and deep expertise in manufacturing, battery storage and executing complex power and energy projects around the world, our management team is able to develop, manufacture and deliver systems at scale to meet the growing demands of the global storage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customers include the following:</w:t>
      </w:r>
    </w:p>
    <w:p>
      <w:pPr>
        <w:spacing w:after="0" w:line="82" w:lineRule="exact"/>
        <w:rPr>
          <w:sz w:val="20"/>
          <w:szCs w:val="20"/>
          <w:color w:val="auto"/>
        </w:rPr>
      </w:pPr>
    </w:p>
    <w:p>
      <w:pPr>
        <w:ind w:left="500" w:hanging="240"/>
        <w:spacing w:after="0"/>
        <w:tabs>
          <w:tab w:leader="none" w:pos="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Unity Scale renewable developers.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Independent power producers</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Industrial companies.</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Microgrid developers.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fiscal year 2024, two customers individually accounted for 50.6% and 33.2%, respectively, of our total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("ESG")</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Eos is accelerating the shift to American energy independence by transforming how the world stores power in a safe, scalable, efficient, and sustainable way. We are committed to advancing global sustainable development through our products, working to systematically grow our business to meet the challenges of the global energy transition and combat the global climate change. Additionally, the Company has not incurred significant costs to remain in compliance with environmental laws.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approach to ESG is intrinsically united to our four product themes: safety, scalability, sustainability, and efficiency. As we continue to scale, we remain committed to driving progress across these themes.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our 2024 employees by gender</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and ethnicity as a percentage of total headcount across non-exempt and exempt positions: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By Gender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By Ethnicity</w:t>
            </w:r>
          </w:p>
        </w:tc>
        <w:tc>
          <w:tcPr>
            <w:tcW w:w="1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2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2200" w:type="dxa"/>
            <w:vAlign w:val="bottom"/>
          </w:tcPr>
          <w:p>
            <w:pPr>
              <w:spacing w:after="0"/>
              <w:rPr>
                <w:sz w:val="15"/>
                <w:szCs w:val="15"/>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Female</w:t>
            </w:r>
          </w:p>
        </w:tc>
        <w:tc>
          <w:tcPr>
            <w:tcW w:w="8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Male</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African American</w:t>
            </w:r>
          </w:p>
        </w:tc>
        <w:tc>
          <w:tcPr>
            <w:tcW w:w="11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Asian</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Hispanic or Latino</w:t>
            </w:r>
          </w:p>
        </w:tc>
        <w:tc>
          <w:tcPr>
            <w:tcW w:w="1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Two or more races</w:t>
            </w: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White</w:t>
            </w:r>
          </w:p>
        </w:tc>
      </w:tr>
      <w:tr>
        <w:trPr>
          <w:trHeight w:val="22"/>
        </w:trPr>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Non-exempt</w:t>
            </w:r>
          </w:p>
        </w:tc>
        <w:tc>
          <w:tcPr>
            <w:tcW w:w="8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8 %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19 %</w:t>
            </w: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6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91"/>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Exempt</w:t>
            </w:r>
          </w:p>
        </w:tc>
        <w:tc>
          <w:tcPr>
            <w:tcW w:w="8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12 %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6"/>
                <w:szCs w:val="16"/>
                <w:color w:val="auto"/>
              </w:rPr>
            </w:pPr>
          </w:p>
        </w:tc>
        <w:tc>
          <w:tcPr>
            <w:tcW w:w="15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5 %</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22"/>
        </w:trPr>
        <w:tc>
          <w:tcPr>
            <w:tcW w:w="2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3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24 %</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6 %</w:t>
            </w:r>
          </w:p>
        </w:tc>
        <w:tc>
          <w:tcPr>
            <w:tcW w:w="14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3 %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While we present male and female, we acknowledge this is not fully encompassing of all gender identities.</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2024, we have 430 total employees, all of which are full-time employees. We have not experienced any employment-related work stoppages, and we consider relations with our employees to be good.</w:t>
      </w:r>
    </w:p>
    <w:p>
      <w:pPr>
        <w:spacing w:after="0" w:line="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success is based on the focused passion and dedication of our personnel. We are committed to providing a positive and engaging work environment for our employees and taking an active role in the betterment of the communities in which our employees live and work. Our full-time employees are provided a competitive benefits program, including comprehensive healthcare benefits, a 3% non-elective employer contribution 401(k) plan, equity awards, discretionary bonus and incentive pay opportunities, paid time-off benefits, paid parental leave, wellness programs, and periodic surveys.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and all amendments to these reports filed or furnished pursuant to Section 13(a) or 15(d) of the Securities Exchange Act of 1934 (the "Exchange Act") are available free of charge on our investor website, located at https://investors.eose.com/, as soon as reasonably practicable after they are filed with or furnished to the Securities and Exchange Commission. Our reports are also available on the Securities and Exchange Commission's website at https://www.sec.gov/. The information on our website is not, and shall not be deemed to be, a part hereof or incorporated into this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to the factors discussed elsewhere in this Report, the following risks and uncertainties could materially and adversely affect the Company’s business, financial condition, results of operations,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principal risks that could adversely affect our business, operations and financial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6" w:lineRule="exact"/>
        <w:rPr>
          <w:sz w:val="20"/>
          <w:szCs w:val="20"/>
          <w:color w:val="auto"/>
        </w:rPr>
      </w:pPr>
    </w:p>
    <w:p>
      <w:pPr>
        <w:ind w:left="520" w:hanging="260"/>
        <w:spacing w:after="0" w:line="229"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that casts substantial doubt as to our ability to continue as a going concern. We must deliver on our potential for significant business growth and improved manufacturing processes to achieve sustained, long-term profitability and long-term commercial success.</w:t>
      </w:r>
    </w:p>
    <w:p>
      <w:pPr>
        <w:ind w:left="520" w:hanging="260"/>
        <w:spacing w:after="0" w:line="23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relatively recent commercialization of our products makes it difficult to evaluate our prospects.</w:t>
      </w:r>
    </w:p>
    <w:p>
      <w:pPr>
        <w:ind w:left="480" w:hanging="220"/>
        <w:spacing w:after="0" w:line="237"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deliver the benefits offered by our technologies, or the emergence of improvements to competing technologies, could reduce demand for our products and harm our business.</w:t>
      </w:r>
    </w:p>
    <w:p>
      <w:pPr>
        <w:ind w:left="520" w:hanging="260"/>
        <w:spacing w:after="0" w:line="221"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lithium prices may result in increased competition from traditional lithium-ion batteries and adversely affect the demand for our products.</w:t>
      </w:r>
    </w:p>
    <w:p>
      <w:pPr>
        <w:ind w:left="520" w:hanging="260"/>
        <w:spacing w:after="0" w:line="229"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ind w:left="520" w:hanging="260"/>
        <w:spacing w:after="0" w:line="23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on the continuing contributions of our key personnel, and the loss of services of any principal member of our management team could adversely affect our business.</w:t>
      </w:r>
    </w:p>
    <w:p>
      <w:pPr>
        <w:ind w:left="520" w:hanging="260"/>
        <w:spacing w:after="0" w:line="23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or breach of our network or IT systems, including as a result of a cybersecurity breach, could affect our sales and operations.</w:t>
      </w:r>
    </w:p>
    <w:p>
      <w:pPr>
        <w:ind w:left="520" w:hanging="260"/>
        <w:spacing w:after="0" w:line="229"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business.</w:t>
      </w:r>
    </w:p>
    <w:p>
      <w:pPr>
        <w:ind w:left="520" w:hanging="260"/>
        <w:spacing w:after="0" w:line="229"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our business exposes us to potential legal proceedings or claims that could adversely affect our operating results. These claims could conceivably exceed the level of our liability insurance coverage.</w:t>
      </w:r>
    </w:p>
    <w:p>
      <w:pPr>
        <w:ind w:left="520" w:hanging="260"/>
        <w:spacing w:after="0" w:line="23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disputes could disrupt our ability to serve our customers and/or lead to higher labor costs.</w:t>
      </w:r>
    </w:p>
    <w:p>
      <w:pPr>
        <w:ind w:left="520" w:hanging="260"/>
        <w:spacing w:after="0"/>
        <w:tabs>
          <w:tab w:leader="none" w:pos="52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The imposition of tariffs, sanctions, restrictions on imports or other trade barriers between the United States and various countries may impact our revenue and 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Products and Manufacturing</w:t>
      </w:r>
    </w:p>
    <w:p>
      <w:pPr>
        <w:spacing w:after="0" w:line="14"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obtain Underwriters Laboratories and other related certifications for our future generations of our products.</w:t>
      </w:r>
    </w:p>
    <w:p>
      <w:pPr>
        <w:ind w:left="520" w:hanging="260"/>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to traditional Li-ion energy storage technologies, our cells and modules have less power density and round trip efficiency and may be considered inferior to competitors’ products.</w:t>
      </w:r>
    </w:p>
    <w:p>
      <w:pPr>
        <w:ind w:left="520" w:hanging="260"/>
        <w:spacing w:after="0" w:line="23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manufacturing experience and could experience difficulty producing commercial volumes of the battery storage system, establishing manufacturing capacity to scale and in meeting potential cost savings and efficiencies from anticipated improvements to our manufacturing capabilities.</w:t>
      </w:r>
    </w:p>
    <w:p>
      <w:pPr>
        <w:ind w:left="520" w:hanging="260"/>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disruptions, or quality control problems in our manufacturing operations.</w:t>
      </w:r>
    </w:p>
    <w:p>
      <w:pPr>
        <w:ind w:left="520" w:hanging="260"/>
        <w:spacing w:after="0" w:line="237"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sufficient insurance coverage to cover business continuity.</w:t>
      </w:r>
    </w:p>
    <w:p>
      <w:pPr>
        <w:ind w:left="520" w:hanging="260"/>
        <w:spacing w:after="0" w:line="22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or performance problems in our products could result in loss of customers, reputational damage, and decreased revenue, facing warranty, indemnity, and product liability claims that may arise from defective products.</w:t>
      </w:r>
    </w:p>
    <w:p>
      <w:pPr>
        <w:ind w:left="520" w:hanging="260"/>
        <w:spacing w:after="0" w:line="237"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heavily dependent on third-party suppliers and contractors. Supply chain issues could adversely affect our operations and financial results.</w:t>
      </w:r>
    </w:p>
    <w:p>
      <w:pPr>
        <w:ind w:left="520" w:hanging="260"/>
        <w:spacing w:after="0" w:line="229"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elect to expand our production capacity by constructing additional manufacturing facilities, we may encounter challenges relating to the construction, management and operation of such facilities.</w:t>
      </w:r>
    </w:p>
    <w:p>
      <w:pPr>
        <w:ind w:left="520" w:hanging="260"/>
        <w:spacing w:after="0" w:line="237"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incur substantial costs as a result of violations of, or liabilities under, environmental laws.</w:t>
      </w:r>
    </w:p>
    <w:p>
      <w:pPr>
        <w:ind w:left="520" w:hanging="260"/>
        <w:spacing w:after="0" w:line="24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scrutiny from stakeholders and regulators regarding ESG practices and disclosures, including those related to sustainability and related disclosures could result in additional costs and risks.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Future Growth</w:t>
      </w:r>
    </w:p>
    <w:p>
      <w:pPr>
        <w:spacing w:after="0" w:line="16" w:lineRule="exact"/>
        <w:rPr>
          <w:sz w:val="20"/>
          <w:szCs w:val="20"/>
          <w:color w:val="auto"/>
        </w:rPr>
      </w:pPr>
    </w:p>
    <w:p>
      <w:pPr>
        <w:ind w:left="520" w:hanging="260"/>
        <w:spacing w:after="0" w:line="24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recent and future growth effectively, we may be unable to execute our business plan, maintain high levels of customer service, or adequately address competitive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2" w:name="page13"/>
    <w:bookmarkEnd w:id="12"/>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prospects depend on our ability to capitalize on market opportunities.</w:t>
      </w:r>
    </w:p>
    <w:p>
      <w:pPr>
        <w:spacing w:after="0" w:line="14" w:lineRule="exact"/>
        <w:rPr>
          <w:rFonts w:ascii="Times New Roman" w:cs="Times New Roman" w:eastAsia="Times New Roman" w:hAnsi="Times New Roman"/>
          <w:sz w:val="14"/>
          <w:szCs w:val="14"/>
          <w:color w:val="auto"/>
        </w:rPr>
      </w:pPr>
    </w:p>
    <w:p>
      <w:pPr>
        <w:ind w:left="520" w:hanging="260"/>
        <w:spacing w:after="0" w:line="229"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meet the covenants in either the DOE Loan Facility or the Credit Agreement, we may be subject to default under the credit facilities, which could have a material adverse effect on our business.</w:t>
      </w:r>
    </w:p>
    <w:p>
      <w:pPr>
        <w:ind w:left="520" w:hanging="260"/>
        <w:spacing w:after="0" w:line="229"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need to seek alternative sources of capital, or risk its ability to continue operations, in the event it fails to meet a funding condition under the terms of the DOE Loan Facility or in the event that the government enacts laws and governmental regulations that could affect the availability of funding under the DOE Loan Facility.</w:t>
      </w:r>
    </w:p>
    <w:p>
      <w:pPr>
        <w:ind w:left="520" w:hanging="260"/>
        <w:spacing w:after="0" w:line="23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substantial number of shares of the Company’s common stock that are issuable upon the exercise or conversion of securities issued or issuable under the Credit Agreement and the SPA are subject to a contractual lockup.</w:t>
      </w:r>
    </w:p>
    <w:p>
      <w:pPr>
        <w:ind w:left="520" w:hanging="260"/>
        <w:spacing w:after="0" w:line="22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planned expansion into new geographic markets or new product lines or services could subject us to additional business, financial, and competitive risks.</w:t>
      </w:r>
    </w:p>
    <w:p>
      <w:pPr>
        <w:ind w:left="520" w:hanging="260"/>
        <w:spacing w:after="0" w:line="24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United States Operations</w:t>
      </w:r>
    </w:p>
    <w:p>
      <w:pPr>
        <w:spacing w:after="0" w:line="6" w:lineRule="exact"/>
        <w:rPr>
          <w:sz w:val="20"/>
          <w:szCs w:val="20"/>
          <w:color w:val="auto"/>
        </w:rPr>
      </w:pPr>
    </w:p>
    <w:p>
      <w:pPr>
        <w:ind w:left="520" w:hanging="260"/>
        <w:spacing w:after="0" w:line="23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customers receive federal, state and local government incentives for renewable energy solutions. The reduction, elimination or expiration of government subsidies and economic incentives related to renewable energy solutions could reduce demand for our technologies and harm our business.</w:t>
      </w:r>
    </w:p>
    <w:p>
      <w:pPr>
        <w:ind w:left="520" w:hanging="260"/>
        <w:spacing w:after="0" w:line="221"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operations in the United States, which exposes us to multiple federal, state and local regulations.</w:t>
      </w:r>
    </w:p>
    <w:p>
      <w:pPr>
        <w:ind w:left="520" w:hanging="260"/>
        <w:spacing w:after="0" w:line="23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 regulations or requirements, or our material failure to comply with any of them, can increase our costs and have other negative impacts on our business.</w:t>
      </w:r>
    </w:p>
    <w:p>
      <w:pPr>
        <w:ind w:left="520" w:hanging="260"/>
        <w:spacing w:after="0" w:line="229"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complex and evolving laws, regulations, rules, standards and contractual obligations regarding data privacy and cybersecurity, which could increase the cost of doing business, compliance risks and potential liability.</w:t>
      </w:r>
    </w:p>
    <w:p>
      <w:pPr>
        <w:ind w:left="520" w:hanging="260"/>
        <w:spacing w:after="0" w:line="24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any violations of the FCPA, the U.K. Bribery Act, and other foreign anti-bribery laws, as well as violations against export controls and economic embargo regulations.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4"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protect, or incur significant costs in defending, our intellectual property and other proprietary rights, then our business and results of operations could be materially harmed.</w:t>
      </w:r>
    </w:p>
    <w:p>
      <w:pPr>
        <w:ind w:left="520" w:hanging="260"/>
        <w:spacing w:after="0" w:line="235"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may assert that we are infringing, misappropriating or otherwise violating their intellectual property rights, which could divert management’s attention, cause us to incur significant costs, and prevent us from selling or using the technology to which such rights relate.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Related to Our Securities</w:t>
      </w:r>
    </w:p>
    <w:p>
      <w:pPr>
        <w:spacing w:after="0" w:line="16" w:lineRule="exact"/>
        <w:rPr>
          <w:sz w:val="20"/>
          <w:szCs w:val="20"/>
          <w:color w:val="auto"/>
        </w:rPr>
      </w:pPr>
    </w:p>
    <w:p>
      <w:pPr>
        <w:ind w:left="520" w:hanging="260"/>
        <w:spacing w:after="0" w:line="229" w:lineRule="auto"/>
        <w:tabs>
          <w:tab w:leader="none" w:pos="516"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Under the terms of the Credit Agreement, the SPA and the securities issued thereunder, current stockholders may be subject to significant dilution, and the voting power of the currently outstanding common stock could be significantly diluted.</w:t>
      </w:r>
    </w:p>
    <w:p>
      <w:pPr>
        <w:jc w:val="both"/>
        <w:ind w:left="520" w:hanging="260"/>
        <w:spacing w:after="0" w:line="23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have a significant number of outstanding securities outstanding that are exercisable for or convertible into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spacing w:after="0" w:line="1" w:lineRule="exact"/>
        <w:rPr>
          <w:rFonts w:ascii="Times New Roman" w:cs="Times New Roman" w:eastAsia="Times New Roman" w:hAnsi="Times New Roman"/>
          <w:sz w:val="14"/>
          <w:szCs w:val="14"/>
          <w:color w:val="auto"/>
        </w:rPr>
      </w:pPr>
    </w:p>
    <w:p>
      <w:pPr>
        <w:ind w:left="520" w:hanging="260"/>
        <w:spacing w:after="0" w:line="229"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third amended and restated certificate of incorporation of the Company (the “Charter”) and Delaware law may have the effect of discouraging lawsuits against our directors and officers.</w:t>
      </w:r>
    </w:p>
    <w:p>
      <w:pPr>
        <w:ind w:left="520" w:hanging="260"/>
        <w:spacing w:after="0" w:line="237" w:lineRule="auto"/>
        <w:tabs>
          <w:tab w:leader="none" w:pos="52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Provisions in our Charter may inhibit a takeover of us, which could limit the price investors might be willing to pay in the future for our common stock and could entrench management.</w:t>
      </w:r>
    </w:p>
    <w:p>
      <w:pPr>
        <w:ind w:left="520" w:hanging="260"/>
        <w:spacing w:after="0" w:line="23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may be volatile and may decline regardless of our operating performance.</w:t>
      </w:r>
    </w:p>
    <w:p>
      <w:pPr>
        <w:ind w:left="520" w:hanging="260"/>
        <w:spacing w:after="0" w:line="221"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resales of our common stock may cause the market price of our securities to drop significantly, even if our business is doing well.</w:t>
      </w:r>
    </w:p>
    <w:p>
      <w:pPr>
        <w:ind w:left="520" w:hanging="260"/>
        <w:spacing w:after="0" w:line="23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intend to pay dividends on our common stock in the foreseeable future and, consequently, your ability to achieve a return on your investment will depend on appreciation in the price of our common stock.</w:t>
      </w:r>
    </w:p>
    <w:p>
      <w:pPr>
        <w:ind w:left="520" w:hanging="260"/>
        <w:spacing w:after="0" w:line="235"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“smaller reporting company” and, because we have opted to use the reduced reporting requirements available to us, certain investors may find investing in our securities less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Form 10-K. The trading price of our securities could decline due to any of these risks, and, as a result, you may lose all or part of your investment.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8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losses that casts substantial doubt as to our ability to continue as a going concern. We must deliver on our potential for significant business growth and improved manufacturing processes to achieve sustained, long-term profitability and long-term commercial success.</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had net losses and negative operating cash flows each fiscal quarter since inception of our business. For the years ended December 31, 2024 and 2023, we had $685.9 million and $229.5 million in net losses, respectively. We expect to continue to incur losses and experience negative operating cash flows for the foreseeable future, as we anticipate continued investment in the development and launch of product with outside capital at the expense of short-term profitability. For the fiscal year ended December 31, 2024, the Company concluded that there was substantial doubt about its ability to continue to operate as a going concern for the 12 months following the issuance of these Consolidated Financial Statements.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our available capital has increased substantially since our Merger through the issuance of convertible notes and other financing, we continue to have limited resources relative to certain of our competitors, especially certain Li-ion manufacturers that have a longer history, are part of large multinational corporations and are already operating at a profit. To achieve profitability as well as long-term commercial success, we must continue to execute our plan to expand our business, which will require us to deliver on our existing global sales pipeline in a timely manner, increase our production capacity, improve our cost profile, grow demand for our products, and seize new market opportunities by leveraging our proprietary technology and its manufacturing processes for novel solutions. Failure to do one or more of these things could prevent us from achieving sustained, long-term commercial success.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a growth company in the early commercialization stage of its lifecycle, Eos is subject to inherent risks and uncertainties associated with the development of an enterprise. Our revenues may not grow as expected for a number of reasons, many of which are outside of our control, including a decline in global demand for battery storage products, increased competition, or our failure to continue to capitalize on growth opportunities. In addition, although we have achieved sales of our products to potential customers, it is not clear to what extent, if any, the products will be profitable and when. The costs of goods associated with production of our battery storage system are significant. While we are working to optimize our supply chain, improve the speed and efficiency of our manufacturing processes, and lower the cost of other input costs such as raw material and conversion costs, there can be no assurance that we will be successful in these efforts. If we are not able to sustain revenue growth, reduce cost and continue to raise the capital necessary to support operations, our failure to achieve or maintain profitability could negatively impact the value of our common stock. Even if we do achieve profitability when expected, we may be unable to sustain or increase our profitability in the future.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order to execute our development strategy, we have historically relied on outside capital through the issuance of equity, debt, and borrowings under financing arrangements (collectively “outside capital”) to fund our cost structure and expect to continue to rely on outside capital for the foreseeable future.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The relatively recent commercialization of our products makes it difficult to evaluate our future prospects.</w:t>
      </w:r>
    </w:p>
    <w:p>
      <w:pPr>
        <w:spacing w:after="0" w:line="11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Since our inception, we have sold a limited quantity of Eos Znyth</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DC battery systems to our customers. We began commercializing our products in mid-2018, and while our research and development activities successfully established the efficiency of our chemistry, we struggled to incorporate our proven technologies into an effective manufacturing design prior to 2018.</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continue to invest in the design and development of the next generation product, the Z3™ battery which builds off the same electrochemistry that has not fundamentally changed for the better part of a decade. The Z3 battery is designed to reduce cost and weight and improve manufacturability and system performance. The Eos Z3 transition is fully underway, and the first semi-automated battery manufacturing line is installed and has started commercial production. The Company started delivery of its Z3 battery modules in the third quarter of 2023.</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success will depend on our ability to manufacture products at scale and low cost while timely meeting customers’ demands and overcome any negative perception in the market related to our historical manufacturing challenges, and we may not be able to generate sufficient customer confidence in our latest designs and ongoing product improvements and lower the cost due to economies of scale. Our inability to predict the extent of customer adoption of our proprietary technologies in the already-established traditional energy storage market makes it difficult to evaluate our profitability and future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deliver the benefits offered by our technologies, or the emergence of improvements to competing technologies, could reduce demand for our products and harm our business.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compared to Li-ion batteries, our energy storage solutions offer significant benefits, including the use of widely-available and low-cost materials with no rare earth or toxic components, recyclability at end-of-life, an over twenty (20) year product life requiring minimal maintenance, and a wide thermal operating range that eliminates the need for fire suppression and HVAC, which would otherwise be required for use with Li-ion batteries.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rates at which electricity is available from a customer’s local electric utility company is subject to change and any changes in such rates may affect the relative benefits of our energy storage systems. Further, if our manufacturing costs do not decrease to the extent we intend, or if our expectations regarding the operation, performance, maintenance and disposal of our products are not realized, we could have difficulty marketing our products as a superior alternative to already-established technologies and impact the market reputation and adaptability of our products. Developments of existing and new technologies could improve their cost and usability profile, reducing any relative benefits currently offered by our products which would negatively impact the likelihood of our products gaining market acceptance.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decline in lithium prices may result in increased competition from traditional lithium-ion (“Li-ion”) batteries and adversely affect the demand for our products.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Currently, global lithium available supply exceeds demand. Decreases in the price of lithium, a key component of traditional Li-ion batteries, may increase the competitiveness of the traditional Li-ion batteries relative to the zinc-based energy storage solutions we provide. Mineral prices fluctuate widely and are affected by numerous factors beyond our control such as global and regional supply and demand, interest rates, exchange rates, inflation or deflation, fluctuation in the value of the United States dollar and foreign currencies, and the political and economic conditions of mineral-producing countries throughout the world. The exact effect of these factors cannot be accurately predicted, but the combination of these factors may result in a decrease in lithium prices, which may adversely affect our business and results of operations.</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15" w:name="page16"/>
    <w:bookmarkEnd w:id="15"/>
    <w:p>
      <w:pPr>
        <w:jc w:val="both"/>
        <w:spacing w:after="0" w:line="264" w:lineRule="auto"/>
        <w:rPr>
          <w:sz w:val="20"/>
          <w:szCs w:val="20"/>
          <w:color w:val="auto"/>
        </w:rPr>
      </w:pPr>
      <w:r>
        <w:rPr>
          <w:rFonts w:ascii="Times New Roman" w:cs="Times New Roman" w:eastAsia="Times New Roman" w:hAnsi="Times New Roman"/>
          <w:sz w:val="14"/>
          <w:szCs w:val="14"/>
          <w:color w:val="auto"/>
        </w:rPr>
        <w:t>We expect to incur additional costs and expenses in the future related to the continued development and expansion of our business, including in connection with expanding our manufacturing capabilities to significantly increase production capacity, developing our products, maintaining and enhancing our research and development operations, expanding our sales, marketing, and business development activities in the United States and internationally, and growing our project management, field services and overall operational capabilities for delivering projects. We do not know whether we will be able to reduce our manufacturing cost and grow our revenue rapidly enough to absorb these costs or the extent of these expenses or their impact on our results of operations.</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Disruptions in the global capital and credit markets as a result of an economic downturn, economic uncertainty, changing or increased regulation, or failures of significant financial institutions could adversely affect our customers’ ability to access capital and could adversely affect our access to liquidity needed for business in the future. Our business could be hurt if we are unable to obtain additional capital as required, resulting in a decrease in our revenues and profitability.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the continuing contributions of our key personnel, and the loss of services of any principal member of our management team could adversely affect our business.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heavily on the services of our key executive officers. We are investing significant resources in developing new members of management as we complete our restructuring and strategic transformation, and the loss of services of any principal member of our management team could adversely affect our business. The competition for qualified personnel is intense in our industry, and we may not be successful in attracting and retaining enough qualified personnel to support our anticipated growth. We also cannot guarantee that any employee will remain employed with us for any definite period since all of our employees, including our key executive officers, serve at-will and may terminate their employment at any time for any reason.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Compensation Committee of the Board of Directors is committed to working with the management to design compensation plans that attract, retain and motivate the Company’s executives and support business objectives that create shareholder value. In addition, the Board of Directors has implemented procedures to plan for the effective succession of senior management and key personnel. However, we still depend on the experience of our senior management team, including our chief executive officer, chief financial officer and chief accounting officer, and other key personnel, each of whom would be difficult to replace in the event of an unforeseen departure from the Company. Despite successfully managing recent turnover, the loss of any such personnel could have a material adverse effect on our business and our ability to implement our business strategy. All of our employees, including our senior management, are free to terminate their employment relationships with us at any time. We do not maintain key-person insurance for any of our employees, including senior management. In addition, changes and replacement, as well as transition in senior executive leadership could adversely affect our relationships with clients, customers, and employees. We must successfully integrate new key personnel whom we hire within our organization in order to achieve our operating objectives.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We face and are likely to continue to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or breach of our network or IT systems, including as a result of a cybersecurity breach, could affect our sales and operations.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we may face attempts by others to gain unauthorized access to our network or IT systems through various forms of the Internet or try to introduce malicious software to our network or IT systems, including our BMS. We or our products may be a target of computer hackers, organizations or malicious attackers who attempt to:</w:t>
      </w:r>
    </w:p>
    <w:p>
      <w:pPr>
        <w:spacing w:after="0" w:line="17"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gain access to our systems, network or data centers or those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16" w:name="page17"/>
    <w:bookmarkEnd w:id="16"/>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steal proprietary information related to our business, products, employees, and customers; or</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interrupt our infrastructure or those of our customers.</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To date, no attempts have resulted in any material adverse impact to our business or operations; however, there can be no guarantee that such intrusions will not be material in the future. While we seek to detect and investigate all unauthorized attempts and attacks against our network and products, and to prevent their recurrence where practicable through changes to our internal processes and tools and/or changes to our products, we remain potentially vulnerable to additional known or unknown threats, such as, among other things, malware and computer virus attacks, ransomware attacks, social engineering attacks (including phishing attacks) or denial-of-service attacks. In addition to intentional third-party cybersecurity breaches, the integrity and confidentiality of Company and customer data may be compromised as a result of human error, fraud or malice on the part of our employees or third parties, product defects, software bugs, server malfunctions, software or hardware failure or other technological failures. Such threats are evolving, may be difficult for long periods of time, and may see their frequency increased and effectiveness enhanced by the use of artificial intelligence. Further, these risks may be heightened in connection with ongoing global conflicts such as the military conflict between Russia and Ukraine and the military conflict between Israel and Hamas. Cybersecurity breaches, whether successful or unsuccessful, and other IT system interruptions, including those resulting from human error and technological failures, could result in us incurring significant costs related to, for example, rebuilding internal systems, reduced inventory value, providing modifications to our products and services, defending against litigation, responding to regulatory inquiries or actions, paying damages, or taking other remedial steps with respect to third parties.</w:t>
      </w:r>
    </w:p>
    <w:p>
      <w:pPr>
        <w:spacing w:after="0" w:line="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IT infrastructure is currently managed by a third party Managed Services Provider ("MSP"). While we regularly review the cybersecurity tools and other security protection provided by this MSP, and this MSP regularly runs intrusion and other security tests on services provided to us, there can be no guarantee that a failure or breach of such systems will not occur. While we generally perform cybersecurity diligence on our other key service providers, we do not control our service providers and our ability to monitor their cybersecurity is limited. Some of our service providers may store or have access to our data and may not have effective controls, processes, or practices to protect our information from loss, unauthorized disclosure, unauthorized use or misappropriation or cybersecurity breaches. A vulnerability in our service providers’ software or systems, a failure of our service providers’ safeguards, policies or procedures, or a cybersecurity breach affecting any of these third parties could harm our business.</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a few IT systems throughout our business that could fail for a variety of reasons, including the threats of unauthorized intrusions and attackers. If such failures were to occur, we may not be able to sufficiently recover to avoid the loss of data or any adverse impact on our operations that are dependent on such IT systems. This could result in lost sales as we may not be able to meet the demands for our product.</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Furthermore, because our IT systems are essential for the exchange of information both internally and in communicating with third parties, including our suppliers and manufacturers, cybersecurity breaches could potentially lead to the unauthorized release of sensitive, confidential or personal data or information, improper use of our systems, or, unauthorized access, use, disclosure, modification or destruction of information or defective products. If these cybersecurity breaches continue, our operations and ability to communicate both internally and with third parties may be negatively impacted. Additionally, if we try to remediate our cybersecurity problems, we could face significant unplanned costs or capital investments and any damage or interruption could have a material adverse effect on our reputation, business, financial condition, and results of operations. Additionally, we cannot be certain that our insurance coverage will be adequate for data security liabilities actually incurred, that insurance will continue to be available to us on economically reasonable terms, or at all, or that our insurer will not deny coverage as to any future claim.</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4" w:right="319" w:bottom="1440" w:gutter="0" w:footer="0" w:header="0"/>
        </w:sectPr>
      </w:pPr>
    </w:p>
    <w:bookmarkStart w:id="17" w:name="page18"/>
    <w:bookmarkEnd w:id="17"/>
    <w:p>
      <w:pPr>
        <w:jc w:val="both"/>
        <w:spacing w:after="0" w:line="259" w:lineRule="auto"/>
        <w:rPr>
          <w:sz w:val="20"/>
          <w:szCs w:val="20"/>
          <w:color w:val="auto"/>
        </w:rPr>
      </w:pPr>
      <w:r>
        <w:rPr>
          <w:rFonts w:ascii="Times New Roman" w:cs="Times New Roman" w:eastAsia="Times New Roman" w:hAnsi="Times New Roman"/>
          <w:sz w:val="14"/>
          <w:szCs w:val="14"/>
          <w:color w:val="auto"/>
        </w:rPr>
        <w:t>Any system or service disruptions, including to our IT systems managed by a MSP, if not anticipated and appropriately mitigated, could materially and adversely affect our business. We, and the service providers on which we rely, are also subject to systems failures, including network, software or hardware failures, whether caused by us, third-party service providers, cybersecurity threats, malicious insiders, natural disasters, power shortages, terrorist attacks, pandemics or other events, which could cause loss of data and interruptions or delays in our business, cause us to incur remediation costs, subject us to claims and damage our reputation. In addition, the failure or disruption of our communications, or those of our service providers, could cause us to interrupt or suspend our operations or otherwise adversely affect our business. Our property and business interruption insurance may be inadequate to compensate us for all losses resulting from any system or operational failure or disruption.</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nature of our business exposes us to potential legal proceedings or claims that could adversely affect our operating results. These claims could conceivably exceed the level of our liability insurance coverage.</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cash flows, and we could incur substantial monetary liability and/or be required to change our business practices. See Part I, Item 3, “Legal Proceedings.”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Labor disputes could disrupt our ability to serve our customers and/or lead to higher labor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we have 430 full-time employees.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Approximately 160 production and maintenance employees at our facilities in Turtle Creek and East Pittsburgh, Pennsylvania are represented by the United Steel, Paper and Forestry, Rubber, Manufacturing, Energy, Allied Industrial and Service Workers International Union, AFL-CIO/CLC (“USW”).</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entered our first collective bargaining agreement (“CBA”) with USW applicable to the USW-represented employees on February 14, 2025, and the agreement was ratified and became effective on February 19, 2025 and expires on April 30, 2028. The CBA retains a probationary period and existing entry-level wage rates for new employees, provides seniority-based wage progression for entry-level positions and includes general wage increases for other positions. No wage increases become effective until May 1, 2026. The CBA allows for employee participation in existing and future Company benefits, including 401(k) and health and welfare benefits, as offered to our other non-represented employees. The wage and benefit costs agreed in the CBA do not materially increase our previously planned budgetary expenditures at our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18" w:name="page19"/>
    <w:bookmarkEnd w:id="18"/>
    <w:p>
      <w:pPr>
        <w:jc w:val="both"/>
        <w:spacing w:after="0" w:line="270" w:lineRule="auto"/>
        <w:rPr>
          <w:sz w:val="20"/>
          <w:szCs w:val="20"/>
          <w:color w:val="auto"/>
        </w:rPr>
      </w:pPr>
      <w:r>
        <w:rPr>
          <w:rFonts w:ascii="Times New Roman" w:cs="Times New Roman" w:eastAsia="Times New Roman" w:hAnsi="Times New Roman"/>
          <w:sz w:val="14"/>
          <w:szCs w:val="14"/>
          <w:color w:val="auto"/>
        </w:rPr>
        <w:t>The CBA also allows for substantial operational flexibility with broad management rights, subcontracting rights, flexible shift and overtime scheduling, and work rules to preserve reliability and performance of the production facilities. Finally, the CBA contains other common agreement provisions, including non-discrimination, no-strike/no-lockout, union security, safety, discipline, and grievance and arbitration procedures.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maintain a positive and collaborative relationship with the USW, which led to relatively quick agreement on CBA terms. Management considers union relations to be good and the USW as a valuable partner for workforce training and management.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imposition of tariffs, sanctions, restrictions on imports or other trade barriers between the United States and various countries may impact our revenue and results of operations.</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current political landscape has introduced significant uncertainty with respect to future trade regulations and existing international trade agreements. The new, substantial tariff increases on imports to the United States from Canada, Mexico and China announced on February 1, 2025, or other tariffs should they be implemented and sustained for an extended period of time, could have a significant adverse effect, including financial, on the overall energy storage solutions industry, us, and our supply chain. Further, retaliatory tariffs imposed by other governments would exacerbate the impact.</w:t>
      </w:r>
    </w:p>
    <w:p>
      <w:pPr>
        <w:spacing w:after="0" w:line="2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sources approximately 15% of parts, products or materials from Canada and Mexico. As long as such tariffs are in effect, we expect that the costs of such parts, products and materials would increase. It is difficult to predict what further trade-related actions governments may take, which may include additional or increased tariffs and trade restrictions, and we may be unable to quickly and effectively react to such actions, which could result in supply shortages and increased costs.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cannot predict whether, and to what extent, there may be changes to international trade agreements or whether quotas, duties, tariffs, exchange controls or other restrictions on our products will be changed or imposed. If we are unable to source our products from the countries where we wish to purchase them, either because of regulatory changes or for any other reason, or if the cost of doing so increases, it could have a material adverse effect on our business, financial condition and results of operations. Furthermore, imposition of tariffs may result in local sourcing initiatives, or other developments that make it more difficult to sell our products in foreign countries, which would negatively impact our business and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Products and Manufacturing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must obtain Underwriters Laboratories ("UL") and other related certifications for our future generations of product.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existing generation of battery systems has received Underwriters Laboratories ("UL") 1973 certification and has been tested for UL 9540A. Based on these North American certifications, we also intend to expand our current generation of battery systems product certification to other national standards such as European Conformity (“CE”) marking in the European Union and the international certification of the International Electrotechnical Commission (“IEC”). We also intend to obtain the UL certification and all applicable safety standards for our future products. Failure to obtain UL, IEC or CE certification would have a significant impact on our revenues, as such certifications are required by most of our customers. As Battery Storage is a relatively new market segment, additional rules will be introduced and regulation changes will occur. We must continue to adapt and ensure conformity to new standards and regulations introduced in the market.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Compared to traditional Li-ion energy storage technologies, our cells and modules have less power density and round trip efficiency and may be considered inferior to competitors’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4"/>
          <w:szCs w:val="14"/>
          <w:color w:val="auto"/>
        </w:rPr>
        <w:t>While the energy density of the Eos Z3™ battery enclosure product is significantly improved compared to the Eos Gen 2.3 enclosure product, and we believe that for certain installation sites the Eos Z3 systems may now equal Li-ion energy density per acre of land, traditional Li-ion cells and modules continue to offer higher power density and a lower self-discharge rate than Eos cells and modules. The differences in power density and energy efficiency become lower when comparing full size Li-ion systems to Eos Z3 systems due to the differences in auxiliary loads required by Li-ion systems and safety spacing between enclosures required by Li-ion, however, if customers were to place greater value on power density and efficient power delivery on a cell and module basis, then we could have difficulty positioning our batteries as a viable or compelling alternative to traditional Li-ion batteries and our business would suffer.</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limited manufacturing experience and could experience difficulty in producing commercial volumes of the battery storage system, establishing manufacturing capacity to scale and in meeting potential cost savings and efficiencies from anticipated improvements to our manufacturing capabilities.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limited experience in commercial manufacturing of the battery storage system. On August 21, 2019, we entered into a joint venture agreement with Holtec and formed Hi-Power, which was owned 51% by Holtec and 49% by us. We acquired the 51% equity interest owned by Holtec in April 2021. Because we have limited prior commercial manufacturing experience, we may incur manufacturing inefficiencies, delays or interruptions. Our current manufacturing and testing processes do not require significant technological or production process expertise. However,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decreased production, and logistical costs and delays. Any of these developments could have a material adverse effect on our business, financial condition, and results of operations.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date, we have only manufactured batteries in limited quantities for commercial customers. The output achieved to date is a fraction of what the Company expects will be necessary for full commercialization and to meet the demand we see in the market for our product. The manufacturing process for commercial scale is being refined and improved. There are risks associated with scaling up manufacturing to commercial volumes including, among others, technical or other problems with process scale-up, process reproducibility, stability issues, quality consistency, timely availability of raw materials and cost overruns. There is no assurance that we will be successful in establishing a larger-scale commercial manufacturing process that achieves our objectives for manufacturing capacity and cost per battery, in a timely manner or at all. If we are unable to produce sufficient quantities of product for commercialization on a timely basis and in a cost-effective manner, the Company's commercialization efforts would be impaired which could materially affect our business, financial condition, results of operations and growth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delays, disruptions, or quality control problems in our manufacturing operations.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operations require significant amounts of certain components and raw materials. We deploy a continuous, company wide process to source the components and raw materials from a few suppliers. If we are unable to source these components or raw materials, our operations may be disrupted, or we could experience a delay or halt in certain of our manufacturing operations. We believe that our supply management and production practices are based on an appropriate balancing of the foreseeable risks and the costs of alternative practices. Nonetheless, reduced availability or interruption in supplies, whether resulting from more stringent regulatory requirements, supplier financial condition, increases in duties and tariff costs, disruptions in transportation, an outbreak of a severe public health pandemic, severe weather, the occurrence or threat of wars, and other geopolitical conflict could have an adverse effect on our financial condition, results of operations and cash flows.</w:t>
      </w:r>
    </w:p>
    <w:p>
      <w:pPr>
        <w:spacing w:after="0" w:line="2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Some of our customers may experience project delays as a result of delays in site selection and preparation, procedures of obtaining necessary permissions and establishing grid connections. These delays have impacted, and may, from time to time, continue to impact the timing of our product deliveries and our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have sufficient insurance coverage to cover business continuity.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0" w:name="page21"/>
    <w:bookmarkEnd w:id="20"/>
    <w:p>
      <w:pPr>
        <w:jc w:val="both"/>
        <w:spacing w:after="0" w:line="270" w:lineRule="auto"/>
        <w:rPr>
          <w:sz w:val="20"/>
          <w:szCs w:val="20"/>
          <w:color w:val="auto"/>
        </w:rPr>
      </w:pPr>
      <w:r>
        <w:rPr>
          <w:rFonts w:ascii="Times New Roman" w:cs="Times New Roman" w:eastAsia="Times New Roman" w:hAnsi="Times New Roman"/>
          <w:sz w:val="14"/>
          <w:szCs w:val="14"/>
          <w:color w:val="auto"/>
        </w:rPr>
        <w:t>We rely on a single manufacturing site in Turtle Creek, Pennsylvania to manufacture the products to our customers. As a result, a sustained or repeated interruption in the manufacturing of our products due to labor shortage, fire, flood, war, pandemic, or natural disasters may interfere with our ability to manufacture our products and fulfill customers’ demands in a timely manner. Failure to manufacture our products and meet customer demands would impair our ability to generate revenues which would adversely affect our financial results.</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Defects or performance problems in our products could result in loss of customers, reputational damage, and decreased revenue, facing warranty, indemnity, and product liability claims that may arise from defective products.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our inception, our business objectives have been focused on producing a safe, low-cost grid-scale energy storage solution to meet the increasing demand for and adoption of renewable energy generation assets. Our Z3 battery design has, after years of research and prototype development, resulted in robust control of cell-to-cell spacing using a method which can easily be scaled for mass manufacturing production.</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Although our products meet our stringent quality requirements, they may contain undetected errors or defects, especially when first introduced or when new generations of products are released. Errors, defects, or poor performance can arise due to design flaws, defects in raw materials or components or manufacturing difficulties, which can affect the quality of our products. In addition, our BMS software may contain errors, bugs, vulnerabilities (including to cyber attacks), design defects or technical limitations. Some errors, bugs or vulnerabilities inherently may be difficult to detect. Any actual or perceived errors, bugs, vulnerabilities, defects, or poor performance in our products could result in the replacement or recall of our products, shipment delays, rejection of our products, damage to our reputation, legal claims,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Furthermore, defective components may give rise to warranty, indemnity, or product liability claims against us that exceed any revenue or profit we receive from the affected products. Generally, our product comes with an initial two (2) year manufacturing warranty. We also offer customers an extended performance warranty of up to twenty (20) years at an additional cost to the customer. The price charged for any such extended warranty is based on the use case of the customer and the additional performance that such customer desires. For extended warranties, this may require system augmentation or battery replacements, which would be provided at no additional charge beyond the price of the extended warranty paid by such customer.</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we accrued reserves for warranty claims, our estimated warranty costs for previously sold products may change to the extent future products are not compatible with earlier generation products under warranty. Our warranty accruals are based on various assumptions, which are based on a short operating history.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one of our products were to cause injury to someone or cause property damage, due to a result of product malfunctions, defects, or improper installation,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battery industry could lead to unfavorable market conditions for the industry as a whole and may have an adverse effect on our ability to attract new customers, thus harming our growth and financial performance.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heavily dependent on third-party suppliers and contractors. Supply chain issues could adversely affect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4"/>
          <w:szCs w:val="14"/>
          <w:color w:val="auto"/>
        </w:rPr>
        <w:t>We are heavily dependent on third-party suppliers and contractors and their ability to deliver sufficient quantities of key components, products and services at reasonable prices and in time for us to meet schedules for the delivery of our products and services. In addition, our operations depend on our ability to anticipate and our suppliers’ ability to fulfill, our needs for sufficient quantities of key components and products. Given the diverse distribution of our suppliers and contract manufacturers, and the long lead times required to manufacture, assemble and deliver our products, problems could arise in production, planning and inventory management, and regulatory compliance that could seriously harm our business. Suppliers may face global supply chain challenges, such as transportation delays or reduced access to raw materials, and our business could be negatively impacted if suppliers are forced to reduce their normal operations.</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elect to expand our production capacity by constructing one or more new manufacturing facilities, we may encounter challenges relating to the construction, management and operation of such facilities.</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currently operate our manufacturing facility located in Pennsylvania. We may, however, seek to construct one or more manufacturing facilities designed to meet our product supply needs in the future. Although we currently believe that we can expand our Turtle Creek facility to a 2 gigawatt-hour (“GWh”) manufacturing facility, we cannot provide any assurances that we would be able to successfully establish or operate a new manufacturing facility in a timely or profitable manner, or at all, or within any budget that might be forecasted for such a project. In addition, in order to access Tranche 3 and Tranche 4 under the DOE Loan Agreement, the Company would be required to open a new manufacturing facility satisfactory to the DOE to complete Lines 3 and 4 (as defined in the DOE Loan Agreement). The construction of any such facility would require significant capital expenditures and result in significantly increased fixed costs. If we are unable to transition manufacturing operations to any such new facilities in a cost-efficient and timely manner, then we may experience disruptions in operations, which could negatively impact our business and financial results. Further, if the demand for our products decreases or if we do not produce the expected output after any such new facility is operational, we may not be able to spread a significant amount of our fixed costs over the production volume, thereby increasing our product unit fixed cost, which would have a negative impact on our financial condition and results of operations.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ability to expand our manufacturing capacity would also greatly depend on our ability to hire, train and retain an adequate number of manufacturing employees, in particular employees with the appropriate level of knowledge, background and skills. Should we be unable to hire such employees, our business and financial results could be negatively impacted.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incur substantial costs as a result of violations of, or liabilities under, environmental laws.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properties, operations and the products we manufacture are subject to a number of environmental, health and safety laws and regulations in each of the jurisdictions in which we operate. These laws and regulations govern, among other things, air emissions, water discharges, handling and disposal of solid and hazardous substances and wastes, soil and groundwater contamination, employee health and safety and the content of products. Under certain of these laws and regulations, we may be subject to joint and several liability for environmental investigations and remediation, including</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sites at which waste we generated was disposed, even if the contamination was not caused by us or was lawful at the time it occurred. Our failure to comply with these environmental, health and safety laws and regulations, including failing to obtain any necessary permits, could cause us to incur substantial civil or criminal fines or penalties or enforcement actions, including regulatory or judicial orders enjoining or curtailing our operations or requiring us to conduct or fund remedial or corrective measures, install pollution control equipment or perform other actions. The future identification of presently unidentified environmental conditions, more vigorous enforcement by regulatory agencies, enactment of more stringent laws, regulations or permit requirements, including relating to climate change, or other unanticipated events may arise in the future and give rise to environmental liabilities, which could adversely affect our business, financial condition and results of operations.</w:t>
      </w:r>
    </w:p>
    <w:p>
      <w:pPr>
        <w:spacing w:after="0" w:line="3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scrutiny from stakeholders and regulators regarding environmental, social and governance ("ESG") practices and disclosures, including those related to climate change and sustainability, as well as recent U.S. based anti-ESG efforts, could result in additional costs and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4"/>
          <w:szCs w:val="14"/>
          <w:color w:val="auto"/>
        </w:rPr>
        <w:t>Companies across many industries are facing increasing scrutiny relating to their environmental, social and governance practices and disclosures. Our failure to satisfy evolving stakeholder expectations for ESG practices and reporting may potentially harm our reputation and impact employee retention, customer relationships and access to capital and financial markets. We have established goals related to ESG matters. These goals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including on our reputation and the market price of our common stock.</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certain institutional investors, investor advocacy groups, investment funds, creditors, influential financial markets participants and other stakeholders have become increasingly focused on companies' ESG issues in evaluating their investments and business relationships. Certain organizations also provide ESG ratings, scores and benchmarking studies that assess companies’ ESG practices. Although there are no universally accepted standards for such ratings, scores or benchmarking studies, they are used by some investors to inform their investment and voting decisions. It is possible that our future shareholders or organizations that report on, rate or score ESG practices will not be satisfied with our ESG performance. At the same time, some stakeholders and regulators have increasingly expressed or pursued opposing views, legislation, and investment expectations with respect to ESG, including the enactment or proposal of “anti-ESG” legislation or policies. Unfavorable press about or ratings or assessments of our ESG practices, regardless of whether or not we comply with applicable legal requirements, may lead to negative investor sentiment toward us, which could have a negative impact on our share price and our access to and cost of capital.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 adoption of new ESG-related regulations, or changes to existing ESG-related regulations, applicable to our business,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We could also fail, or be perceived to fail, in our achievement of any announced ESG initiatives, goals or objectives, or we could be criticized for the scope of such initiatives, goals or objectives. If we fail to satisfy the expectations of investors and other key stakeholders or our initiatives, goals or objectives are not executed as planned, our reputation, financial results and market price of our common stock and access to and cost of capital could be materially and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Future Growth</w:t>
      </w:r>
    </w:p>
    <w:p>
      <w:pPr>
        <w:spacing w:after="0" w:line="1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experienced significant growth in recent periods and intend to continue to expand our business significantly within existing and new markets. This growth has placed, and any future growth may place, a significant strain on our management, operational, and financial infrastructure. We will be required to expand, train, and manage our growing employee base and scale and otherwise improve our information technology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current and planned operations, personnel, customer support, IT, information systems,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growth prospects depend on our ability to capitalize on market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We believe that several market opportunities could help fuel our growth prospects, including the following:</w:t>
      </w:r>
    </w:p>
    <w:p>
      <w:pPr>
        <w:spacing w:after="0" w:line="23" w:lineRule="exact"/>
        <w:rPr>
          <w:sz w:val="20"/>
          <w:szCs w:val="20"/>
          <w:color w:val="auto"/>
        </w:rPr>
      </w:pPr>
    </w:p>
    <w:p>
      <w:pPr>
        <w:ind w:left="260" w:hanging="255"/>
        <w:spacing w:after="0" w:line="238"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pervasiveness of electric grid congestion, creating an opportunity to deploy batteries to reduce the peak energy usage of a customer in specific locations where infrastructure constraints create a need for transmission and/or distribution upgrades;</w:t>
      </w:r>
    </w:p>
    <w:p>
      <w:pPr>
        <w:ind w:left="260" w:hanging="255"/>
        <w:spacing w:after="0" w:line="245"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co-location of battery assets on solar or wind farms to store off-peak intermittent renewable energy production and provide on-peak energy at the higher price of alternative energy;</w:t>
      </w:r>
    </w:p>
    <w:p>
      <w:pPr>
        <w:spacing w:after="0" w:line="164" w:lineRule="exact"/>
        <w:rPr>
          <w:rFonts w:ascii="Times New Roman" w:cs="Times New Roman" w:eastAsia="Times New Roman" w:hAnsi="Times New Roman"/>
          <w:sz w:val="14"/>
          <w:szCs w:val="14"/>
          <w:color w:val="auto"/>
        </w:rPr>
      </w:pPr>
    </w:p>
    <w:p>
      <w:pPr>
        <w:ind w:left="260" w:hanging="255"/>
        <w:spacing w:after="0" w:line="237"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C&amp;I end users’ adoption of alternative energy generation technologies to supplement or replace on-the-grid energy usage; and</w:t>
      </w: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carbon reduction targets and lower prices from renewables may be forcing earlier retirement of conventional energy sources and drive demand for energy storage.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these expected market opportunities do not materialize, or if we fail to capitalize on them, then we may not be able to meet our growth projections.</w:t>
      </w:r>
    </w:p>
    <w:p>
      <w:pPr>
        <w:spacing w:after="0" w:line="1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meet the covenants in either the DOE Loan Facility or the Credit Agreement, we may be subject to default under the credit facilities, which could have a material adverse effect on our business.</w:t>
      </w:r>
    </w:p>
    <w:p>
      <w:pPr>
        <w:spacing w:after="0" w:line="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DOE Loan Facility and Credit Agreement contain various affirmative and negative covenants applicable to the Company including, among others, as defined in the Credit Agreement (i) meeting certain Minimum Consolidated EBITDA, Minimum Consolidated Revenue, and Minimum Liquidity (the cash in accounts controlled by the collateral agent) measured quarterly, (ii) reporting and information covenants including the delivery of annual, quarterly and monthly financial statements, daily cash reports, annual financial plans and forecasts with weekly progress reports and updates,</w:t>
      </w:r>
    </w:p>
    <w:p>
      <w:pPr>
        <w:jc w:val="both"/>
        <w:ind w:firstLine="5"/>
        <w:spacing w:after="0" w:line="253" w:lineRule="auto"/>
        <w:tabs>
          <w:tab w:leader="none" w:pos="26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monthly meetings with the lenders and the engagement of advisors and consultants requested by the lenders, and (iv) restrictions on business and activities including debt incurrence, asset dispositions, distributions, investments, and modifications to or terminations of various material contracts. The DOE Loan Facility and the Credit Agreement are subject to certain events of default which can be triggered by, among other things, (i) breach of payment obligations and other obligations and representations in the DOE Loan Facility, Credit Agreement or related documents, (ii) default under other debt facilities with a principal above a predetermined amount, (iii) failure to perform or comply with certain covenants in the DOE Loan facility and the Credit Agreement, (iv) entry into a decree or order for relief in respect of the Company or any of its subsidiaries in an involuntary case under the Bankruptcy Code of the United States or under any other debtor relief law,</w:t>
      </w:r>
    </w:p>
    <w:p>
      <w:pPr>
        <w:jc w:val="both"/>
        <w:ind w:firstLine="5"/>
        <w:spacing w:after="0" w:line="259" w:lineRule="auto"/>
        <w:tabs>
          <w:tab w:leader="none" w:pos="21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money judgment, writ or warrant of attachment or similar process involving in the aggregate at any time an amount in excess of $2.5 million, (vi) any order, judgement or decree entered against the Company or the any of its subsidiaries decreeing the dissolution or split up of such entity, (vii) the failure of the common stock to be listed on an internationally recognized stock exchange in the United States and (viii) a change of control.</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November 26, 2024, the Company entered into the Credit Agreement Amendment, pursuant to which among other things, the applicability of the Consolidated Revenue and EBITDA financial covenants were deferred until December 31, 2025 and certain provisions were modified to conform with comparable provisions in the DOE Loan Facility and with the terms of the Intercreditor Agreement. In the event the Company is unable to comply with all financial covenants when required under the Credit Agreement or the DOE Loan Facility, and the Company is unable to secure another waiver or amendment to the Credit Agreement or the DOE Loan Facility, the lenders may, at their discretion, exercise any and all of their existing rights and remedies, which may include, among other things, asserting their rights in the Company’s assets securing the loan, and the lender under the DOE Loan Facility may no longer be required to continue funding. There can be no assurance that the Company will be able to secure funding under the DOE Loan Facility or outside sources of capital in the event it fails to meet a funding condition or comply with the various covenants applicable to the Company and its subsidiaries under the DOE Loan Facility or the Credit Agreement. Moreover, the Company’s other lenders may exercise similar rights and remedies under the cross-default provisions of their respective borrowing arrangements with the Company. Any such default on the Credit Agreement or the DOE Loan Facility could have a material adverse effect on our business.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Credit Agreement and the DOE Loan Facility are secured by a substantial portion of the assets of the Company and its subsidiaries, resulting in a lack of substantial remaining assets available for incurring additional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4" w:name="page25"/>
    <w:bookmarkEnd w:id="24"/>
    <w:p>
      <w:pPr>
        <w:jc w:val="both"/>
        <w:spacing w:after="0" w:line="270" w:lineRule="auto"/>
        <w:rPr>
          <w:sz w:val="20"/>
          <w:szCs w:val="20"/>
          <w:color w:val="auto"/>
        </w:rPr>
      </w:pPr>
      <w:r>
        <w:rPr>
          <w:rFonts w:ascii="Times New Roman" w:cs="Times New Roman" w:eastAsia="Times New Roman" w:hAnsi="Times New Roman"/>
          <w:sz w:val="14"/>
          <w:szCs w:val="14"/>
          <w:color w:val="auto"/>
        </w:rPr>
        <w:t>The Credit Agreement is guaranteed by certain subsidiaries of the Company and it is secured by perfected first priority security interests (subject to customary exceptions and permitted liens) over the assets of the Company and of its subsidiaries. In addition, the DOE Loan Facility is guaranteed by certain subsidiaries of the Company and is secured by a lien (subject to customary exceptions and permitted liens) on all real and personal property and all intellectual property collateral of the Company and its subsidiaries, including its Turtle Creek manufacturing site.</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a substantial portion of the Company’s assets secure the Credit Agreement and the DOE Loan Facility, we do not have substantial remaining assets available to secure other indebtedness. Accordingly, we may not be able to incur additional secured indebtedness in the future. In addition, the terms of each of the Credit Agreement and the DOE Loan Facility significantly limit our ability to incur additional debt, including secured debt. If we are unable in the future to incur additional indebtedness, including secured indebtedness, to finance our operations and projects, such limitation could have an adverse effect on our business plans, financial condition and results of operations.</w:t>
      </w:r>
    </w:p>
    <w:p>
      <w:pPr>
        <w:spacing w:after="0" w:line="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need to seek alternative sources of capital, or risk its ability to continue operations, in the event it fails to meet a funding condition under the terms of the DOE Loan Facility or in the event that the government enacts laws and governmental regulations that could affect the availability of funding under the DOE Loan Facility.</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terms of the DOE Loan Facility, the lender is not required to provide funding under the DOE Loan Facility in the event that the Company does not meet the necessary funding conditions stipulated in the DOE Loan Facility. In the event the Company does not meet these funding conditions and the lender chooses not to continue funding, the Company would need to seek alternative sources of capital, which may not be available on favorable terms or at all. If the lender does not continue funding, and the Company’s efforts to raise additional outside capital prove unsuccessful, management would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on January 20, 2025, President Trump issued an Executive Order titled “Unleashing American Energy,” that, among other provisions, directed DOE to pause the disbursement of funds appropriated through the Inflation Reduction Act of 2022 or the Infrastructure Investment and Jobs Act and to review DOE’s processes, policies, and programs for issuing grants, loans, contracts, or any other financial disbursements of such appropriated funds for consistency with the law and the policy outlined in the Executive Order. The Company is currently uncertain whether the required review under the Executive Order will impact the availability to receive funding under the DOE Loan Facility. There can be no assurance as to DOE’s implementation of the Executive Order, the new Administration’s views of the contemplated DOE review or its future policies, or the impact of those policies on the DOE Loan Facility and our existing and future projects, including our related contracts.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substantial number of shares of the Company’s common stock that are issuable upon the exercise or conversion of securities issued or issuable under the Credit Agreement and the SPA are subject to a contractual lockup.</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terms of the Credit Agreement and the SPA, the holders of our securities issued or issuable thereunder are subject to a contractual lockup that expires on June 21, 2025. Such securities represent a substantial portion of our outstanding shares of common stock and, subject to beneficial ownership limitations, have the potential to represent an even larger portion of our outstanding shares of common Stock, and we are obligated to register the resale of these shares of common stock by the holders.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Upon the effectiveness of the resale registration statement or otherwise in accordance with Rule 144 under the Securities Act and after expiration or waiver of the lock-up, the holders may sell our common stock in the open market or in privately negotiated transactions, which could have the effect of increasing the volatility in the trading price of our common stock or putting significant downward pressure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4"/>
          <w:szCs w:val="14"/>
          <w:color w:val="auto"/>
        </w:rPr>
        <w:t>The resale, or expected or potential resale, of a substantial number of shares of our common stock in the public market could adversely affect the market price for our common stock and make it more difficult for you to sell your common stock at times and prices that you feel are appropriate. Furthermore, because there will be a large number of shares registered pursuant to the registration statement, selling holders could continue to offer the securities covered by the registration statement for a significant period of time, the precise duration of which cannot be predicted. Accordingly, the adverse market and price pressures resulting from an offering pursuant to a registration statement may continue for an extended period of time.</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 sales of our common stock upon expected expiration of resale restrictions could encourage short sales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As such, short sales of our common stock could have a tendency to depress the price of our common stock, which could further increase the potential for short sales.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predict the size of future issuances or sales of our common stock or the effect, if any, that future issuances and sales of our common stock will have on the market price of our common stock. Sales of substantial amounts of our common stock, including issuances made in the ordinary course of the Company’s business, or the perception that such sales could occur, may materially and adversely affect prevailing market prices of our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planned expansion into new geographic markets or new product lines or services could subject us to additional business, financial, and competitive risks.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years ended December 31, 2024 and 2023, we primarily sold our products in the United States. We have in the past, and may in the future, evaluate opportunities to expand into new geographic markets and introduce new product offerings and services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success operating in these new geographic or product markets, or in operating any acquired business, will depend on a number of factors, including our ability to develop solutions to address the requirements of the electric utility industry and C&amp;I end users, our timely qualification and certification of new products, our ability to manage increased manufacturing capacity and production, and our ability to identify and integrate any acquired businesses.</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Further, any additional markets that we may enter could have different characteristics from the markets in which we currently sell products, and our success will depend on our ability to adapt properly to these differences. These differences may include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and new risks, such as fluctuations in the value of foreign currencies and difficulties and increased expenses in complying with United States and foreign laws, regulations, and trade standards, including the Foreign Corrupt Practices Act of 1977, as amended (the “FCPA”).</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Failure to develop and introduce these new products successfully into the market, to successfully integrate acquired businesses or to otherwise manage the risks and challenges associated with our potential expansion into new product and geographic markets, could adversely affect our revenues and our ability to sustain profitability.</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6" w:name="page27"/>
    <w:bookmarkEnd w:id="26"/>
    <w:p>
      <w:pPr>
        <w:jc w:val="both"/>
        <w:spacing w:after="0" w:line="264" w:lineRule="auto"/>
        <w:rPr>
          <w:sz w:val="20"/>
          <w:szCs w:val="20"/>
          <w:color w:val="auto"/>
        </w:rPr>
      </w:pPr>
      <w:r>
        <w:rPr>
          <w:rFonts w:ascii="Times New Roman" w:cs="Times New Roman" w:eastAsia="Times New Roman" w:hAnsi="Times New Roman"/>
          <w:sz w:val="14"/>
          <w:szCs w:val="14"/>
          <w:color w:val="auto"/>
        </w:rPr>
        <w:t>Revenue from our battery sales is primarily recorded upon transfer of ownership of the product to the customer. Under our customer contracts, this transfer typically takes place upon shipment of the battery from our manufacturing facility but, in some instances, occurs upon delivery to a customer site or, even more infrequently, when commercial operation commences. Because our revenues are generally derived from sales of hardware that may take many months to manufacture and prepare for delivery, such revenue can come in peaks and troughs based on the underlying customer arrangements. As a result, our quarterly results of operations are difficult to predict and may fluctuate significantly in the future based on the timing of product deliveries.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United States Operations</w:t>
      </w:r>
    </w:p>
    <w:p>
      <w:pPr>
        <w:spacing w:after="0" w:line="1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Some of our customers receive federal, state and local government incentives for renewable energy solutions. The reduction, elimination or expiration of government subsidies and economic incentives related to renewable energy solutions could reduce demand for our technologies and harm our business.</w:t>
      </w:r>
    </w:p>
    <w:p>
      <w:pPr>
        <w:spacing w:after="0" w:line="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promote renewable energy generation and consumption, federal, state, local and foreign government bodies provide incentives to owners, end users, distributors, system integrators and manufacturers of alternative energy systems in the form of rebates, tax credits and other financial incentives such as system performance payments, issuance of renewable energy credits associated with renewable energy generation and exclusion of certain renewable energy systems from property tax assessments. Some of our customers receive these incentives for investment in energy storage projects.</w:t>
      </w:r>
    </w:p>
    <w:p>
      <w:pPr>
        <w:spacing w:after="0" w:line="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business relies, in part, on the co-location of battery assets with solar and wind technologies. The market for on-grid applications, where solar or wind power is used to supplement a customer’s electricity purchased from the utility network or sold to a utility under tariff, often depends in large part on the availability and size of government and economic incentives that vary by geographic market. The reduction, elimination or expiration of government subsidies and economic incentives for on-grid renewable electricity may negatively affect the competitiveness of alternative electricity generation relative to conventional and nonrenewable sources of electricity and could harm or halt the growth of the alternative electricity industries. Because our C&amp;I end user sales are generally expected to be made into the on-grid market, these changes could harm our business. For example, the Inflation Reduction Act enacted in August 2022 allows owners of new batteries to claim an ITC of between 30% and 70% during 2023 through a period that extends at least into the 2030s and possibly longer. The tax credit amount depends on the location of the battery and amount of domestic content. Companies should have an incentive to buy US-made batteries to qualify for a higher tax credit. A condition to claim tax credits at these levels is the same as wages that are paid on federal construction projects must be paid to mechanics and laborers who work at the project site and lay down yard during construction and for the five years after on alterations and repairs, and qualified apprentices must be used during the same periods for as much as 15% of total labor hours.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Inflation Reduction Act also allows manufacturers of certain battery components made in the United States to claim tax credits. Under Internal Revenue Code Section 6417(d), certain eligible taxpayers, including such manufacturers, can elect direct payment, enabling the Internal Revenue Service to treat the tax credit amount as a deemed tax payment and refund any excess as a cash tax payment, even if the taxpayer has no tax liability. This election can be made for any taxable year in which the taxpayer qualifies for the credit, and, once made, applies to that taxable year and the subsequent four taxable years, resulting in five consecutive years of direct payment. The tax credits for manufacturers start phasing down in amount after 2029 and end after 2032.</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Both sets of tax credits are expected to increase demand for batteries and encourage more US domestic manufacturing of batteries. If in the future, Congress were to repeal or cut back the incentives, it could have an adverse impact on our business, financial condition, and results of operations.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general,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often occur without warning.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7" w:name="page28"/>
    <w:bookmarkEnd w:id="27"/>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several jurisdictions have adopted renewable portfolio standards, which mandate that a certain portion of electricity delivered by utilities to customers each year must come from renewable energy resources. Utilities must either generate the renewable electricity themselves or buy renewable energy credits ("REC"s) from independent generators who have been awarded them for generating renewable electricity. Utilities may buy such RECs bundled with renewable electricity. An REC allows the utility to add this electricity to its renewable portfolio requirement total without actually expending the capital for generating facilities. However, there can be no assurances that such policies will continue.</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subsidies and incentives applicable to alternative energy implementation or usage are reduced or eliminated, or the regulatory landscape otherwise becomes less favorable, then there could be reduced demand for alternative energy solutions, which could have an adverse impact on our business, financial condition, and results of operations. The new presidential administration and Congress may seek to repeal or curtail the tax credits under the Inflation Reduction Act, as well as its other tax provisions intended to incentivize renewable energy technologies. Changes in laws related to the tax credits under the Inflation Reduction Act, or changes in interpretations of such laws, communications with regulatory agencies, transactions or agreements with third parties, and/or evolving interpretations of the Final Regulations may result in a material change in our estimate of tax credits to which we may be entitled, which could materially affect our business, financial position and results of operations. Finally, the Supreme Court’s recent decision in Loper Bright Enterprises v. Raimondo, which restricted federal agencies’ ability to interpret vague or broad legislation, could introduce uncertainty around applicable agency regulations and, therefore, negatively impact the demand for our services. See Part I, Item I - Business - Regulations for further discussion of government programs and incentives.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operations in the United States, which exposes us to multiple federal, state and local regulations. Changes in applicable law, regulations or requirements, or our material failure to comply with any of them, can increase our costs and have other negative impacts on our business.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Applicable laws and requirements address multiple aspects of our operations, such as worker safety, consumer rights, data privacy, cybersecurity, employee benefits and more, and can often have different requirements in different jurisdictions. Changes in these requirements, or any material failure to comply with them, could increase our costs, affect our reputation, limit our business, drain management’s time and attention or otherwise, generally impact our operations in adverse ways.</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complex and evolving laws, regulations, rules, standards and contractual obligations regarding data privacy and cybersecurity, which could increase the cost of doing business, compliance risks and potential liability.</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complex and evolving laws, regulations, rules, standards and contractual obligations governing data privacy and cybersecurity and any failure to comply with these laws, regulations, rules, standards and contractual obligations could expose us to liability and/or reputational damage. Compliance with these laws, regulations, rules and standards may require us to change our policies, procedures and technology for data privacy and cybersecurity, which could, among other things, make us more vulnerable to operational failures and to monetary penalties for breach of such laws, regulations, rules and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14"/>
          <w:szCs w:val="14"/>
          <w:color w:val="auto"/>
        </w:rPr>
        <w:t>In the U.S., there are numerous federal, state and local data privacy and cybersecurity laws and regulations governing the collection, sharing, use, retention, disclosure, security, storage, transfer and other processing of personal information.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cybersecurity). Moreover, the U.S. Congress has recently considered, and is currently considering, various proposals for more comprehensive data privacy and cybersecurity legislation, to which we may be subject if passed. At the U.S. state level, we may be subject to laws and regulations such as the California Consumer Privacy Act as amended by the California Privacy Rights Act (collectively, the “CCPA”), which broadly defines personal information and gives California residents expanded privacy rights and protections, such as affording them the right to access and request deletion of their information and to opt out of certain sharing and sales of personal information. Numerous other states also have enacted, or are in the process of enacting or considering, comprehensive state-level data privacy and cybersecurity laws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while we strive to publish and prominently display privacy policies that are accurate, comprehensive, and compliant with applicable laws, regulations, rules and industry standards, we cannot ensure that our privacy policies and other statements regarding our practices will be sufficient to protect us from claims, proceedings, liability or adverse publicity relating to data privacy and cybersecurity. Although we endeavor to comply with our privacy policies, we may at times fail to do so or be alleged to have failed to do so. The publication of our privacy policies and other documentation that provide promises and assurances about data privacy and cybersecurity can subject us to potential government or legal action if they are found to be deceptive, unfair, or misrepresentative of our actual practices. Any concerns about our data privacy and cybersecurity practices, even if unfounded, could damage our reputation and adversely affect our business.</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Any failure or perceived failure by us to comply with our privacy policies, or applicable data privacy and cybersecurity laws, regulations, rules,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any violations of the FCPA, the U.K. Bribery Act, and other foreign anti-bribery laws, as well as violations against export controls and economic embargo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4"/>
          <w:szCs w:val="14"/>
          <w:color w:val="auto"/>
        </w:rPr>
        <w:t>The FCPA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and related energy industries, our entry into certain jurisdictions may require substantial government contact where norms can differ from U.S. standards. Although we expect to maintain strict internal control policies and procedures designed to guard against improper conduct, there can be no guarantee that our employees, agents, and business partners will not take actions in violation of our internal control policies. In the event that we believe or have reason to believe that our employees or agents have or may have violated applicable laws, including anti-corruption laws, we may be required to investigate or have outside counsel investigate the relevant facts and circumstances, and detecting, investigating and resolving actual or alleged violations can be expensive and require significant time and attention from senior management. Any violation of U.S. federal and state and non-U.S. laws, regulations and policies could result in substantial fines, sanctions, civil and/or criminal penalties, and curtailment of operations in the United States or other applicable jurisdictions. In addition, actual or alleged violations could damage our reputation and ability to do business. Any of the foregoing could materially adversely affect our business, financial condition and results of operations.</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Furthermore, we are subject to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While we do not conduct business with sanctioned and embargoed countries and we expect to maintain strict internal controls policies and procedures designed to guard against improper conduct,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protect, or incur significant costs in defending, our intellectual property and other proprietary rights, then our business and results of operations could be materially harmed.</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success depends to a significant degree on our ability to protect our intellectual property and other proprietary rights. We rely on a combination of patent, trademark, copyright, trade secret and unfair competition laws, as well as confidentiality and other contractual provisions with our customers, suppliers, employees, and others, to establish and protect our intellectual property and other proprietary rights. Our ability to enforce these rights is subject to general litigation risks, as well as uncertainty as to the enforceability of our intellectual property rights in various countries. When we seek to enforce our rights, we may be subject to claims that our intellectual property rights are invalid or not enforceable. Our assertion of intellectual property rights may result in another party seeking to assert claims against us, which could harm our business. Our inability to enforce intellectual property rights under any of these circumstances would likely harm our competitive position and business.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been issued patents in, or have patent applications pending in the United States, North America, Europe, South America, Asia and Australia.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infringed, misappropriated or otherwise violated.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0" w:name="page31"/>
    <w:bookmarkEnd w:id="30"/>
    <w:p>
      <w:pPr>
        <w:jc w:val="both"/>
        <w:spacing w:after="0" w:line="259" w:lineRule="auto"/>
        <w:rPr>
          <w:sz w:val="20"/>
          <w:szCs w:val="20"/>
          <w:color w:val="auto"/>
        </w:rPr>
      </w:pPr>
      <w:r>
        <w:rPr>
          <w:rFonts w:ascii="Times New Roman" w:cs="Times New Roman" w:eastAsia="Times New Roman" w:hAnsi="Times New Roman"/>
          <w:sz w:val="14"/>
          <w:szCs w:val="14"/>
          <w:color w:val="auto"/>
        </w:rPr>
        <w:t>Our intellectual property may be stolen or infringed, misappropriated or otherwise violated. Despite our implementation of security measures, our IT systems and those of our service providers are vulnerable to circumstances beyond our reasonable control which may lead to the theft of our intellectual property or trade secrets or business disruption, including inappropriate retention or disclosure of trade secrets by current or former employees. To the extent that any disruption or security breach results in a loss or damage to our data or an inappropriate disclosure of confidential information, it could cause significant damage to our reputation, affect our relationships with our customers, suppliers and employees and lead to claims against the company. Any lawsuits that we may initiate to protect our significant investment in our intellectual property also may consume management and financial resources for long periods of time and may not result in favorable outcomes, which may adversely affect our business, results of operations or financial condition.</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Third parties may assert that we are infringing, misappropriating or otherwise violating their intellectual property rights, which could divert management’s attention, cause us to incur significant costs, and prevent us from selling or using the technology to which such rights relate.</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competitors and other third parties hold numerous patents related to technology used in our industry. From time to time, we may be subject to claims of intellectual property infringement, misappropriation or other violation and related litigation, and, if we gain greater recognition in the market, we will face a higher risk of being the subject of claims that we have violated others’ intellectual property rights. While we believe that our products and technology do not infringe, misappropriate or otherwise violate in any material respect upon any valid intellectual property rights of third parties, we cannot be certain that we would be successful in defending against any such claims. If we do not successfully defend or settle intellectual property claims,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not available at all or not available on reasonable terms, then we may be required to develop or license a non-violating alternative, either of which could require significant effort and expense. If we cannot license or develop a non-violating alternative, we would be forced to limit or stop sales of our offerings and may be unable to effectively compete. Any of these results would adversely affect our business, financial condition, and results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Securities</w:t>
      </w:r>
    </w:p>
    <w:p>
      <w:pPr>
        <w:spacing w:after="0" w:line="1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Under the terms of the Credit Agreement, the SPA and the securities issued thereunder, current stockholders may be subject to significant dilution, and the voting power of the currently outstanding common stock could be significantly diluted.</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February 26, 2025, there were 226,599,297 shares of common stock issued and outstanding and an aggregate of 253,238,633 shares of common stock issuable upon the conversion or exercise of outstanding convertible securities (as calculated under the Credit Agreement and the SPA), including 158,433,112 shares of common stock underlying the Warrant (as defined below) and Preferred Stock (as defined below) issued to Cerberus under the Credit Agreement and the SPA (the “Cerberus Securities”).</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the Company fails to meet all of the remaining milestones as of the final milestone measurement date under the Delayed Draw Term Loan, Cerberus would be entitled to receive additional shares of Series B Preferred Stock (as defined below) or Warrants aggregating to a maximum Applicable Percentage of 37.0% (originally 49.0%), or assuming the number of the Company’s outstanding shares of common stock on a fully diluted basis does not change after February 26, 2025, Preferred Stock and Warrants with respect to an aggregate of 177,540,034 shares of Common Stock, including the Cerberus Securities already issued to Cerberus. Such shares of Preferred Stock and Warrants are directly or indirectly convertible into or exercisable for shares of common stock, subject only to a beneficial ownership cap of 49.9% of the issued and outstanding common stock of the Company. Furthermore, the Certificates of Designation governing the Series B Preferred Stock (the “Series B Certificates of Designation”) contain preemptive rights that permit the holders of Series B Preferred Stock to participate in certain future equity offerings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if the Company were to issue additional shares of common stock or securities convertible or exercisable into common stock or trigger anti-dilution protection under the Cerberus Securities, the Cerberus Securities may become convertible or exercisable into additional shares of common stock. The issuance, pursuant to the terms of the Cerberus Securities, of common stock will dilute the percentage ownership interest of all stockholders, could dilute the book value per share of the common stock and will increase the number of the Company’s outstanding shares, and upon conversion or exercise would dilute the voting power of the common stock, which could cause the market price of our common stock to decrease. Depressed trading prices of our common stock could further impair our ability to raise sufficient capital to carry on our business.</w:t>
      </w:r>
    </w:p>
    <w:p>
      <w:pPr>
        <w:spacing w:after="0" w:line="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currently have a significant number of outstanding securities that are exercisable for or convertible into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Cerberus Securities, the Company has issued the IPO Warrants, the 2021 Convertible Notes, the AFG Convertible Notes and warrants issued pursuant to the April, May and December 2023 Public Offering, which are each exercisable for or convertible into common stock at certain exercise or conversion prices per share. See Note 14, </w:t>
      </w:r>
      <w:r>
        <w:rPr>
          <w:rFonts w:ascii="Times New Roman" w:cs="Times New Roman" w:eastAsia="Times New Roman" w:hAnsi="Times New Roman"/>
          <w:sz w:val="14"/>
          <w:szCs w:val="14"/>
          <w:i w:val="1"/>
          <w:iCs w:val="1"/>
          <w:color w:val="auto"/>
        </w:rPr>
        <w:t>Warrants Liability</w:t>
      </w:r>
      <w:r>
        <w:rPr>
          <w:rFonts w:ascii="Times New Roman" w:cs="Times New Roman" w:eastAsia="Times New Roman" w:hAnsi="Times New Roman"/>
          <w:sz w:val="14"/>
          <w:szCs w:val="14"/>
          <w:color w:val="auto"/>
        </w:rPr>
        <w:t xml:space="preserve"> for further discussion. The issuance of shares of common stock upon exercise or conversion of our warrants or convertible securities would result in significant additional dilution to our current stockholders, which could adversely affect the price of our common stock and the terms on which we could raise additional capital.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the extent that any shares of common stock are issued upon exercise or conversion of any of these securities, there will be an increase in the number of shares of common stock eligible for resale in the public market. Sales of a substantial number of such shares in the public market could adversely affect the market price of our common stock.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in our Charter and Delaware law may have the effect of discouraging lawsuits against our directors and officers.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our bylaws, or (iv) any action asserting a claim against us or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that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2" w:name="page33"/>
    <w:bookmarkEnd w:id="32"/>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believe that this provision benefits us by providing increased consistency in the application of Delaware law in the types of lawsuits to which it applies, the provision may have the effect of discouraging lawsuits against our directors and officers.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in our Charter may inhibit a takeover of us, which could limit the price investors might be willing to pay in the future for our common stock and could entrench management.</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Charter contains provisions that may hinder unsolicited takeover proposals that stockholders may consider to be in their best interests. We are also subject to anti-takeover provisions under Delaware law, which could delay or prevent a change of control. Together these provisions may make it more difficult to remove management and may discourage transactions that otherwise could involve payment of a premium over prevailing market prices for our securities. These provisions include:</w:t>
      </w: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stockholders to elect director candidates;</w:t>
      </w:r>
    </w:p>
    <w:p>
      <w:pPr>
        <w:spacing w:after="0" w:line="2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the Board;</w:t>
      </w:r>
    </w:p>
    <w:p>
      <w:pPr>
        <w:spacing w:after="0" w:line="23" w:lineRule="exact"/>
        <w:rPr>
          <w:rFonts w:ascii="Times New Roman" w:cs="Times New Roman" w:eastAsia="Times New Roman" w:hAnsi="Times New Roman"/>
          <w:sz w:val="14"/>
          <w:szCs w:val="14"/>
          <w:color w:val="auto"/>
        </w:rPr>
      </w:pPr>
    </w:p>
    <w:p>
      <w:pPr>
        <w:ind w:left="260" w:hanging="255"/>
        <w:spacing w:after="0" w:line="260"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26" w:lineRule="exact"/>
        <w:rPr>
          <w:rFonts w:ascii="Times New Roman" w:cs="Times New Roman" w:eastAsia="Times New Roman" w:hAnsi="Times New Roman"/>
          <w:sz w:val="14"/>
          <w:szCs w:val="14"/>
          <w:color w:val="auto"/>
        </w:rPr>
      </w:pPr>
    </w:p>
    <w:p>
      <w:pPr>
        <w:ind w:left="260" w:hanging="255"/>
        <w:spacing w:after="0" w:line="263"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 and</w:t>
      </w:r>
    </w:p>
    <w:p>
      <w:pPr>
        <w:ind w:left="260" w:hanging="255"/>
        <w:spacing w:after="0" w:line="281"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meeting of stockholders may only be called by members of our Board or the stockholders holding a majority of our shares, which may delay the ability of our stockholders to force consideration of a proposal or to take action, including the removal of directors.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 and may decline regardless of our operating performance.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Fluctuations in the price of our securities could contribute to the loss of part or all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affecting the trading price of our securities may include:</w:t>
      </w:r>
    </w:p>
    <w:p>
      <w:pPr>
        <w:spacing w:after="0" w:line="23"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w:t>
      </w:r>
    </w:p>
    <w:p>
      <w:pPr>
        <w:spacing w:after="0" w:line="2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of competitors;</w:t>
      </w:r>
    </w:p>
    <w:p>
      <w:pPr>
        <w:spacing w:after="0" w:line="1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failing to meet the expectation of securities analysts or investors in a particular period;</w:t>
      </w:r>
    </w:p>
    <w:p>
      <w:pPr>
        <w:spacing w:after="0" w:line="2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industries in which we operate in general;</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us;</w:t>
      </w:r>
    </w:p>
    <w:p>
      <w:pPr>
        <w:spacing w:after="0" w:line="1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new and enhanced products on a timely basis;</w:t>
      </w:r>
    </w:p>
    <w:p>
      <w:pPr>
        <w:spacing w:after="0" w:line="2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2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shares of our common stock available for public sale;</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of directors or management;</w:t>
      </w:r>
    </w:p>
    <w:p>
      <w:pPr>
        <w:spacing w:after="0" w:line="1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executive officers or significant stockholders or the perception that such sales could occur;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3" w:name="page34"/>
    <w:bookmarkEnd w:id="33"/>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political, market conditions such as recessions, inflation, interest rates, fuel prices, international currency fluctuations and acts of war or terrorism.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resales of our common stock may cause the market price of our securities to drop significantly, even if our business is doing well.</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companies affected. The trading prices and valuations of these stocks, and of our securities, may not be predictable. A loss of investor confidence in the market for the stocks of other companies that investors perceive to be like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in the foreseeable future and, consequently, your ability to achieve a return on your investment will depend on appreciation in the price of our common stock.</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capital requirements, general business conditions and other factors that our board of directors may deem relevant.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a non-accelerated filer under the Securities Exchange Act of 1934, as amended (the “Exchange Act”),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stock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Eos, we leverage a cybersecurity model that focuses on four key areas: prevention, detection, assessment, and remediation through an array of internal and external systems, along with the expertise of third-party service providers. This model is supported internally by Eos' Information Technology Department ("ITD"), along with expertise of external cybersecurity experts. Our model is also supported through security awareness training for all employees during the onboarding process and on a regular basis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4" w:right="319" w:bottom="1440" w:gutter="0" w:footer="0" w:header="0"/>
        </w:sectPr>
      </w:pPr>
    </w:p>
    <w:bookmarkStart w:id="34" w:name="page35"/>
    <w:bookmarkEnd w:id="34"/>
    <w:p>
      <w:pPr>
        <w:jc w:val="both"/>
        <w:spacing w:after="0" w:line="259" w:lineRule="auto"/>
        <w:rPr>
          <w:sz w:val="20"/>
          <w:szCs w:val="20"/>
          <w:color w:val="auto"/>
        </w:rPr>
      </w:pPr>
      <w:r>
        <w:rPr>
          <w:rFonts w:ascii="Times New Roman" w:cs="Times New Roman" w:eastAsia="Times New Roman" w:hAnsi="Times New Roman"/>
          <w:sz w:val="14"/>
          <w:szCs w:val="14"/>
          <w:color w:val="auto"/>
        </w:rPr>
        <w:t>Our Board of Directors has overall oversight responsibility for our cybersecurity model. Our overarching cybersecurity programs are under the direction of the Eos leadership team and directly supported by the efforts of the ITD. The ITD, led by the Director of ITD, reports to the Chief Financial Officer ("CFO") of the Company. With over 8 years of experience leading cybersecurity teams and programs, our Director of ITD leverages a combination of internal and external systems and security experts to keep our CFO informed of potential risks to the organization. The Director of ITD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and systems. Management reports material cybersecurity risks to our Board of Directors on an annual basis. In addition, our management follows a risk-based escalation process to notify the Board of Directors outside of the regular reporting cycle when they identify an emerging risk or material issue.</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2024,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Part I, Item 1A- Risk Factors in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corporate headquarters are located in Edison, New Jersey, in an office consisting of approximately 63,000 square feet of office, testing and product design space. We have a ten-year lease on our corporate headquarters, which expires on September 14, 2026.</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Our manufacturing facility is located in the Turtle Creek, Pittsburgh area in Pennsylvania. In January 2022, the Company entered into a new lease agreement for a building next to our existing manufacturing site. In 2023, we entered into lease agreements for additional space and facilities in Turtle Creek, Pennsylvania. See Note 15,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further discussion. As the Company finalizes the procurement, construction, and implementation timeline to bring line 2 into full operation, Eos is simultaneously beginning to search for an additional factory location outside the Mon Valley.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spacing w:after="0" w:line="69" w:lineRule="exact"/>
        <w:rPr>
          <w:sz w:val="20"/>
          <w:szCs w:val="20"/>
          <w:color w:val="auto"/>
        </w:rPr>
      </w:pPr>
    </w:p>
    <w:p>
      <w:pPr>
        <w:ind w:right="2160"/>
        <w:spacing w:after="0" w:line="420" w:lineRule="auto"/>
        <w:rPr>
          <w:sz w:val="20"/>
          <w:szCs w:val="20"/>
          <w:color w:val="auto"/>
        </w:rPr>
      </w:pPr>
      <w:r>
        <w:rPr>
          <w:rFonts w:ascii="Times New Roman" w:cs="Times New Roman" w:eastAsia="Times New Roman" w:hAnsi="Times New Roman"/>
          <w:sz w:val="14"/>
          <w:szCs w:val="14"/>
          <w:color w:val="auto"/>
        </w:rPr>
        <w:t xml:space="preserve">The following is also disclosed in Note 17,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elsewhere in this Annual Report. </w:t>
      </w:r>
      <w:r>
        <w:rPr>
          <w:rFonts w:ascii="Times New Roman" w:cs="Times New Roman" w:eastAsia="Times New Roman" w:hAnsi="Times New Roman"/>
          <w:sz w:val="14"/>
          <w:szCs w:val="14"/>
          <w:u w:val="single" w:color="auto"/>
          <w:color w:val="auto"/>
        </w:rPr>
        <w:t>Class Action Complaints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March 8, 2023, a class action lawsuit (the “Delman Complaint”) was filed in the Court of Chancery of the State of Delaware by plaintiff Richard Delman (the “Delman Plaintiff”) against certain defendants including the Company’s former directors (the “Delman Defendants”). Neither the Company nor Eos Energy Storage LLC were named as a defendant in the Delman Complaint, but each was identified as a relevant non-party, and the Company has indemnification obligations relating to the lawsuit. On June 26, 2024, the parties to the Delman Complaint as well as the Company entered into a definitive Stipulation and Agreement of Settlement, Compromise, and Release and related documents (collectively, “Settlement Agreement”), pursuant to which the Delman Plaintiff agreed to release all claims against the Delman Defendants in exchange for a settlement payment of $8.5 million (the “Settlement Amount”), funded by the Company’s D&amp;O liability insurers, subject to the Company’s retention of $1.0 million consisting of payment of legal fees of the Delman Defendants. On October 17, 2024, the Court of Chancery approved the Settlement Agreement and entered the Final Judgment subject to the payment of Settlement Amount. On December 10, 2024, the Settlement Amount was fully paid to the Delman Plaintiff by the Company’s D&amp;O liability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5" w:name="page36"/>
    <w:bookmarkEnd w:id="35"/>
    <w:p>
      <w:pPr>
        <w:jc w:val="both"/>
        <w:spacing w:after="0" w:line="260" w:lineRule="auto"/>
        <w:rPr>
          <w:sz w:val="20"/>
          <w:szCs w:val="20"/>
          <w:color w:val="auto"/>
        </w:rPr>
      </w:pPr>
      <w:r>
        <w:rPr>
          <w:rFonts w:ascii="Times New Roman" w:cs="Times New Roman" w:eastAsia="Times New Roman" w:hAnsi="Times New Roman"/>
          <w:sz w:val="14"/>
          <w:szCs w:val="14"/>
          <w:color w:val="auto"/>
        </w:rPr>
        <w:t>On August 1, 2023, a class action lawsuit (the “Houck Complaint”) was filed in the United States District Court of New Jersey by plaintiff William Houck (the “Houck Plaintiff”) against the Company and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On November 8, 2024, the District Court granted the renewed motion to dismiss filed by the Houck Defendants. On January 23, 2025, the Company filed a Notice and Request for Entry of Final Judgment with the District Court. The Company is awaiting the District Court’s entry of Final Judgment.</w:t>
      </w: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November 5, 2024, a shareholder derivative lawsuit (the “Hyung Complaint”) was filed in the United States District Court of the District of New Jersey by plaintiff Jung Jae Hyung (the “Hyung Plaintiff”) against certain defendants including the Company’s current Chief Executive Officer, the Company’s current Chief Financial Officer, and five of the Company’s current Directors and one former Director (the “Hyung Defendants”). The Hyung Complaint alleges that the Hyung Defendants breached their fiduciary duties to the Company by allowing the Company to make knowingly false or misleading statements about the Company’s contractual relationship with a customer and about the size of the Company’s order backlog and commercial pipeline. The Company intends to vigorously contest this matter.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94" w:lineRule="exact"/>
        <w:rPr>
          <w:sz w:val="20"/>
          <w:szCs w:val="20"/>
          <w:color w:val="auto"/>
        </w:rPr>
      </w:pPr>
    </w:p>
    <w:p>
      <w:pPr>
        <w:ind w:right="1200"/>
        <w:spacing w:after="0" w:line="483"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820"/>
        <w:spacing w:after="0" w:line="501" w:lineRule="auto"/>
        <w:rPr>
          <w:sz w:val="20"/>
          <w:szCs w:val="20"/>
          <w:color w:val="auto"/>
        </w:rPr>
      </w:pPr>
      <w:r>
        <w:rPr>
          <w:rFonts w:ascii="Times New Roman" w:cs="Times New Roman" w:eastAsia="Times New Roman" w:hAnsi="Times New Roman"/>
          <w:sz w:val="14"/>
          <w:szCs w:val="14"/>
          <w:color w:val="auto"/>
        </w:rPr>
        <w:t xml:space="preserve">Eos's shares of common stock and warrants are traded on The Nasdaq Capital Market under the ticker symbols “EOSE” and “EOSEW”, respectively. As of February 26, 2025, there were 174 holders of record of Eos common stock. </w:t>
      </w: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and capital requirements, general business conditions and other factors that our board of directors may deem relevant.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our Consolidated Financial Statements and related notes thereto included elsewhere in this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 w:cs="Times New Roman" w:eastAsia="Times New Roman" w:hAnsi="Times New Roman"/>
          <w:sz w:val="14"/>
          <w:szCs w:val="14"/>
          <w:b w:val="1"/>
          <w:bCs w:val="1"/>
          <w:color w:val="auto"/>
        </w:rPr>
        <w:t>.</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Trends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an SEC-registered and Nasdaq-listed company, we are required to implement procedures and processes to address public company regulatory requirements and customary practices and have, and will continue to, hire additional personnel in this context. We have incurred additional annual expenses as a public company for, among other things, directors’ and officers’ liability insurance, director fees, internal and external accounting, legal, administrative resources, including increased personnel costs, and audit and other professional service fees.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Inflation and cost factors - During 2024, the effects of the Federal Reserve’s interest rate hikes in 2022 and in the first half of 2023 had an impact on reducing inflation back towards normal levels.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eased many investor concerns and worked to stabilize the cost of purchasing supplies and raw materials for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DOE Loan Facility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26, 2024, the Company entered into the DOE Loan Facility. The DOE Loan Facility is a key step in advancing the Company's Project American Made Zinc Energy ("AMAZE") and is expected to fund the expansion of Eos’ manufacturing capacity to 8 GWh by 2027 to meet the growing demand for longer duration battery energy storage systems. The DOE Loan Facility provides for up to $303.5 million in funding, including capitalized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4"/>
          <w:szCs w:val="14"/>
          <w:color w:val="auto"/>
        </w:rPr>
        <w:t>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Eligible Project Costs.</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 December 31, 2024, the Company has received funding under the DOE Loan Facility for an aggregate amount of $68.3 million, at an interest rate of 4.791% for eligible project costs incurred through December 6, 2024. These costs are a portion of Tranche 1 of the DOE Loan Facility. Tranche 1 provides up to $102.0 million for eligible costs in connection with the design, construction, installation, startup and shakedown of a battery automation line and related tools, with a projected annual production capacity of approximately 1.25 GWh ("Line 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Reduction Act of 2022 (“IRA”)</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which include our Gen 2.3 and Z3™ BESS, could qualify for an investment tax credit (“ITC”). The IRA also offers an extra ten percent credit if the project is in an “energy community” and another ten percent credit if the project satisfies domestic content requirements. The ten percent bonus for domestic content could represent a strategic advantage for the Company resulting from the Company’s near-sourcing and Made in America strategy, and we believe that projects utilizing Eos batteries qualify for the bonus.</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Production Tax Credits under Internal Revenue Code 45X (“PTC”)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April 2024, the IRS issued final regulations related to applicable tax credit transferability and direct pay provisions of the Inflation Reduction Act. The Company has reviewed these regulations and believes they do not have a material impact on the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Highlights</w:t>
      </w:r>
    </w:p>
    <w:p>
      <w:pPr>
        <w:spacing w:after="0" w:line="85" w:lineRule="exact"/>
        <w:rPr>
          <w:sz w:val="20"/>
          <w:szCs w:val="20"/>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the Company entered into a supply agreement with TETRA Technologies, Inc (“TETRA”) that further expanded this partnership. TETRA is a leading global energy services and solutions company. This supply agreement designates TETRA as the preferred strategic supplier of electrolyte products for the Company’s Eos Z3™ long duration energy storage cube.</w:t>
      </w:r>
    </w:p>
    <w:p>
      <w:pPr>
        <w:spacing w:after="0" w:line="1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2024, the Company entered into a multiyear pricing agreement with SHPP US LLC, a Saudi Basic Industries Corporation (“SABIC”) affiliate, to supply conductive composite thermoplastic for the Eos Z3™ battery module. The Company and SABIC have worked collaboratively to develop a solution using one of SABIC’s new resin materials to replace the titanium used in prior Eos battery iterations.</w:t>
      </w:r>
    </w:p>
    <w:p>
      <w:pPr>
        <w:spacing w:after="0" w:line="4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2024, the Company achieved “Power On” status of all motion systems on its first state-of-the-art manufacturing line. Reaching this milestone is a significant step in achieving the state-of-the-art manufacturing line being installed and commissioned in the Company’s Turtle Creek facility.</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2024, the Company and Pine Gate Renewables signed an agreement to expand its existing relationship. The new Master Supply Agreement (“MSA”) is for 500 MWh of energy storage systems to be delivered over the next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8" w:name="page39"/>
    <w:bookmarkEnd w:id="38"/>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2024, the Company successfully completed its Factory Acceptance Testing on State of the Art (“SotA”) manufacturing line.</w:t>
      </w:r>
    </w:p>
    <w:p>
      <w:pPr>
        <w:spacing w:after="0" w:line="72" w:lineRule="exact"/>
        <w:rPr>
          <w:rFonts w:ascii="Times New Roman" w:cs="Times New Roman" w:eastAsia="Times New Roman" w:hAnsi="Times New Roman"/>
          <w:sz w:val="14"/>
          <w:szCs w:val="14"/>
          <w:color w:val="auto"/>
        </w:rPr>
      </w:pPr>
    </w:p>
    <w:p>
      <w:pPr>
        <w:ind w:left="260" w:right="160" w:hanging="260"/>
        <w:spacing w:after="0" w:line="287"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the Company announced a strategic investment of up to $315.5 million from an affiliate of Cerberus Capital Management LP (“Cerberus”), to support the Company’s growth plans.</w:t>
      </w:r>
    </w:p>
    <w:p>
      <w:pPr>
        <w:spacing w:after="0" w:line="2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the Company recognized a gain on debt extinguishment of $68.5 million from the payoff of the Senior Secured Term Loan.</w:t>
      </w:r>
    </w:p>
    <w:p>
      <w:pPr>
        <w:spacing w:after="0" w:line="83"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the Company completed the installation of the first state of the art line in its Turtle Creek facility and began commercial production of batteries off the new line to be delivered to customer sites.</w:t>
      </w:r>
    </w:p>
    <w:p>
      <w:pPr>
        <w:spacing w:after="0" w:line="18"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2024, the Company announced that Nick Robinson, Senior Managing Director on the Supply Chain and Strategic Opportunities team of Cerberus, joined the Company’s Board of Directors.</w:t>
      </w:r>
    </w:p>
    <w:p>
      <w:pPr>
        <w:spacing w:after="0" w:line="28"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2024, the Company and Indian Energy announced an agreement to expand its existing relationship. The expanded agreement with Indian Energy added 25 MWh of storage to the existing 35 MWh order for an overall project size of 60 MWh.</w:t>
      </w:r>
    </w:p>
    <w:p>
      <w:pPr>
        <w:spacing w:after="0" w:line="28" w:lineRule="exact"/>
        <w:rPr>
          <w:rFonts w:ascii="Times New Roman" w:cs="Times New Roman" w:eastAsia="Times New Roman" w:hAnsi="Times New Roman"/>
          <w:sz w:val="14"/>
          <w:szCs w:val="14"/>
          <w:color w:val="auto"/>
        </w:rPr>
      </w:pPr>
    </w:p>
    <w:p>
      <w:pPr>
        <w:jc w:val="both"/>
        <w:ind w:left="260" w:hanging="260"/>
        <w:spacing w:after="0" w:line="270"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2024, the Company regained compliance with the minimum continued listing criteria set forth in Nasdaq Listing Rule 5550(a)(2) as of July 9, 2024, based on the closing bid price of the Company’s common stock being at or above $1.00 per share for the 10 consecutive business days from June 24, 2024 to July 8, 2024. The Company's stock price has performed well above the minimum listing throughout the remainder of 2024 and closed at $4.86 at December 31, 2024.</w:t>
      </w:r>
    </w:p>
    <w:p>
      <w:pPr>
        <w:spacing w:after="0" w:line="29"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2024, the Company announced that Gregory Nixon, Head of Strategic Investments for Cerberus, joined the Company’s Board of Directors.</w:t>
      </w:r>
    </w:p>
    <w:p>
      <w:pPr>
        <w:spacing w:after="0" w:line="83" w:lineRule="exact"/>
        <w:rPr>
          <w:rFonts w:ascii="Times New Roman" w:cs="Times New Roman" w:eastAsia="Times New Roman" w:hAnsi="Times New Roman"/>
          <w:sz w:val="14"/>
          <w:szCs w:val="14"/>
          <w:color w:val="auto"/>
        </w:rPr>
      </w:pPr>
    </w:p>
    <w:p>
      <w:pPr>
        <w:jc w:val="both"/>
        <w:ind w:left="260" w:hanging="260"/>
        <w:spacing w:after="0" w:line="270"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2024, the Company successfully achieved all four of the first performance milestones previously agreed upon between Eos and Cerberus as part of Cerberus’s strategic investment in the Company. Achieving these specific performance milestones allowed the Company to draw an additional $30 million on the Delayed Draw Term Loan from Cerberus to fund ongoing operations and production expansion to meet the growing demand for long duration energy storage solutions.</w:t>
      </w:r>
    </w:p>
    <w:p>
      <w:pPr>
        <w:spacing w:after="0" w:line="40" w:lineRule="exact"/>
        <w:rPr>
          <w:rFonts w:ascii="Times New Roman" w:cs="Times New Roman" w:eastAsia="Times New Roman" w:hAnsi="Times New Roman"/>
          <w:sz w:val="14"/>
          <w:szCs w:val="14"/>
          <w:color w:val="auto"/>
        </w:rPr>
      </w:pPr>
    </w:p>
    <w:p>
      <w:pPr>
        <w:jc w:val="both"/>
        <w:ind w:left="260" w:hanging="260"/>
        <w:spacing w:after="0" w:line="270"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2024, the Company successfully achieved all four of the performance milestones for the October Draw previously agreed upon between Eos and Cerberus as part of Cerberus’s strategic investment in the Company. Achieving these specific performance milestones allowed the Company to draw an additional $65.0 million on the Delayed Draw Term Loan from Cerberus.</w:t>
      </w:r>
    </w:p>
    <w:p>
      <w:pPr>
        <w:spacing w:after="0" w:line="29"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2024, the Company announced a new customer agreement with City Utilities (CU) to provide 216 MWh of energy storage for two project sites in Missouri.</w:t>
      </w:r>
    </w:p>
    <w:p>
      <w:pPr>
        <w:spacing w:after="0" w:line="83" w:lineRule="exact"/>
        <w:rPr>
          <w:rFonts w:ascii="Times New Roman" w:cs="Times New Roman" w:eastAsia="Times New Roman" w:hAnsi="Times New Roman"/>
          <w:sz w:val="14"/>
          <w:szCs w:val="14"/>
          <w:color w:val="auto"/>
        </w:rPr>
      </w:pPr>
    </w:p>
    <w:p>
      <w:pPr>
        <w:jc w:val="both"/>
        <w:ind w:left="260" w:hanging="260"/>
        <w:spacing w:after="0" w:line="270" w:lineRule="auto"/>
        <w:tabs>
          <w:tab w:leader="none" w:pos="257"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In November 2024, the Company signed a Memorandum of Understanding (MOU) with Wabash (NYSE: WNC), a world-class provider of advanced engineering and operational solutions for the transportation, logistics, and distribution industries. The proposed partnership would accelerate Eos’ ability to deliver large-scale battery energy storage systems (BESS) through Wabash’s manufacturing and supply chain expertise and national distribution network.</w:t>
      </w:r>
    </w:p>
    <w:p>
      <w:pPr>
        <w:spacing w:after="0" w:line="40" w:lineRule="exact"/>
        <w:rPr>
          <w:rFonts w:ascii="Times New Roman" w:cs="Times New Roman" w:eastAsia="Times New Roman" w:hAnsi="Times New Roman"/>
          <w:sz w:val="14"/>
          <w:szCs w:val="14"/>
          <w:i w:val="1"/>
          <w:iCs w:val="1"/>
          <w:color w:val="auto"/>
        </w:rPr>
      </w:pPr>
    </w:p>
    <w:p>
      <w:pPr>
        <w:jc w:val="both"/>
        <w:ind w:left="260" w:hanging="260"/>
        <w:spacing w:after="0" w:line="270"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2024, the Company entered into the DOE Loan Facility which provides an aggregate principal amount of up to $277.5 million and an aggregate capitalized interest of up to $26.0 million. Through December 31, 2024, the Company has drawn down an aggregate of $68.3 million of principal under the DOE Loan Facility, at an interest rate of 4.791%, for eligible project costs that the Company has incurred or is expected to incur through December 6, 2024. These costs are a portion of Tranche 1 of the DOE Loan Facility, which are related to Line 1.</w:t>
      </w:r>
    </w:p>
    <w:p>
      <w:pPr>
        <w:spacing w:after="0" w:line="29"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the Company announced a 400 MWh standalone storage order with International Electric Power (“IEP”). This marks the second agreement and third project with IEP, a leading developer in the energy space deploying multiple technologies, and builds on Eos’ successful prior delivery of its battery systems to a Texas-based IEP project earlier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218" w:right="319" w:bottom="1440" w:gutter="0" w:footer="0" w:header="0"/>
        </w:sectPr>
      </w:pPr>
    </w:p>
    <w:bookmarkStart w:id="39" w:name="page40"/>
    <w:bookmarkEnd w:id="39"/>
    <w:p>
      <w:pPr>
        <w:jc w:val="both"/>
        <w:ind w:left="260" w:hanging="260"/>
        <w:spacing w:after="0" w:line="270"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the Company and FlexGen Power Systems (“FlexGen”) announced they have signed a Joint Development Agreement (JDA) to develop and introduce America’s first fully-integrated, domestic BESS solution to the market by combining Eos’ Z3™ batteries with the FlexGen HybridOS™ Energy Management System (EMS). The agreement is mutually beneficial as it complements each company’s opportunity pipeline and advances their commitment to commercializing safe and reliable, U.S. manufactured, BESS solutions to customers.</w:t>
      </w:r>
    </w:p>
    <w:p>
      <w:pPr>
        <w:spacing w:after="0" w:line="29" w:lineRule="exact"/>
        <w:rPr>
          <w:rFonts w:ascii="Times New Roman" w:cs="Times New Roman" w:eastAsia="Times New Roman" w:hAnsi="Times New Roman"/>
          <w:sz w:val="14"/>
          <w:szCs w:val="14"/>
          <w:color w:val="auto"/>
        </w:rPr>
      </w:pPr>
    </w:p>
    <w:p>
      <w:pPr>
        <w:jc w:val="both"/>
        <w:ind w:left="260" w:hanging="260"/>
        <w:spacing w:after="0" w:line="270"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the Company announced its search for a new manufacturing facility in addition to the Mon Valley Works expansion under Project AMAZE. This expansion is part of the Company’s broader strategy to scale up its operations to meet the rapidly growing demand for renewable energy solutions and to further its commitment to American manufacturing and energy independence.</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the Company announced that David Urban, Managing Director at BGR Group and Of Counsel at Torridon Law PLLC, joined the Company’s Board of Directors.</w:t>
      </w:r>
    </w:p>
    <w:p>
      <w:pPr>
        <w:spacing w:after="0" w:line="83"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conducted a Section 382 ownership shift analysis through December 31, 2024. Based on the analysis, the Company expects to be able to utilize approximately $741.2 million of Federal Net Operating Loss Carryforwards, with the majority being available for use by December 31, 2029. The remaining balance will become available over time.</w:t>
      </w:r>
    </w:p>
    <w:p>
      <w:pPr>
        <w:spacing w:after="0" w:line="18" w:lineRule="exact"/>
        <w:rPr>
          <w:rFonts w:ascii="Times New Roman" w:cs="Times New Roman" w:eastAsia="Times New Roman" w:hAnsi="Times New Roman"/>
          <w:sz w:val="14"/>
          <w:szCs w:val="14"/>
          <w:color w:val="auto"/>
        </w:rPr>
      </w:pPr>
    </w:p>
    <w:p>
      <w:pPr>
        <w:jc w:val="both"/>
        <w:ind w:left="260" w:hanging="260"/>
        <w:spacing w:after="0" w:line="270"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2025, the Company successfully achieved all operational milestones that guarantees final $40.5 million under the $210.5 million Delayed Draw Term Loan to further solidify its position as a leader in American energy storage systems. Successfully meeting these performance milestones will enable the Company to fuel its ongoing operations, U.S. production expansion, and the creation of an American energy storage powerhouse, without the need to raise additional capital via debt or additional equity offerings.</w:t>
      </w:r>
    </w:p>
    <w:p>
      <w:pPr>
        <w:spacing w:after="0" w:line="40" w:lineRule="exact"/>
        <w:rPr>
          <w:rFonts w:ascii="Times New Roman" w:cs="Times New Roman" w:eastAsia="Times New Roman" w:hAnsi="Times New Roman"/>
          <w:sz w:val="14"/>
          <w:szCs w:val="14"/>
          <w:color w:val="auto"/>
        </w:rPr>
      </w:pPr>
    </w:p>
    <w:p>
      <w:pPr>
        <w:jc w:val="both"/>
        <w:ind w:left="260" w:hanging="260"/>
        <w:spacing w:after="0" w:line="259"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Delayed Draw Term Loan fully funded, combined with DOE loan facility's first disbursement in December 2024, Eos has a strong foundation and sufficient capital to continue implementing Project AMAZE. The Company is executing its strategy to scale production into strong customer demand for long duration energy storage. Cash from customer projects now play an important role in funding working capital and our American-made system can play a critical role in America achieving energy independence. The $210.5 million Delayed Draw Term Loan ("DDTL") is now fully funded, driven by the Company consistently achieving key operational milestones related to the Company’s state-of-the-art manufacturing line, raw materials cost-out, Z3 technology performance improvement and orders backlog cash conversion. The Company surpassed its January raw materials cost-out target by 6% while delivering manufacturing cycle times below 10 seconds to further demonstrate continued operational efficiency and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218"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80" w:type="dxa"/>
            <w:vAlign w:val="bottom"/>
            <w:vMerge w:val="restart"/>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
        </w:trPr>
        <w:tc>
          <w:tcPr>
            <w:tcW w:w="2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generates revenues from the delivery of its BESS and service-related solutions. The Company expects revenues to increase as it scales production to meet customer demand.</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slightly decreased for the year ended December 31, 2024 compared to the year ended December 31, 2023, due to reduced production and deliveries due to the installation of the Company’s new manufacturing line.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Cost of goods sold</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80" w:type="dxa"/>
            <w:vAlign w:val="bottom"/>
            <w:vMerge w:val="restart"/>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98,867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9,069</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2"/>
        </w:trPr>
        <w:tc>
          <w:tcPr>
            <w:tcW w:w="2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Cost of goods sold primarily consists of direct costs relating to labor, material and overhead directly tied to product assembly, procurement and construction (“EPC”), project delivery, commissioning and start-up test procedures. Indirect costs included in cost of goods sold are manufacturing overhead such as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For the year ended December 31, 2024, the Company recognized $3.8 million reduction of cost of goods sold related to the IRA PTC. The Company expects its cost of goods sold to exceed revenues in the near term as it continues to scale production and prepares battery energy storage systems delivered to customers to go-live.</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 of goods sold increased by $9.1 million, or 10% from $89.8 million for the year ended December 31, 2023 to $98.9 million for the year ended December 31, 2024. The increase in cost of goods sold from 2023 to 2024 was primarily due to an increase in project commissioning costs on previously delivered projects, revaluations of inventory balances, along with the underutilization and absorption of labor and overhead associated with implementing the new line.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80" w:type="dxa"/>
            <w:vAlign w:val="bottom"/>
            <w:vMerge w:val="restart"/>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R&amp;D expenses</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2"/>
        </w:trPr>
        <w:tc>
          <w:tcPr>
            <w:tcW w:w="2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consist primarily of salaries and other personnel-related costs, materials, third-party services, depreciation and amortization of intangible assets.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costs increased by $4.1 million or 22% from $18.7 million for the year ended December 31, 2023, to $22.8 million for the year ended December 31, 2024. The increase in research and development costs was driven by higher spending on materials and supplies related to the implementation of the automated line, as well as an increase in payroll and personnel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80" w:type="dxa"/>
            <w:vAlign w:val="bottom"/>
            <w:vMerge w:val="restart"/>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 expenses</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2"/>
        </w:trPr>
        <w:tc>
          <w:tcPr>
            <w:tcW w:w="27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primarily consist of payroll and personnel-related, outside professional services, facilities, depreciation, travel, marketing, and public company costs.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increased by $6.4 million or 12%, from $53.7 million for the year ended December 31, 2023 to $60.0 million for the year ended December 31, 2024. The increase was primarily driven by higher consulting fees and payroll, partially offset by decrease in legal fees.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Loss from write-down on property, plant and equipment</w:t>
            </w: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18"/>
        </w:trPr>
        <w:tc>
          <w:tcPr>
            <w:tcW w:w="7040" w:type="dxa"/>
            <w:vAlign w:val="bottom"/>
          </w:tcPr>
          <w:p>
            <w:pPr>
              <w:spacing w:after="0"/>
              <w:rPr>
                <w:sz w:val="24"/>
                <w:szCs w:val="24"/>
                <w:color w:val="auto"/>
              </w:rPr>
            </w:pPr>
          </w:p>
        </w:tc>
        <w:tc>
          <w:tcPr>
            <w:tcW w:w="360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Pr>
          <w:p>
            <w:pPr>
              <w:spacing w:after="0"/>
              <w:rPr>
                <w:sz w:val="24"/>
                <w:szCs w:val="24"/>
                <w:color w:val="auto"/>
              </w:rPr>
            </w:pPr>
          </w:p>
        </w:tc>
      </w:tr>
      <w:tr>
        <w:trPr>
          <w:trHeight w:val="22"/>
        </w:trPr>
        <w:tc>
          <w:tcPr>
            <w:tcW w:w="7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write-down on property, plant and equipment</w:t>
            </w:r>
          </w:p>
        </w:tc>
        <w:tc>
          <w:tcPr>
            <w:tcW w:w="1440" w:type="dxa"/>
            <w:vAlign w:val="bottom"/>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w:t>
            </w:r>
          </w:p>
        </w:tc>
      </w:tr>
      <w:tr>
        <w:trPr>
          <w:trHeight w:val="22"/>
        </w:trPr>
        <w:tc>
          <w:tcPr>
            <w:tcW w:w="70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bl>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incurred losses of $9.1 million and $7.2 million from write-downs of property, plant and equipment for the years ended December 31, 2024 and 2023, respectively. The 2023 write-downs were mainly due to replacement of equipment, outsourcing of certain production processes and the shift in production from the Gen 2.3 battery system to the Z3™ battery system. The 2024 write-downs were primarily related to design changes from the Z3™-Phase 1 to Z3™-Phase 2 production in which the Phase 1 production assets could not be utilized or repurposed for Phase 2 production. Additionally, the 2024 amount contains costs for disposal of equipment and tooling that was used for manufacturing of the Gen 2.3 battery, but cannot be repurposed for the Eos Z3 battery production.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Interest expense, net</w:t>
            </w: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18"/>
        </w:trPr>
        <w:tc>
          <w:tcPr>
            <w:tcW w:w="7040" w:type="dxa"/>
            <w:vAlign w:val="bottom"/>
          </w:tcPr>
          <w:p>
            <w:pPr>
              <w:spacing w:after="0"/>
              <w:rPr>
                <w:sz w:val="24"/>
                <w:szCs w:val="24"/>
                <w:color w:val="auto"/>
              </w:rPr>
            </w:pPr>
          </w:p>
        </w:tc>
        <w:tc>
          <w:tcPr>
            <w:tcW w:w="354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Pr>
          <w:p>
            <w:pPr>
              <w:spacing w:after="0"/>
              <w:rPr>
                <w:sz w:val="24"/>
                <w:szCs w:val="24"/>
                <w:color w:val="auto"/>
              </w:rPr>
            </w:pPr>
          </w:p>
        </w:tc>
      </w:tr>
      <w:tr>
        <w:trPr>
          <w:trHeight w:val="22"/>
        </w:trPr>
        <w:tc>
          <w:tcPr>
            <w:tcW w:w="70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5"/>
                <w:szCs w:val="15"/>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(18,770)</w:t>
            </w:r>
          </w:p>
        </w:tc>
      </w:tr>
      <w:tr>
        <w:trPr>
          <w:trHeight w:val="22"/>
        </w:trPr>
        <w:tc>
          <w:tcPr>
            <w:tcW w:w="70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net includes expenses for accrued interest, amortization of debt issuance costs and debt discounts.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Interest expense, net decreased by $10.1 million for the year ended December 31, 2024, compared to the year ended December 31, 2023. This was mainly due to lower interest expense recognized from the Senior Secured Term Loan due to the loan's extinguishment in June 2024.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for detail of interest expense recognized for the Senior Secured Term Loan.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Interest expense - related parties</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29"/>
        </w:trPr>
        <w:tc>
          <w:tcPr>
            <w:tcW w:w="7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2"/>
        </w:trPr>
        <w:tc>
          <w:tcPr>
            <w:tcW w:w="7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500" w:type="dxa"/>
            <w:vAlign w:val="bottom"/>
          </w:tcPr>
          <w:p>
            <w:pPr>
              <w:spacing w:after="0"/>
              <w:rPr>
                <w:sz w:val="15"/>
                <w:szCs w:val="15"/>
                <w:color w:val="auto"/>
              </w:rPr>
            </w:pPr>
          </w:p>
        </w:tc>
        <w:tc>
          <w:tcPr>
            <w:tcW w:w="158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Convertible Note Payable interest and amortization</w:t>
            </w: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w:t>
            </w: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AFG Convertible Note interest and amortization</w:t>
            </w:r>
          </w:p>
        </w:tc>
        <w:tc>
          <w:tcPr>
            <w:tcW w:w="5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w:t>
            </w:r>
          </w:p>
        </w:tc>
      </w:tr>
      <w:tr>
        <w:trPr>
          <w:trHeight w:val="22"/>
        </w:trPr>
        <w:tc>
          <w:tcPr>
            <w:tcW w:w="7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AFG Convertible Note loss on issuance</w:t>
            </w:r>
          </w:p>
        </w:tc>
        <w:tc>
          <w:tcPr>
            <w:tcW w:w="5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Yorkville Promissory Notes loss on issuance</w:t>
            </w:r>
          </w:p>
        </w:tc>
        <w:tc>
          <w:tcPr>
            <w:tcW w:w="50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(17,569)</w:t>
            </w:r>
          </w:p>
        </w:tc>
      </w:tr>
      <w:tr>
        <w:trPr>
          <w:trHeight w:val="22"/>
        </w:trPr>
        <w:tc>
          <w:tcPr>
            <w:tcW w:w="7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interest from construction in progress assets</w:t>
            </w:r>
          </w:p>
        </w:tc>
        <w:tc>
          <w:tcPr>
            <w:tcW w:w="5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 related parties</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(19,499)</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(37,466)</w:t>
            </w:r>
          </w:p>
        </w:tc>
      </w:tr>
      <w:tr>
        <w:trPr>
          <w:trHeight w:val="20"/>
        </w:trPr>
        <w:tc>
          <w:tcPr>
            <w:tcW w:w="7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 xml:space="preserve">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for further discussion.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debt - related party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change in the fair value of debt - related party of $33.8 million for the year ended December 31, 2024, related to the Delayed Draw Term Loan. The primary factors contributing to the fair value change was the extension of the maturity date and timing of future cash flows of the DDTL netting with a debt yield reduction which decreased from 47.5% to 30.0% during the year ended December 31, 2024. The change in fair value applicable to the debt yield reduction is included in Change in fair value of debt - credit risk in Accumulated other comprehensive (loss) income.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2024 and 2023, the change in fair value of warrants was composed of the items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r>
      <w:tr>
        <w:trPr>
          <w:trHeight w:val="22"/>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8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15"/>
                <w:szCs w:val="15"/>
                <w:color w:val="auto"/>
              </w:rPr>
            </w:pPr>
          </w:p>
        </w:tc>
        <w:tc>
          <w:tcPr>
            <w:tcW w:w="260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IPO warrants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9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2023 Transaction</w:t>
            </w:r>
          </w:p>
        </w:tc>
        <w:tc>
          <w:tcPr>
            <w:tcW w:w="12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(50,124)</w:t>
            </w:r>
          </w:p>
        </w:tc>
      </w:tr>
      <w:tr>
        <w:trPr>
          <w:trHeight w:val="22"/>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2023 Transaction</w:t>
            </w:r>
          </w:p>
        </w:tc>
        <w:tc>
          <w:tcPr>
            <w:tcW w:w="12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(11,582)</w:t>
            </w:r>
          </w:p>
        </w:tc>
      </w:tr>
      <w:tr>
        <w:trPr>
          <w:trHeight w:val="19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2023 Public Offering</w:t>
            </w:r>
          </w:p>
        </w:tc>
        <w:tc>
          <w:tcPr>
            <w:tcW w:w="12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(109,306)</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228"/>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00" w:type="dxa"/>
            <w:vAlign w:val="bottom"/>
            <w:gridSpan w:val="9"/>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5"/>
                <w:szCs w:val="15"/>
                <w:color w:val="auto"/>
              </w:rPr>
            </w:pPr>
          </w:p>
        </w:tc>
        <w:tc>
          <w:tcPr>
            <w:tcW w:w="17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Loss on issuance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Net (Loss) Gain</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IPO warrants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2023 Transaction</w:t>
            </w:r>
          </w:p>
        </w:tc>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2023 Transaction</w:t>
            </w:r>
          </w:p>
        </w:tc>
        <w:tc>
          <w:tcPr>
            <w:tcW w:w="3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2023 Public Offering</w:t>
            </w:r>
          </w:p>
        </w:tc>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(15,103)</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(52,927)</w:t>
            </w: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27,947</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Change in fair value of derivatives - related parties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6"/>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embedded derivatives - related parties</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(39,932)</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w:t>
            </w:r>
          </w:p>
        </w:tc>
        <w:tc>
          <w:tcPr>
            <w:tcW w:w="0" w:type="dxa"/>
            <w:vAlign w:val="bottom"/>
          </w:tcPr>
          <w:p>
            <w:pPr>
              <w:spacing w:after="0"/>
              <w:rPr>
                <w:sz w:val="1"/>
                <w:szCs w:val="1"/>
                <w:color w:val="auto"/>
              </w:rPr>
            </w:pPr>
          </w:p>
        </w:tc>
      </w:tr>
      <w:tr>
        <w:trPr>
          <w:trHeight w:val="307"/>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 - related parties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7"/>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derivatives - related parties</w:t>
            </w:r>
          </w:p>
        </w:tc>
        <w:tc>
          <w:tcPr>
            <w:tcW w:w="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(405,388)</w:t>
            </w:r>
          </w:p>
        </w:tc>
        <w:tc>
          <w:tcPr>
            <w:tcW w:w="2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change in the fair value of embedded derivatives - related parties, was due to our convertible debt (See Note 13</w:t>
      </w:r>
      <w:r>
        <w:rPr>
          <w:rFonts w:ascii="Times New Roman" w:cs="Times New Roman" w:eastAsia="Times New Roman" w:hAnsi="Times New Roman"/>
          <w:sz w:val="14"/>
          <w:szCs w:val="14"/>
          <w:i w:val="1"/>
          <w:iCs w:val="1"/>
          <w:color w:val="auto"/>
        </w:rPr>
        <w:t>, Borrowings</w:t>
      </w:r>
      <w:r>
        <w:rPr>
          <w:rFonts w:ascii="Times New Roman" w:cs="Times New Roman" w:eastAsia="Times New Roman" w:hAnsi="Times New Roman"/>
          <w:sz w:val="14"/>
          <w:szCs w:val="14"/>
          <w:color w:val="auto"/>
        </w:rPr>
        <w:t>) and the change in fair value of warrants - related parties was due to changes in fair value of our SPA Warrant and contingent warrants (See Note 14</w:t>
      </w:r>
      <w:r>
        <w:rPr>
          <w:rFonts w:ascii="Times New Roman" w:cs="Times New Roman" w:eastAsia="Times New Roman" w:hAnsi="Times New Roman"/>
          <w:sz w:val="14"/>
          <w:szCs w:val="14"/>
          <w:i w:val="1"/>
          <w:iCs w:val="1"/>
          <w:color w:val="auto"/>
        </w:rPr>
        <w:t>, Warrants Liability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Gain (loss) on debt extinguishment</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2"/>
        </w:trPr>
        <w:tc>
          <w:tcPr>
            <w:tcW w:w="7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40" w:type="dxa"/>
            <w:vAlign w:val="bottom"/>
            <w:gridSpan w:val="4"/>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2"/>
        </w:trPr>
        <w:tc>
          <w:tcPr>
            <w:tcW w:w="7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500" w:type="dxa"/>
            <w:vAlign w:val="bottom"/>
          </w:tcPr>
          <w:p>
            <w:pPr>
              <w:spacing w:after="0"/>
              <w:rPr>
                <w:sz w:val="15"/>
                <w:szCs w:val="15"/>
                <w:color w:val="auto"/>
              </w:rPr>
            </w:pPr>
          </w:p>
        </w:tc>
        <w:tc>
          <w:tcPr>
            <w:tcW w:w="158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w:t>
            </w:r>
          </w:p>
        </w:tc>
      </w:tr>
      <w:tr>
        <w:trPr>
          <w:trHeight w:val="22"/>
        </w:trPr>
        <w:tc>
          <w:tcPr>
            <w:tcW w:w="70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a gain on debt extinguishment of $68.5 million for the year ended December 31, 2024 from the payoff of the Senior Secured Term Loan.</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a loss on debt extinguishment of $3.5 million for the year ended December 31, 2023 from the issuance of common stock upon Yorkville's redemption of their convertible promissory notes.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358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Pr>
          <w:p>
            <w:pPr>
              <w:spacing w:after="0"/>
              <w:rPr>
                <w:sz w:val="16"/>
                <w:szCs w:val="16"/>
                <w:color w:val="auto"/>
              </w:rPr>
            </w:pPr>
          </w:p>
        </w:tc>
      </w:tr>
      <w:tr>
        <w:trPr>
          <w:trHeight w:val="22"/>
        </w:trPr>
        <w:tc>
          <w:tcPr>
            <w:tcW w:w="70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r>
      <w:tr>
        <w:trPr>
          <w:trHeight w:val="22"/>
        </w:trPr>
        <w:tc>
          <w:tcPr>
            <w:tcW w:w="70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Other expense of $8.1 million for the year ended December 31, 2024 primarily included loss from derecognition of loan commitment assets during 2024 from the Credit and Securities Purchase Transaction. See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for more information.</w:t>
      </w:r>
    </w:p>
    <w:p>
      <w:pPr>
        <w:spacing w:after="0" w:line="18" w:lineRule="exact"/>
        <w:rPr>
          <w:sz w:val="20"/>
          <w:szCs w:val="20"/>
          <w:color w:val="auto"/>
        </w:rPr>
      </w:pPr>
    </w:p>
    <w:p>
      <w:pPr>
        <w:ind w:right="1540"/>
        <w:spacing w:after="0" w:line="457" w:lineRule="auto"/>
        <w:rPr>
          <w:sz w:val="20"/>
          <w:szCs w:val="20"/>
          <w:color w:val="auto"/>
        </w:rPr>
      </w:pPr>
      <w:r>
        <w:rPr>
          <w:rFonts w:ascii="Times New Roman" w:cs="Times New Roman" w:eastAsia="Times New Roman" w:hAnsi="Times New Roman"/>
          <w:sz w:val="14"/>
          <w:szCs w:val="14"/>
          <w:color w:val="auto"/>
        </w:rPr>
        <w:t xml:space="preserve">Other expense of $1.8 million for the year ended December 31, 2023 included equity issuance costs from the April, May, and December 2023 equity and warrant issuances. </w:t>
      </w:r>
      <w:r>
        <w:rPr>
          <w:rFonts w:ascii="Times New Roman" w:cs="Times New Roman" w:eastAsia="Times New Roman" w:hAnsi="Times New Roman"/>
          <w:sz w:val="14"/>
          <w:szCs w:val="14"/>
          <w:i w:val="1"/>
          <w:iCs w:val="1"/>
          <w:color w:val="auto"/>
        </w:rPr>
        <w:t>Income tax expense</w:t>
      </w: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370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40" w:type="dxa"/>
            <w:vAlign w:val="bottom"/>
          </w:tcPr>
          <w:p>
            <w:pPr>
              <w:spacing w:after="0"/>
              <w:rPr>
                <w:sz w:val="16"/>
                <w:szCs w:val="16"/>
                <w:color w:val="auto"/>
              </w:rPr>
            </w:pPr>
          </w:p>
        </w:tc>
      </w:tr>
      <w:tr>
        <w:trPr>
          <w:trHeight w:val="22"/>
        </w:trPr>
        <w:tc>
          <w:tcPr>
            <w:tcW w:w="7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5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54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2"/>
        </w:trPr>
        <w:tc>
          <w:tcPr>
            <w:tcW w:w="70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Income tax expense of approximately $0.02 million and $0.03 million was recorded for the years ended December 31, 2024 and 2023. The taxes are attributable to taxable earnings from the Company’s foreign operations which were insignificant for all periods presented.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and Going Concern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44" w:name="page45"/>
    <w:bookmarkEnd w:id="44"/>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As disclosed in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xml:space="preserve"> on June 21, 2024, the Company entered into a financing transaction with CCM Denali Debt Holdings, LP, an affiliate of Cerberus Capital Management LP (herein after referred to as “Cerberus”, “Denali”, “Lender”, “Holder”). As a result of this transaction, Cerberus agreed to provide a $210.5 million secured multi-draw facility to be made in four installments (the “Delayed Draw Term Loan”) as well as a $105.0 million revolving credit facility (“Revolving Facility”), to be made available beginning June 21, 2026, at Cerberus’ sole discretion and only if the Delayed Draw Term Loan is fully funded. As of the issuance date, the Delayed Draw Term Loan was fully funded. As part of the Credit and Securities Purchase Transaction, Cerberus received warrants and preferred stock resulting in a 33% ownership position in the Company as of the issuance date. This ownership percentage represents $644.8 million in market capitalization based on the February 27, 2025 closing share price of the Company’s common stock.</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As disclosed in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on November 26, 2024, the Company successfully closed on the DOE Loan Facility, which provides the Company with up to $303.5 million in funding, including capitalized interest, subject to the achievement of certain funding conditions. The DOE Loan Facility provides for a multi draw term loan facility under a series of at least two and, if the Company elects, up to four tranches, subject to the achievement of certain conditions, with each tranche corresponding to the production, maintenance and development, and operation of a given production line to be funded using the proceeds of such tranche. The DOE Loan Facility specifies the maximum amount subject to each tranche (Tranche 1: $102.0 million; Tranche 2: $117.3 million; Tranche 3: $71.8 million; and Tranche 4: $12.3 million), and any amounts which are not withdrawn under a specified tranche cannot be allocated to another tranche. Through December 31, 2024, the Company had drawn down $68.3 million under Tranche 1.</w:t>
      </w:r>
    </w:p>
    <w:p>
      <w:pPr>
        <w:spacing w:after="0" w:line="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the date the accompanying Consolidated Financial Statements were issued (the “issuance date”), management evaluated the significance of the following negative financial conditions in accordance with Accounting Standard Codification 205-40, Going Concern:</w:t>
      </w:r>
    </w:p>
    <w:p>
      <w:pPr>
        <w:spacing w:after="0" w:line="39" w:lineRule="exact"/>
        <w:rPr>
          <w:sz w:val="20"/>
          <w:szCs w:val="20"/>
          <w:color w:val="auto"/>
        </w:rPr>
      </w:pPr>
    </w:p>
    <w:p>
      <w:pPr>
        <w:jc w:val="both"/>
        <w:ind w:left="520" w:hanging="260"/>
        <w:spacing w:after="0" w:line="26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its inception, the Company has incurred significant losses and negative cash from operations in order to fund its development. During the year ended December 31, 2024, the Company incurred a net loss of $685.9 million. Adjustments to reconcile the net loss to cash used in operations are primarily from non-cash items on the Consolidated Statements of Cash Flows. The non-cash items totaled $549.2 million. The Company incurred negative cash flows from operations of $153.9 million and had an accumulated deficit of $1,561.7 million as of December 31, 2024.</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Company had $74.3 million of unrestricted cash and cash equivalents available to fund the Company’s operations, and working capital of $114.9 million, which includes loan commitment assets of $21.7 million classified as current assets on the Consolidated Balance Sheets.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21, 2024, upon closing of the Credit and Securities Purchase Transaction, Cerberus funded the Company $$75.0 million of the initial draw, and the Company received $71.3 million, net of the 5.0% original issue discount. On August 29, 2024, Cerberus funded the Company $30.0 million (“August Draw”), and the Company received $28.5 million, net of the 5.0% original issue discount. On November 1, 2024, Cerberus funded the Company $65.0 million related to the October 31, 2024 tranche (“October Draw” or “October Tranche”), and the Company received $61.8 million, which is net of the 5.0% original issue discount. On January 24, 2025, Cerberus funded the Company the final $40.5 million related to the January 31, 2025 tranche (“January 2025 Draw”). Subsequent to the January 2025 Draw, the Delayed Draw Term Loan has been fully funded.</w:t>
      </w:r>
    </w:p>
    <w:p>
      <w:pPr>
        <w:spacing w:after="0" w:line="5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December 31, 2024, under the DOE Loan Facility, the Company drew down $68.3 million for the eligible project cost that the Company had incurred through December 6, 2024. These costs are a portion of Tranche 1 of the DOE Loan Facility. Tranche 1 provides up to $102.0 million for eligible costs in connection with the design, construction, installation, startup and shakedown of a battery automation line and related tools. In the event the Company does not achieve certain funding conditions and the DOE chooses not to continue funding, the Company would need to seek alternative sources of capital, which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45" w:name="page46"/>
    <w:bookmarkEnd w:id="45"/>
    <w:p>
      <w:pPr>
        <w:jc w:val="both"/>
        <w:ind w:left="520" w:hanging="260"/>
        <w:spacing w:after="0" w:line="256"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and Securities Purchase Transaction and the DOE Loan Facility contain certain quarterly financial covenants, which include (a) Minimum Liquidity, (b) Minimum Consolidated EBITDA, and (c) Minimum Consolidated Revenue (collectively, the “financial covenants”). As of the fiscal quarter ended December 31, 2024, the only financial covenant in effect was Minimum Liquidity. As of December 31, 2024, the Company was in compliance with this covenant, as well as all non-financial covenants and expects to remain in compliance with the Minimum Liquidity covenant over the next twelve month beyond the issuance date. The Minimum Consolidated EBITDA and Minimum Consolidated Revenue financial covenants are effective starting fiscal quarter ending December 31, 2025. As of December 31, 2024, the Company expects that it may be unable to remain in compliance with the Minimum Consolidated EBITDA and Minimum Consolidated Revenue financial covenant beginning December 31, 2025, absent the Company’s ability to secure a waiver or amend the Credit and Securities Purchase Transaction and the DOE Loan Facility. In the event the Company is unable to comply with the financial and non-financial covenants as of December 31, 2025, and the Company is unable to secure a waiver, Cerberus and DOE may, at their discretion, enter into a forbearance agreement with the Company and/or exercise any and all of their existing rights and remedies, which may include, among other things, asserting their rights in the Company’s assets securing the loans. Moreover, the Company’s other lenders may exercise similar rights and remedies under the cross-default provisions of their respective borrowing agreements with the Company.</w:t>
      </w:r>
    </w:p>
    <w:p>
      <w:pPr>
        <w:spacing w:after="0" w:line="6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Company’s ongoing efforts to raise additional outside capital are unsuccessful, the Company will be unable to meet its obligations as they come due over the next twelve month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uncertainties raise substantial doubt about the Company’s ability to continue as a going concern. 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Arrangements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historically relied on outside capital to fund its cost structure and expects this reliance to continue for the foreseeable future until the Company reaches profitability through its planned revenue generating activities. During 2024, the Company closed on the following capital transactions:</w:t>
      </w:r>
    </w:p>
    <w:p>
      <w:pPr>
        <w:spacing w:after="0" w:line="39" w:lineRule="exact"/>
        <w:rPr>
          <w:sz w:val="20"/>
          <w:szCs w:val="20"/>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Under the ATM offering program, for the year ended December 31, 2024, the Company sold 16,627,523 shares raising proceeds of $14.1 million, net of fees paid to Cowen, at an average selling price of $0.87 per share.</w:t>
      </w:r>
    </w:p>
    <w:p>
      <w:pPr>
        <w:spacing w:after="0" w:line="39"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6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secured a strategic investment of up to $315.5 million from Cerberus. The investment by Cerberus is structured as a $210.5 million Delayed Draw Term Loan to be made in four installments. On June 21, 2024 the first installment of $75.0 million was funded, on August 29, 2024, the second draw of $30.0 million was funded, on October 31, 2024 the third draw of $65.0 million was funded, and on January 24, 2025, the final draw of $40.5 million was funded. As part of the strategic investment, a $105.0 million Revolving Facility can be made available to the Company at the Lenders’ sole discretion and only if the Delayed Draw Term Loan is fully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6" w:name="page47"/>
    <w:bookmarkEnd w:id="46"/>
    <w:p>
      <w:pPr>
        <w:jc w:val="both"/>
        <w:ind w:left="520" w:hanging="260"/>
        <w:spacing w:after="0" w:line="258" w:lineRule="auto"/>
        <w:tabs>
          <w:tab w:leader="none" w:pos="516" w:val="left"/>
        </w:tabs>
        <w:numPr>
          <w:ilvl w:val="0"/>
          <w:numId w:val="27"/>
        </w:numPr>
        <w:rPr>
          <w:rFonts w:ascii="Arial" w:cs="Arial" w:eastAsia="Arial" w:hAnsi="Arial"/>
          <w:sz w:val="14"/>
          <w:szCs w:val="14"/>
          <w:color w:val="auto"/>
        </w:rPr>
      </w:pPr>
      <w:r>
        <w:rPr>
          <w:rFonts w:ascii="Times New Roman" w:cs="Times New Roman" w:eastAsia="Times New Roman" w:hAnsi="Times New Roman"/>
          <w:sz w:val="14"/>
          <w:szCs w:val="14"/>
          <w:color w:val="auto"/>
        </w:rPr>
        <w:t>On November 26, 2024, the Company entered into the DOE Loan Facility which provides for an aggregate principal amount of up to $277.5 million of borrowings and an aggregate capitalized interest of up to $26.0 million. Through December 31, 2024, the Company has drawn down $68.3 million under the DOE Loan Facility, at an interest rate of 4.791% for eligible project costs that the Company has incurred through December 6, 2024. These costs are a portion of Tranche 1 of the DOE Loan Facility, which are related to Line 1. Additional draws under the DOE Loan Facility are subject to our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Project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and Note 20, </w:t>
      </w:r>
      <w:r>
        <w:rPr>
          <w:rFonts w:ascii="Times New Roman" w:cs="Times New Roman" w:eastAsia="Times New Roman" w:hAnsi="Times New Roman"/>
          <w:sz w:val="14"/>
          <w:szCs w:val="14"/>
          <w:i w:val="1"/>
          <w:iCs w:val="1"/>
          <w:color w:val="auto"/>
        </w:rPr>
        <w:t>Shareholders' Equity</w:t>
      </w:r>
      <w:r>
        <w:rPr>
          <w:rFonts w:ascii="Times New Roman" w:cs="Times New Roman" w:eastAsia="Times New Roman" w:hAnsi="Times New Roman"/>
          <w:sz w:val="14"/>
          <w:szCs w:val="14"/>
          <w:color w:val="auto"/>
        </w:rPr>
        <w:t xml:space="preserve"> for all of the Company’s outstanding debt and equity transactions.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Although the Company expects capital expenditures and working capital requirements to increase as it seeks to execute its growth strategy, total capital expenditures for the years ended December 31, 2024 and December 31, 2023 were $33.2 million and $29.3 million, respectively. The increase in capital expenditures in 2024 was primarily driven by costs incurred for Phase 2 production of the Z3™ battery system. See Note 7,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for further discussion.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Discussion and Analysis of Cash Flows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cash flows from operating, investing and financing activities for the periods presented.</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2"/>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Pr>
          <w:p>
            <w:pPr>
              <w:spacing w:after="0"/>
              <w:rPr>
                <w:sz w:val="15"/>
                <w:szCs w:val="15"/>
                <w:color w:val="auto"/>
              </w:rPr>
            </w:pPr>
          </w:p>
        </w:tc>
        <w:tc>
          <w:tcPr>
            <w:tcW w:w="14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(153,936)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(145,018)</w:t>
            </w: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(29,461)</w:t>
            </w:r>
          </w:p>
        </w:tc>
      </w:tr>
      <w:tr>
        <w:trPr>
          <w:trHeight w:val="22"/>
        </w:trPr>
        <w:tc>
          <w:tcPr>
            <w:tcW w:w="7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205,834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227,918</w:t>
            </w:r>
          </w:p>
        </w:tc>
      </w:tr>
      <w:tr>
        <w:trPr>
          <w:trHeight w:val="22"/>
        </w:trPr>
        <w:tc>
          <w:tcPr>
            <w:tcW w:w="7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operating activities: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flows used in operating activities primarily comprise of costs related to research and development, manufacturing of products, project commissioning and other general and administrative activities.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of $153.9 million for the year ended December 31, 2024 was primarily driven by a net loss of $685.9 million, adjusted for non-cash items of $549.2 million. Non-cash items primarily related to stock compensation expense, depreciation and amortization, non-cash interest expense, gain on debt extinguishment, loss from the write-down of property, plant and equipment, and changes in fair value of debt, warrants and derivatives. The net cash outflows from changes in operating assets and liabilities of $17.2 million was primarily driven by an increase in inventory of $20.5 million, decrease in accrued expenses of $14.7 million, and increase in contract assets of $5.7 million, partially offset by an increase in contract liabilities of $19.7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7" w:name="page48"/>
    <w:bookmarkEnd w:id="47"/>
    <w:p>
      <w:pPr>
        <w:jc w:val="both"/>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of $145.0 million for the year ended December 31, 2023 was primarily driven by a net loss of $229.5 million, adjusted for non-cash items of $94.2 million. Non-cash items included stock-based compensation expense, depreciation and amortization, non-cash interest expense, changes in fair value of warrants and derivatives, and loss from the write-down of property, plant and equipment. The net cash outflows from changes in operating assets and liabilities of $9.7 million was primarily driven by decrease in accounts payable of $11.5 million, increase in contract assets of $6.3 million, increase in other receivables of $7.5 million, and increase in grant receivables of $3.0 million, partially offset by an increase in accrued expenses of $19.3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investing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flows used in investing activities for the year ended December 31, 2024 were primarily composed of payments made for purchases of property, plant and equipment of $33.2 million.</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flows used in investing activities for the year ended December 31, 2023 were primarily composed of payments made for purchases of property, plant and equipment of $29.3 million, which included costs incurred for development and construction of a fully automated manufacturing line for the Z3™ battery.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financing activities:</w:t>
      </w:r>
    </w:p>
    <w:p>
      <w:pPr>
        <w:spacing w:after="0" w:line="12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Net cash provided by financing activities was $205.8 million for the year ended December 31, 2024. This was primarily due to the proceeds received from the Credit and Securities Purchase Transaction of $160.3 million, DOE Loan of $66.6 million, and issuance of common stock of $14.1 million. The proceeds were partially offset by payoff of the Senior Secured Term Loan of $19.9</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million, debt issuance costs related to the Credit and Securities Purchase Transaction and DOE Loan of $18.1 million, payments on the equipment financing facility of $3.3 million and share repurchases from employees for tax withholding of $1.2 million.</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financing activities was $227.9 million for the year ended December 31, 2023. This was primarily from the issuance of common stock and warrants in the amount of $192.2 million, as well net proceeds received from the issuance of Yorkville Convertible Promissory Notes and AFG Convertible Notes, totaling $48.1 million. The proceeds were partially offset by equity issuance costs of $5.0 million, debt issuance costs related to the Yorkville Convertible Promissory Notes, AFG Convertible Notes and Senior Secured Term Loan of $4.2 million, payments on the equipment financing facility of $2.9 million and share repurchases from employees for tax withholding purposes of $0.6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Contractual Obligations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certain obligations and commitments to make future payments under contracts. As of December 31, 2024, this is comprised of the following:</w:t>
      </w:r>
    </w:p>
    <w:p>
      <w:pPr>
        <w:spacing w:after="0" w:line="92" w:lineRule="exact"/>
        <w:rPr>
          <w:sz w:val="20"/>
          <w:szCs w:val="20"/>
          <w:color w:val="auto"/>
        </w:rPr>
      </w:pPr>
    </w:p>
    <w:p>
      <w:pPr>
        <w:ind w:left="520" w:hanging="260"/>
        <w:spacing w:after="0" w:line="290" w:lineRule="auto"/>
        <w:tabs>
          <w:tab w:leader="none" w:pos="516"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Future lease payments, including interest, under non-cancellable operating and financing leases of $4.2 million. The leases expire at various dates prior to 2028. See Note 15,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our Consolidated Financial Statements included elsewhere in this Annual Report.</w:t>
      </w:r>
    </w:p>
    <w:p>
      <w:pPr>
        <w:spacing w:after="0" w:line="37" w:lineRule="exact"/>
        <w:rPr>
          <w:rFonts w:ascii="Times New Roman" w:cs="Times New Roman" w:eastAsia="Times New Roman" w:hAnsi="Times New Roman"/>
          <w:sz w:val="14"/>
          <w:szCs w:val="14"/>
          <w:b w:val="1"/>
          <w:bCs w:val="1"/>
          <w:i w:val="1"/>
          <w:iCs w:val="1"/>
          <w:color w:val="auto"/>
        </w:rPr>
      </w:pPr>
    </w:p>
    <w:p>
      <w:pPr>
        <w:ind w:left="520" w:hanging="260"/>
        <w:spacing w:after="0" w:line="275" w:lineRule="auto"/>
        <w:tabs>
          <w:tab w:leader="none" w:pos="516"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accordance with the Insurer Letter Agreement, the Company shall pay to the Atlas Insurers $4.0 million on June 30, 2025, subject to the absence of certain events of default under the Credit Agreement.</w:t>
      </w:r>
    </w:p>
    <w:p>
      <w:pPr>
        <w:ind w:left="520" w:hanging="260"/>
        <w:spacing w:after="0"/>
        <w:tabs>
          <w:tab w:leader="none" w:pos="520"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Principal and Interest payments related to the following debt obligations.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Future Debt Payments</w:t>
            </w:r>
          </w:p>
        </w:tc>
      </w:tr>
      <w:tr>
        <w:trPr>
          <w:trHeight w:val="22"/>
        </w:trPr>
        <w:tc>
          <w:tcPr>
            <w:tcW w:w="8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03"/>
        </w:trPr>
        <w:tc>
          <w:tcPr>
            <w:tcW w:w="886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4"/>
                <w:szCs w:val="14"/>
                <w:color w:val="auto"/>
              </w:rPr>
              <w:t xml:space="preserve">AFG Convertible Notes - due June 2026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32,468</w:t>
            </w:r>
          </w:p>
        </w:tc>
      </w:tr>
      <w:tr>
        <w:trPr>
          <w:trHeight w:val="191"/>
        </w:trPr>
        <w:tc>
          <w:tcPr>
            <w:tcW w:w="8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2021 Convertible Notes Payable – due June 2026</w:t>
            </w:r>
          </w:p>
        </w:tc>
        <w:tc>
          <w:tcPr>
            <w:tcW w:w="32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134,261</w:t>
            </w:r>
          </w:p>
        </w:tc>
      </w:tr>
      <w:tr>
        <w:trPr>
          <w:trHeight w:val="22"/>
        </w:trPr>
        <w:tc>
          <w:tcPr>
            <w:tcW w:w="8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2"/>
        </w:trPr>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Delayed Draw Term Loan - due June 2034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701,508</w:t>
            </w:r>
          </w:p>
        </w:tc>
      </w:tr>
      <w:tr>
        <w:trPr>
          <w:trHeight w:val="191"/>
        </w:trPr>
        <w:tc>
          <w:tcPr>
            <w:tcW w:w="8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Equipment financing facility - due April 2025 and April 2026</w:t>
            </w:r>
          </w:p>
        </w:tc>
        <w:tc>
          <w:tcPr>
            <w:tcW w:w="32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r>
      <w:tr>
        <w:trPr>
          <w:trHeight w:val="22"/>
        </w:trPr>
        <w:tc>
          <w:tcPr>
            <w:tcW w:w="8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2"/>
        </w:trPr>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DOE Loan Facility - due June 2034 </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91,470</w:t>
            </w:r>
          </w:p>
        </w:tc>
      </w:tr>
      <w:tr>
        <w:trPr>
          <w:trHeight w:val="203"/>
        </w:trPr>
        <w:tc>
          <w:tcPr>
            <w:tcW w:w="8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962,303</w:t>
            </w:r>
          </w:p>
        </w:tc>
      </w:tr>
      <w:tr>
        <w:trPr>
          <w:trHeight w:val="20"/>
        </w:trPr>
        <w:tc>
          <w:tcPr>
            <w:tcW w:w="8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40" w:hanging="135"/>
        <w:spacing w:after="0"/>
        <w:tabs>
          <w:tab w:leader="none" w:pos="14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As of </w:t>
      </w:r>
      <w:r>
        <w:rPr>
          <w:rFonts w:ascii="Times New Roman" w:cs="Times New Roman" w:eastAsia="Times New Roman" w:hAnsi="Times New Roman"/>
          <w:sz w:val="13"/>
          <w:szCs w:val="13"/>
          <w:color w:val="auto"/>
        </w:rPr>
        <w:t>December 31, 2024</w:t>
      </w:r>
      <w:r>
        <w:rPr>
          <w:rFonts w:ascii="Times New Roman" w:cs="Times New Roman" w:eastAsia="Times New Roman" w:hAnsi="Times New Roman"/>
          <w:sz w:val="12"/>
          <w:szCs w:val="12"/>
          <w:color w:val="auto"/>
        </w:rPr>
        <w:t>, the Company is obligated to repay future contractual interest payments for these borrowings in-kind.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83" w:lineRule="exact"/>
        <w:rPr>
          <w:sz w:val="20"/>
          <w:szCs w:val="20"/>
          <w:color w:val="auto"/>
        </w:rPr>
      </w:pPr>
    </w:p>
    <w:p>
      <w:pPr>
        <w:ind w:right="560"/>
        <w:spacing w:after="0" w:line="419" w:lineRule="auto"/>
        <w:rPr>
          <w:sz w:val="20"/>
          <w:szCs w:val="20"/>
          <w:color w:val="auto"/>
        </w:rPr>
      </w:pPr>
      <w:r>
        <w:rPr>
          <w:rFonts w:ascii="Times New Roman" w:cs="Times New Roman" w:eastAsia="Times New Roman" w:hAnsi="Times New Roman"/>
          <w:sz w:val="14"/>
          <w:szCs w:val="14"/>
          <w:color w:val="auto"/>
        </w:rPr>
        <w:t xml:space="preserve">Critical accounting estimates are those estimates that involve a significant level of estimation uncertainty and could have a material impact on our financial condition or results of operations. </w:t>
      </w:r>
      <w:r>
        <w:rPr>
          <w:rFonts w:ascii="Times New Roman" w:cs="Times New Roman" w:eastAsia="Times New Roman" w:hAnsi="Times New Roman"/>
          <w:sz w:val="14"/>
          <w:szCs w:val="14"/>
          <w:b w:val="1"/>
          <w:bCs w:val="1"/>
          <w:i w:val="1"/>
          <w:iCs w:val="1"/>
          <w:color w:val="auto"/>
        </w:rPr>
        <w:t>Warranty Liability</w:t>
      </w: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The Company generally provides a standard warranty for a period of two years. We also provide extended warranties and performance guarantees, which are identified as separate performance obligations in the Company's contracts with customers. We accrue warranty reserves at the time of recording the sale. Warranty reserves include management’s best estimate of the projected costs to repair or to replace any items under warranty, which is based on various factors including actual claim data to date, results of lab testing, factory quality data, and field monitoring. Due to limited claim experience since commercialization of our product, and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we may be required to revise our estimated warranty liability. We will also update actual warranty experience to determine warranty reserves as such experience becomes available. We review our reserves at least quarterly, seeking to ensure that our accruals are adequate in meeting expected future warranty obligations, and we will adjust our estimates as needed. Initial warranty data can be limited at the early stage in the commercialization of our products and, the adjustments that we record may be material. Thus, it is likely that as we sell additional BESS, we will acquire additional information on the projected costs to repair or replace items under warranty and may need to make additional adjustments (See Note 10, </w:t>
      </w:r>
      <w:r>
        <w:rPr>
          <w:rFonts w:ascii="Times New Roman" w:cs="Times New Roman" w:eastAsia="Times New Roman" w:hAnsi="Times New Roman"/>
          <w:sz w:val="14"/>
          <w:szCs w:val="14"/>
          <w:i w:val="1"/>
          <w:iCs w:val="1"/>
          <w:color w:val="auto"/>
        </w:rPr>
        <w:t>Accrued Expenses</w:t>
      </w:r>
      <w:r>
        <w:rPr>
          <w:rFonts w:ascii="Times New Roman" w:cs="Times New Roman" w:eastAsia="Times New Roman" w:hAnsi="Times New Roman"/>
          <w:sz w:val="14"/>
          <w:szCs w:val="14"/>
          <w:color w:val="auto"/>
        </w:rPr>
        <w:t xml:space="preserve"> to our Consolidated Financial Statements included elsewhere in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 Liability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Company estimated the fair value of the April 2023 warrants, the May 2023 warrants, and the December 2023 warrants using the Black-Scholes model at inception and on subsequent valuation dates. This model incorporates inputs such as the stock price of the Company, exercise price, risk-free interest rate, expected volatility, and time to expiration. The expected volatility involves unobservable inputs classified as Level 3 of the fair value hierarchy. The sensitivity of the fair value calculation to this assumption could create materially different results under different conditions or using different assumptions. See Note 16,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 and Embedded Derivatives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Company estimated the fair value of the embedded conversion features in the 2021 Convertible Notes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The sensitivity of the fair value calculation to these methods, assumptions, and estimates included could create materially different results under different conditions or using different assumptions. See Note 16,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to our Consolidated Financial Statements included elsewhere in this Annual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Instruments issued under the Credit and Securities Purchase Transaction (see Note 16, Fair Value Measurement)</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The fair value of the Delayed Draw Term Loan was estimated using a discounted cash flow (“DCF”) method, based on the contractual cash flows discounted at an effective debt yield. The fair value of the loan commitment asset was estimated using the discounted cash flow model, based on the contractual cash flows discounted at the effective debt yield and considering the probability of achieving certain milestones. The fair value for the SPA Warrant is estimated based on its intrinsic value, using the Eos common stock closing price adjusted by a discount for lack of marketability (“DLOM”), less the exercise price of $0.01 for the SPA Warrant. A DLOM was applied considering the underlying shares of the SPA Warrants are unregistered. The fair value of the Contingent Warrants is estimated based on the underlying Eos common stock closing price adjusted by a DLOM using a Black-Scholes model, considering the probability of achieving certain milestones. A DLOM was applied considering the underlying shares of the Contingent Warrants are unregistered. The fair values for all these instruments are designated as level 3 measurements as they rely on significant unobservable inputs. The significant unobservable inputs for each of these instruments are detailed in Note 16,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which include debt yield, DLOM, and milestones achievement expectations. The sensitivity of the fair value calculation to debt yield, DLOM, and milestones achievement expectations could create materially different results under different conditions or using different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 ABOUT MARKET RISK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Risk</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Liquidity risk arises from the general funding needs of the Company's activities and in the management of the Company's assets and liabilities. Our exposure to liquidity risk is dependent on our ability to raise funds to meet our obligations and sustain operations. We manage liquidity risk by continuously monitoring our actual and forecasted working capital requirements to ensure there is capital to meet short-term, long-term obligations, including our financial covenants under the DOE Loan Facility and Credit and Securities Purchase Transaction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to our Consolidated Financial Statements included elsewhere in this Annual Report). As disclosed in Note 1, </w:t>
      </w:r>
      <w:r>
        <w:rPr>
          <w:rFonts w:ascii="Times New Roman" w:cs="Times New Roman" w:eastAsia="Times New Roman" w:hAnsi="Times New Roman"/>
          <w:sz w:val="14"/>
          <w:szCs w:val="14"/>
          <w:i w:val="1"/>
          <w:iCs w:val="1"/>
          <w:color w:val="auto"/>
        </w:rPr>
        <w:t>Overview</w:t>
      </w:r>
      <w:r>
        <w:rPr>
          <w:rFonts w:ascii="Times New Roman" w:cs="Times New Roman" w:eastAsia="Times New Roman" w:hAnsi="Times New Roman"/>
          <w:sz w:val="14"/>
          <w:szCs w:val="14"/>
          <w:color w:val="auto"/>
        </w:rPr>
        <w:t xml:space="preserve"> to our Consolidated Financial Statements included elsewhere in this Annual Report, there is a substantial doubt about the Company's ability to continue as a going concern. In order to execute its development strategy, the Company has historically relied on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Equity price risk arises from security price volatility. The Company is subject to this risk due to the warrants issued, since they are measured at fair value. See Note 16,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for warrant valuations and fair values,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91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720" w:type="dxa"/>
            <w:vAlign w:val="bottom"/>
          </w:tcPr>
          <w:p>
            <w:pPr>
              <w:spacing w:after="0"/>
              <w:rPr>
                <w:sz w:val="16"/>
                <w:szCs w:val="16"/>
                <w:color w:val="auto"/>
              </w:rPr>
            </w:pPr>
          </w:p>
        </w:tc>
      </w:tr>
      <w:tr>
        <w:trPr>
          <w:trHeight w:val="477"/>
        </w:trPr>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gridSpan w:val="4"/>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1720" w:type="dxa"/>
            <w:vAlign w:val="bottom"/>
          </w:tcPr>
          <w:p>
            <w:pPr>
              <w:spacing w:after="0"/>
              <w:rPr>
                <w:sz w:val="24"/>
                <w:szCs w:val="24"/>
                <w:color w:val="auto"/>
              </w:rPr>
            </w:pPr>
          </w:p>
        </w:tc>
      </w:tr>
      <w:tr>
        <w:trPr>
          <w:trHeight w:val="361"/>
        </w:trPr>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gridSpan w:val="4"/>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c>
          <w:tcPr>
            <w:tcW w:w="172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
        </w:trPr>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2"/>
        </w:trPr>
        <w:tc>
          <w:tcPr>
            <w:tcW w:w="91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720" w:type="dxa"/>
            <w:vAlign w:val="bottom"/>
            <w:tcBorders>
              <w:bottom w:val="single" w:sz="8" w:color="CCEEFF"/>
            </w:tcBorders>
            <w:shd w:val="clear" w:color="auto" w:fill="CCEEFF"/>
          </w:tcPr>
          <w:p>
            <w:pPr>
              <w:spacing w:after="0"/>
              <w:rPr>
                <w:sz w:val="14"/>
                <w:szCs w:val="14"/>
                <w:color w:val="auto"/>
              </w:rPr>
            </w:pPr>
          </w:p>
        </w:tc>
      </w:tr>
      <w:tr>
        <w:trPr>
          <w:trHeight w:val="159"/>
        </w:trPr>
        <w:tc>
          <w:tcPr>
            <w:tcW w:w="9160" w:type="dxa"/>
            <w:vAlign w:val="bottom"/>
            <w:gridSpan w:val="8"/>
          </w:tcPr>
          <w:p>
            <w:pPr>
              <w:ind w:left="100"/>
              <w:spacing w:after="0" w:line="159"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tc>
        <w:tc>
          <w:tcPr>
            <w:tcW w:w="17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52</w:t>
            </w:r>
          </w:p>
        </w:tc>
      </w:tr>
      <w:tr>
        <w:trPr>
          <w:trHeight w:val="33"/>
        </w:trPr>
        <w:tc>
          <w:tcPr>
            <w:tcW w:w="100" w:type="dxa"/>
            <w:vAlign w:val="bottom"/>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100" w:type="dxa"/>
            <w:vAlign w:val="bottom"/>
            <w:tcBorders>
              <w:bottom w:val="single" w:sz="8" w:color="CCEEFF"/>
            </w:tcBorders>
            <w:shd w:val="clear" w:color="auto" w:fill="CCEEFF"/>
          </w:tcPr>
          <w:p>
            <w:pPr>
              <w:spacing w:after="0"/>
              <w:rPr>
                <w:sz w:val="16"/>
                <w:szCs w:val="16"/>
                <w:color w:val="auto"/>
              </w:rPr>
            </w:pPr>
          </w:p>
        </w:tc>
        <w:tc>
          <w:tcPr>
            <w:tcW w:w="3660" w:type="dxa"/>
            <w:vAlign w:val="bottom"/>
            <w:tcBorders>
              <w:bottom w:val="single" w:sz="8" w:color="auto"/>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Consolidated Balance Sheets as of December 31, 2024 and 2023</w:t>
            </w:r>
          </w:p>
        </w:tc>
        <w:tc>
          <w:tcPr>
            <w:tcW w:w="5400" w:type="dxa"/>
            <w:vAlign w:val="bottom"/>
            <w:tcBorders>
              <w:bottom w:val="single" w:sz="8" w:color="CCEEFF"/>
            </w:tcBorders>
            <w:gridSpan w:val="4"/>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56</w:t>
            </w:r>
          </w:p>
        </w:tc>
      </w:tr>
      <w:tr>
        <w:trPr>
          <w:trHeight w:val="159"/>
        </w:trPr>
        <w:tc>
          <w:tcPr>
            <w:tcW w:w="9160" w:type="dxa"/>
            <w:vAlign w:val="bottom"/>
            <w:gridSpan w:val="8"/>
          </w:tcPr>
          <w:p>
            <w:pPr>
              <w:ind w:left="100"/>
              <w:spacing w:after="0" w:line="159" w:lineRule="exact"/>
              <w:rPr>
                <w:sz w:val="20"/>
                <w:szCs w:val="20"/>
                <w:color w:val="auto"/>
              </w:rPr>
            </w:pPr>
            <w:r>
              <w:rPr>
                <w:rFonts w:ascii="Times New Roman" w:cs="Times New Roman" w:eastAsia="Times New Roman" w:hAnsi="Times New Roman"/>
                <w:sz w:val="14"/>
                <w:szCs w:val="14"/>
                <w:color w:val="auto"/>
              </w:rPr>
              <w:t>Consolidated Statements of Operations and Comprehensive Loss for the Years Ended December 31, 2024 and 2023</w:t>
            </w:r>
          </w:p>
        </w:tc>
        <w:tc>
          <w:tcPr>
            <w:tcW w:w="17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58</w:t>
            </w:r>
          </w:p>
        </w:tc>
      </w:tr>
      <w:tr>
        <w:trPr>
          <w:trHeight w:val="33"/>
        </w:trPr>
        <w:tc>
          <w:tcPr>
            <w:tcW w:w="100" w:type="dxa"/>
            <w:vAlign w:val="bottom"/>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100" w:type="dxa"/>
            <w:vAlign w:val="bottom"/>
            <w:shd w:val="clear" w:color="auto" w:fill="CCEEFF"/>
          </w:tcPr>
          <w:p>
            <w:pPr>
              <w:spacing w:after="0"/>
              <w:rPr>
                <w:sz w:val="16"/>
                <w:szCs w:val="16"/>
                <w:color w:val="auto"/>
              </w:rPr>
            </w:pPr>
          </w:p>
        </w:tc>
        <w:tc>
          <w:tcPr>
            <w:tcW w:w="9060" w:type="dxa"/>
            <w:vAlign w:val="bottom"/>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Consolidated Statements of Shareholders' Deficit for the Years Ended December 31, 2024 and 2023</w:t>
            </w:r>
          </w:p>
        </w:tc>
        <w:tc>
          <w:tcPr>
            <w:tcW w:w="17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59</w:t>
            </w:r>
          </w:p>
        </w:tc>
      </w:tr>
      <w:tr>
        <w:trPr>
          <w:trHeight w:val="159"/>
        </w:trPr>
        <w:tc>
          <w:tcPr>
            <w:tcW w:w="100" w:type="dxa"/>
            <w:vAlign w:val="bottom"/>
            <w:tcBorders>
              <w:top w:val="single" w:sz="8" w:color="CCEEFF"/>
            </w:tcBorders>
          </w:tcPr>
          <w:p>
            <w:pPr>
              <w:spacing w:after="0"/>
              <w:rPr>
                <w:sz w:val="13"/>
                <w:szCs w:val="13"/>
                <w:color w:val="auto"/>
              </w:rPr>
            </w:pPr>
          </w:p>
        </w:tc>
        <w:tc>
          <w:tcPr>
            <w:tcW w:w="5640" w:type="dxa"/>
            <w:vAlign w:val="bottom"/>
            <w:tcBorders>
              <w:top w:val="single" w:sz="8" w:color="auto"/>
            </w:tcBorders>
            <w:gridSpan w:val="5"/>
          </w:tcPr>
          <w:p>
            <w:pPr>
              <w:spacing w:after="0" w:line="159" w:lineRule="exact"/>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2024 and 2023</w:t>
            </w:r>
          </w:p>
        </w:tc>
        <w:tc>
          <w:tcPr>
            <w:tcW w:w="3420" w:type="dxa"/>
            <w:vAlign w:val="bottom"/>
            <w:tcBorders>
              <w:top w:val="single" w:sz="8" w:color="CCEEFF"/>
            </w:tcBorders>
            <w:gridSpan w:val="2"/>
          </w:tcPr>
          <w:p>
            <w:pPr>
              <w:spacing w:after="0"/>
              <w:rPr>
                <w:sz w:val="13"/>
                <w:szCs w:val="13"/>
                <w:color w:val="auto"/>
              </w:rPr>
            </w:pPr>
          </w:p>
        </w:tc>
        <w:tc>
          <w:tcPr>
            <w:tcW w:w="172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60</w:t>
            </w:r>
          </w:p>
        </w:tc>
      </w:tr>
      <w:tr>
        <w:trPr>
          <w:trHeight w:val="33"/>
        </w:trPr>
        <w:tc>
          <w:tcPr>
            <w:tcW w:w="100" w:type="dxa"/>
            <w:vAlign w:val="bottom"/>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59"/>
        </w:trPr>
        <w:tc>
          <w:tcPr>
            <w:tcW w:w="9160" w:type="dxa"/>
            <w:vAlign w:val="bottom"/>
            <w:gridSpan w:val="8"/>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7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62 to 110</w:t>
            </w:r>
          </w:p>
        </w:tc>
      </w:tr>
      <w:tr>
        <w:trPr>
          <w:trHeight w:val="33"/>
        </w:trPr>
        <w:tc>
          <w:tcPr>
            <w:tcW w:w="10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auto"/>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300" w:top="632" w:right="7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Eos Energy Enterprises,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Eos Energy Enterprises, Inc. (the "Company") as of December 31, 2024 and 2023, the related consolidated statements of operations and comprehensive loss, shareholders’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As discussed in Note 1 to the financial statements, the Company has suffered recurring losses from operations and may be unable to remain in compliance with financial covenants required by borrowing arrangements absent the Company’s ability to secure additional outside capital or obtain a waiver,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53" w:name="page54"/>
    <w:bookmarkEnd w:id="53"/>
    <w:p>
      <w:pPr>
        <w:ind w:right="5040"/>
        <w:spacing w:after="0" w:line="42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Convertible Notes Payable and Warrants Liability - Refer to Notes 13, 14 and 16 to the financial statements </w:t>
      </w:r>
      <w:r>
        <w:rPr>
          <w:rFonts w:ascii="Times New Roman" w:cs="Times New Roman" w:eastAsia="Times New Roman" w:hAnsi="Times New Roman"/>
          <w:sz w:val="14"/>
          <w:szCs w:val="14"/>
          <w:i w:val="1"/>
          <w:iCs w:val="1"/>
          <w:color w:val="auto"/>
        </w:rPr>
        <w:t>Critical Audit Matter Description</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2021 Convertible Notes and AFG Convertible Notes (collectively “the Convertible Notes”) contain embedded conversion features that are required to be bifurcated from the Convertible Notes and measured at fair value at each reporting period. The Company estimates the fair value of the embedded conversion features using a binomial lattice model at the inception and on subsequent valuation dates. This model incorporates inputs such as the stock price of the Company, dividend yield, risk-free interest rate, the effective debt yield, and expected volatility. The effective debt yield and the expected volatility involve unobservable inputs.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April 2023 Transaction, May 2023 Transaction, and the December 2023 Public Offering include warrants that are required to be measured at fair value at each reporting period. The Company estimates the fair value of the warrants using a Black-Scholes model at the inception and on subsequent valuation dates. This model incorporates inputs such as the stock price of the Company, exercise price, risk-free interest rate, expected volatility, and time to expiration. The expected volatility involves unobservable inputs.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Unlike the fair value of financial instruments that are readily observable and therefore more easily independently corroborated, the valuation of the embedded conversion features and warrants is inherently subjective and involves the use of complex modeling tools. Auditing the fair value of the embedded conversion features and warrants requires a high degree of auditor judgment and an increased extent of effort, including the need to involve our fair value specialists.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valuation of the (1) embedded conversion features in the Convertible Notes and (2) warrants included the following, among others:</w:t>
      </w:r>
    </w:p>
    <w:p>
      <w:pPr>
        <w:spacing w:after="0" w:line="115" w:lineRule="exact"/>
        <w:rPr>
          <w:sz w:val="20"/>
          <w:szCs w:val="20"/>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reasonableness of management’s valuation methodology and the significant assumptions used in determining the fair value of the embedded conversion features and warrants by:</w:t>
      </w:r>
    </w:p>
    <w:p>
      <w:pPr>
        <w:spacing w:after="0" w:line="7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the source information underlying the fair value of the embedded conversion features and the warrants and the mathematical accuracy of the calculations.</w:t>
      </w:r>
    </w:p>
    <w:p>
      <w:pPr>
        <w:spacing w:after="0" w:line="12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 independent estimate of the inputs and compared those to the inputs used in the fair value of the embedded conversion features and warrants.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competency and objectivity of management’s expert engaged by the Company to perform the valuation of the embedded conversion features and warrants.</w:t>
      </w:r>
    </w:p>
    <w:p>
      <w:pPr>
        <w:spacing w:after="0" w:line="123" w:lineRule="exact"/>
        <w:rPr>
          <w:sz w:val="20"/>
          <w:szCs w:val="20"/>
          <w:color w:val="auto"/>
        </w:rPr>
      </w:pPr>
    </w:p>
    <w:p>
      <w:pPr>
        <w:ind w:right="2740"/>
        <w:spacing w:after="0" w:line="420"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Financial Instruments Associated with the Credit and Securities Purchase Transaction - Refer to Notes 3, 13, 14 and 16 to the financial statements </w:t>
      </w:r>
      <w:r>
        <w:rPr>
          <w:rFonts w:ascii="Times New Roman" w:cs="Times New Roman" w:eastAsia="Times New Roman" w:hAnsi="Times New Roman"/>
          <w:sz w:val="14"/>
          <w:szCs w:val="14"/>
          <w:i w:val="1"/>
          <w:iCs w:val="1"/>
          <w:color w:val="auto"/>
        </w:rPr>
        <w:t>Critical Audit Matter Description</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21, 2024, the Company entered into a (1) credit and guaranty agreement (the “Credit Agreement”) with CCM Denali Debt Holdings, LP, and (2) Securities Purchase Agreement (the “SPA”) with CCM Denali Equity Holdings, LP (collectively, CCM Denali Debt Holdings, LP and CCM Denali Equity Holdings, LP referred to as “Cerberus”) (collectively, the Credit Agreement and the SPA referred to as “Cerberus Agreements”).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conjunction with the Cerberus Agreements, the Company also entered into a payoff letter agreement with ACP Post Oak Credit I LLC and other Atlas Lenders to settle all outstanding obligations under the Atlas Credit Agreement, which were deemed paid and satisfied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54" w:name="page55"/>
    <w:bookmarkEnd w:id="54"/>
    <w:p>
      <w:pPr>
        <w:jc w:val="both"/>
        <w:spacing w:after="0" w:line="270" w:lineRule="auto"/>
        <w:rPr>
          <w:sz w:val="20"/>
          <w:szCs w:val="20"/>
          <w:color w:val="auto"/>
        </w:rPr>
      </w:pPr>
      <w:r>
        <w:rPr>
          <w:rFonts w:ascii="Times New Roman" w:cs="Times New Roman" w:eastAsia="Times New Roman" w:hAnsi="Times New Roman"/>
          <w:sz w:val="14"/>
          <w:szCs w:val="14"/>
          <w:color w:val="auto"/>
        </w:rPr>
        <w:t>Under the terms of the Credit Agreement, Cerberus agreed to provide a (1) $210.5 million secured multi-draw facility to be made in four installments (the “Delayed Draw Term Loan”) upon the achievement of certain performance milestones on dates specified in the Credit Agreement, and (2) $105.0 million revolving credit facility, to be made available beginning June 21, 2026, at Cerberus’ sole discretion and only if the Delayed Draw Term Loan is fully funded.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terms of the SPA, the Company issued the following (1) a warrant to purchase 43,276,194 shares of Common Stock (the “SPA Warrant”), (2) 59 shares of Series A-1 Preferred Stock, and</w:t>
      </w:r>
    </w:p>
    <w:p>
      <w:pPr>
        <w:spacing w:after="0" w:line="23" w:lineRule="exact"/>
        <w:rPr>
          <w:sz w:val="20"/>
          <w:szCs w:val="20"/>
          <w:color w:val="auto"/>
        </w:rPr>
      </w:pPr>
    </w:p>
    <w:p>
      <w:pPr>
        <w:jc w:val="both"/>
        <w:ind w:firstLine="5"/>
        <w:spacing w:after="0" w:line="259" w:lineRule="auto"/>
        <w:tabs>
          <w:tab w:leader="none" w:pos="20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achievement of performance milestones on dates specified in the Credit Agreement, the Company issued at the option of Cerberus, preferred stock or warrants on common stock, up to an aggregate of 33.0% ownership limitation on a fully diluted basis at such time the Delayed Draw Term Loan is fully drawn (the “Contingent Warrants”). The Contingent Warrants were settled in Preferred Stock upon the successful funding of the Delayed Draw Term Loan on dates specified in the Credit Agreement.</w:t>
      </w:r>
    </w:p>
    <w:p>
      <w:pPr>
        <w:spacing w:after="0" w:line="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Auditing the accounting for the instruments issued under the Cerberus Agreements, and the settlement of the obligations under the Atlas Credit Agreement, requires a high degree of auditor judgment and an increased extent of effort, including the need to involve professionals in our firm with expertise in financial instruments.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Credit Agreement contains loan commitment assets, which are required to be measured at fair value upon inception (June 21, 2024), with no subsequent remeasurement. The Company estimates the fair value of the loan commitment asset using the discounted cash flow model, based on the contractual cash flows discounted at the effective debt yield and considering the probability of achieving certain milestones. The milestone achievement expectations and the effective debt yield involve unobservable inputs.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estimates the fair value of the debt issued under the Delayed Draw Term Loan at inception and on subsequent valuation dates using a discounted cash flow method, based on the contractual cash flows discounted at the effective debt yield. The effective debt yield involves unobservable inputs.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estimates the fair value for the SPA warrant issued under the Securities Purchase Agreement at inception and on subsequent valuation dates based on its intrinsic value, using the Company’s common stock closing price adjusted by a discount for lack of marketability (“DLOM”), less the exercise price. The DLOM involves unobservable inputs.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estimates the fair value of the Contingent Warrants issued under the Securities Purchase Agreement at inception and on subsequent valuation dates based on the Company’s common stock closing price adjusted by a DLOM using Black-Scholes option pricing model, considering the probability of achieving certain milestones. The milestone achievement expectations, the expected volatility, and the DLOM involve unobservable inputs.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Unlike the fair value of financial instruments that are readily observable and therefore more easily independently corroborated, the valuation of the financial instruments associated with the Cerberus Agreements is inherently subjective and involves the use of complex modeling tools. Auditing the fair value of the financial instruments associated with the Cerberus Agreements requires a high degree of auditor judgment and an increased extent of effort, including the need to involve our fair value specialists.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audit procedures related to the (1) accounting of the instruments issued under the Cerberus Agreements, and the settlement of the obligations under the Atlas Credit Agreement, and (2) valuation of the financial instruments associated with the Cerberus Agreements included the following, among others:</w:t>
      </w:r>
    </w:p>
    <w:p>
      <w:pPr>
        <w:spacing w:after="0" w:line="61" w:lineRule="exact"/>
        <w:rPr>
          <w:sz w:val="20"/>
          <w:szCs w:val="20"/>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professionals in our firm with expertise in financial instruments, we evaluated the appropriateness of management’s accounting conclusions related to (1) the financial instruments issued under the Cerberus Agreements, and (2) the settlement of the obligations under the Atlas Credit Agreement.</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reasonableness of management’s valuation methodology and the significant assumptions used in determining the fair value of the financial instruments issued under the Cerberus Agreements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55" w:name="page56"/>
    <w:bookmarkEnd w:id="55"/>
    <w:p>
      <w:pPr>
        <w:ind w:left="1020" w:hanging="251"/>
        <w:spacing w:after="0"/>
        <w:tabs>
          <w:tab w:leader="none" w:pos="10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the source information underlying the fair value of the financial instruments issued under the Cerberus Agreements and the mathematical accuracy of the calculations.</w:t>
      </w:r>
    </w:p>
    <w:p>
      <w:pPr>
        <w:spacing w:after="0" w:line="114"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 independent estimate of the inputs and compared those to the inputs used in the fair value of the financial instruments issued under the Cerberus Agreements.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competency and objectivity of management’s expert engaged by the Company to perform the accounting and valuation of the financial instruments associated with the Cerberus Agreements, and the settlement of the obligations under the Atlas Credit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4,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3000" w:type="dxa"/>
            <w:vAlign w:val="bottom"/>
          </w:tcPr>
          <w:p>
            <w:pPr>
              <w:spacing w:after="0"/>
              <w:rPr>
                <w:sz w:val="15"/>
                <w:szCs w:val="15"/>
                <w:color w:val="auto"/>
              </w:rPr>
            </w:pPr>
          </w:p>
        </w:tc>
        <w:tc>
          <w:tcPr>
            <w:tcW w:w="6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3000" w:type="dxa"/>
            <w:vAlign w:val="bottom"/>
            <w:tcBorders>
              <w:bottom w:val="single" w:sz="8" w:color="CCEEFF"/>
            </w:tcBorders>
            <w:shd w:val="clear" w:color="auto" w:fill="CCEEFF"/>
          </w:tcPr>
          <w:p>
            <w:pPr>
              <w:spacing w:after="0"/>
              <w:rPr>
                <w:sz w:val="14"/>
                <w:szCs w:val="14"/>
                <w:color w:val="auto"/>
              </w:rPr>
            </w:pPr>
          </w:p>
        </w:tc>
        <w:tc>
          <w:tcPr>
            <w:tcW w:w="5060" w:type="dxa"/>
            <w:vAlign w:val="bottom"/>
            <w:tcBorders>
              <w:bottom w:val="single" w:sz="8" w:color="CCEEFF"/>
            </w:tcBorders>
            <w:shd w:val="clear" w:color="auto" w:fill="CCEEFF"/>
          </w:tcPr>
          <w:p>
            <w:pPr>
              <w:jc w:val="right"/>
              <w:ind w:right="36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40" w:type="dxa"/>
            <w:vAlign w:val="bottom"/>
            <w:tcBorders>
              <w:bottom w:val="single" w:sz="8" w:color="CCEEFF"/>
            </w:tcBorders>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69,473</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 commitment assets - related party</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17,070</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Vendor deposits</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7,161</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assets, current</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Grant receivable, net</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receivables</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5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r>
      <w:tr>
        <w:trPr>
          <w:trHeight w:val="181"/>
        </w:trPr>
        <w:tc>
          <w:tcPr>
            <w:tcW w:w="3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50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179,912</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122,331</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0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37,855</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 net</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w:t>
            </w: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11,755</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5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w:t>
            </w:r>
          </w:p>
        </w:tc>
      </w:tr>
      <w:tr>
        <w:trPr>
          <w:trHeight w:val="203"/>
        </w:trPr>
        <w:tc>
          <w:tcPr>
            <w:tcW w:w="30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50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260,318</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186,492</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4"/>
        </w:trPr>
        <w:tc>
          <w:tcPr>
            <w:tcW w:w="300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1"/>
        </w:trPr>
        <w:tc>
          <w:tcPr>
            <w:tcW w:w="3000" w:type="dxa"/>
            <w:vAlign w:val="bottom"/>
          </w:tcPr>
          <w:p>
            <w:pPr>
              <w:spacing w:after="0"/>
              <w:rPr>
                <w:sz w:val="16"/>
                <w:szCs w:val="16"/>
                <w:color w:val="auto"/>
              </w:rPr>
            </w:pPr>
          </w:p>
        </w:tc>
        <w:tc>
          <w:tcPr>
            <w:tcW w:w="6040" w:type="dxa"/>
            <w:vAlign w:val="bottom"/>
            <w:gridSpan w:val="2"/>
          </w:tcPr>
          <w:p>
            <w:pPr>
              <w:jc w:val="right"/>
              <w:ind w:right="450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6040" w:type="dxa"/>
            <w:vAlign w:val="bottom"/>
            <w:gridSpan w:val="2"/>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16,723</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20,540</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32,332</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 current</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1"/>
        </w:trPr>
        <w:tc>
          <w:tcPr>
            <w:tcW w:w="3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50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64,975</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60,870</w:t>
            </w: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3000" w:type="dxa"/>
            <w:vAlign w:val="bottom"/>
            <w:shd w:val="clear" w:color="auto" w:fill="CCEEFF"/>
          </w:tcPr>
          <w:p>
            <w:pPr>
              <w:spacing w:after="0"/>
              <w:rPr>
                <w:sz w:val="16"/>
                <w:szCs w:val="16"/>
                <w:color w:val="auto"/>
              </w:rPr>
            </w:pPr>
          </w:p>
        </w:tc>
        <w:tc>
          <w:tcPr>
            <w:tcW w:w="5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debt</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88,002</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payable - related party</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249,059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112,525</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 liabilities, long-term</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 liability</w:t>
            </w:r>
          </w:p>
        </w:tc>
        <w:tc>
          <w:tcPr>
            <w:tcW w:w="50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189,591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27,461</w:t>
            </w:r>
          </w:p>
        </w:tc>
      </w:tr>
      <w:tr>
        <w:trPr>
          <w:trHeight w:val="191"/>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 liability - related party</w:t>
            </w:r>
          </w:p>
        </w:tc>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266,630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0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5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181"/>
        </w:trPr>
        <w:tc>
          <w:tcPr>
            <w:tcW w:w="3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50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777,110</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236,422</w:t>
            </w: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30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5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842,085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297,292</w:t>
            </w:r>
          </w:p>
        </w:tc>
      </w:tr>
      <w:tr>
        <w:trPr>
          <w:trHeight w:val="574"/>
        </w:trPr>
        <w:tc>
          <w:tcPr>
            <w:tcW w:w="3000" w:type="dxa"/>
            <w:vAlign w:val="bottom"/>
          </w:tcPr>
          <w:p>
            <w:pPr>
              <w:spacing w:after="0"/>
              <w:rPr>
                <w:sz w:val="24"/>
                <w:szCs w:val="24"/>
                <w:color w:val="auto"/>
              </w:rPr>
            </w:pPr>
          </w:p>
        </w:tc>
        <w:tc>
          <w:tcPr>
            <w:tcW w:w="5060" w:type="dxa"/>
            <w:vAlign w:val="bottom"/>
          </w:tcPr>
          <w:p>
            <w:pPr>
              <w:jc w:val="right"/>
              <w:ind w:right="2269"/>
              <w:spacing w:after="0"/>
              <w:rPr>
                <w:sz w:val="20"/>
                <w:szCs w:val="20"/>
                <w:color w:val="auto"/>
              </w:rPr>
            </w:pPr>
            <w:r>
              <w:rPr>
                <w:rFonts w:ascii="Times New Roman" w:cs="Times New Roman" w:eastAsia="Times New Roman" w:hAnsi="Times New Roman"/>
                <w:sz w:val="14"/>
                <w:szCs w:val="14"/>
                <w:color w:val="auto"/>
              </w:rPr>
              <w:t>56</w:t>
            </w: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87"/>
        </w:trPr>
        <w:tc>
          <w:tcPr>
            <w:tcW w:w="3000" w:type="dxa"/>
            <w:vAlign w:val="bottom"/>
            <w:tcBorders>
              <w:bottom w:val="single" w:sz="8" w:color="9A9A9A"/>
            </w:tcBorders>
          </w:tcPr>
          <w:p>
            <w:pPr>
              <w:spacing w:after="0"/>
              <w:rPr>
                <w:sz w:val="7"/>
                <w:szCs w:val="7"/>
                <w:color w:val="auto"/>
              </w:rPr>
            </w:pPr>
          </w:p>
        </w:tc>
        <w:tc>
          <w:tcPr>
            <w:tcW w:w="50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2"/>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8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17)</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12"/>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SERIES B PREFERRED STOCK (NOTE 3) - related party</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488,696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2"/>
        </w:trPr>
        <w:tc>
          <w:tcPr>
            <w:tcW w:w="8060" w:type="dxa"/>
            <w:vAlign w:val="bottom"/>
            <w:tcBorders>
              <w:bottom w:val="single" w:sz="8" w:color="CCEEFF"/>
            </w:tcBorders>
            <w:shd w:val="clear" w:color="auto" w:fill="CCEEFF"/>
          </w:tcPr>
          <w:p>
            <w:pPr>
              <w:ind w:left="312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7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$0.0001 par value, 600,000,000 shares authorized, 221,791,205 and 199,133,827 shares outstanding at December 31, 2024</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2023, respectively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2"/>
        </w:trPr>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765,018</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(1,561,716)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(875,846)</w:t>
            </w:r>
          </w:p>
        </w:tc>
      </w:tr>
      <w:tr>
        <w:trPr>
          <w:trHeight w:val="22"/>
        </w:trPr>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 related party</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shareholders' deficit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(1,070,463)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(110,800)</w:t>
            </w:r>
          </w:p>
        </w:tc>
      </w:tr>
      <w:tr>
        <w:trPr>
          <w:trHeight w:val="203"/>
        </w:trPr>
        <w:tc>
          <w:tcPr>
            <w:tcW w:w="8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Total liabilities, preferred stock and shareholders' deficit</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260,318</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186,492</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306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16"/>
                <w:szCs w:val="16"/>
                <w:color w:val="auto"/>
              </w:rPr>
            </w:pPr>
          </w:p>
        </w:tc>
      </w:tr>
      <w:tr>
        <w:trPr>
          <w:trHeight w:val="22"/>
        </w:trPr>
        <w:tc>
          <w:tcPr>
            <w:tcW w:w="7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1"/>
        </w:trPr>
        <w:tc>
          <w:tcPr>
            <w:tcW w:w="7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5"/>
                <w:szCs w:val="15"/>
                <w:color w:val="auto"/>
              </w:rPr>
            </w:pP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15,606</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16,378</w:t>
            </w:r>
          </w:p>
        </w:tc>
      </w:tr>
      <w:tr>
        <w:trPr>
          <w:trHeight w:val="19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98,867</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89,798</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1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(83,261)</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(73,420)</w:t>
            </w:r>
          </w:p>
        </w:tc>
      </w:tr>
      <w:tr>
        <w:trPr>
          <w:trHeight w:val="19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22,758</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18,708</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60,047</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53,650</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9,133</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w:t>
            </w:r>
          </w:p>
        </w:tc>
      </w:tr>
      <w:tr>
        <w:trPr>
          <w:trHeight w:val="181"/>
        </w:trPr>
        <w:tc>
          <w:tcPr>
            <w:tcW w:w="7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91,938</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79,517</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(175,199)</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(152,937)</w:t>
            </w:r>
          </w:p>
        </w:tc>
      </w:tr>
      <w:tr>
        <w:trPr>
          <w:trHeight w:val="19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(18,770)</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 – related parties</w:t>
            </w: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(19,499)</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(37,466)</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debt - related party</w:t>
            </w: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(171,226)</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(24,980)</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derivatives - related parties</w:t>
            </w: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(405,388)</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w:t>
            </w:r>
          </w:p>
        </w:tc>
      </w:tr>
      <w:tr>
        <w:trPr>
          <w:trHeight w:val="191"/>
        </w:trPr>
        <w:tc>
          <w:tcPr>
            <w:tcW w:w="7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7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expense</w:t>
            </w: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r>
      <w:tr>
        <w:trPr>
          <w:trHeight w:val="18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100" w:type="dxa"/>
            <w:vAlign w:val="bottom"/>
            <w:tcBorders>
              <w:top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(685,849)</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(229,475)</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shareholders</w:t>
            </w:r>
          </w:p>
        </w:tc>
        <w:tc>
          <w:tcPr>
            <w:tcW w:w="1100" w:type="dxa"/>
            <w:vAlign w:val="bottom"/>
            <w:tcBorders>
              <w:top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(685,870)</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(229,506)</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7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Accretion of Preferred Stock - related party</w:t>
            </w: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(278,330)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shareholders</w:t>
            </w:r>
          </w:p>
        </w:tc>
        <w:tc>
          <w:tcPr>
            <w:tcW w:w="110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(964,200)</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(229,506)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4"/>
        </w:trPr>
        <w:tc>
          <w:tcPr>
            <w:tcW w:w="72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Other comprehensive (loss) income attributable to common shareholders</w:t>
            </w:r>
          </w:p>
        </w:tc>
        <w:tc>
          <w:tcPr>
            <w:tcW w:w="1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r>
      <w:tr>
        <w:trPr>
          <w:trHeight w:val="191"/>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debt - credit risk - related party</w:t>
            </w: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7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 attributable to common shareholders</w:t>
            </w:r>
          </w:p>
        </w:tc>
        <w:tc>
          <w:tcPr>
            <w:tcW w:w="110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(1,007,703)</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(229,505)</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4"/>
        </w:trPr>
        <w:tc>
          <w:tcPr>
            <w:tcW w:w="72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Basic and diluted loss per share attributable to common shareholders</w:t>
            </w:r>
          </w:p>
        </w:tc>
        <w:tc>
          <w:tcPr>
            <w:tcW w:w="1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r>
      <w:tr>
        <w:trPr>
          <w:trHeight w:val="19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Pr>
          <w:p>
            <w:pPr>
              <w:spacing w:after="0"/>
              <w:rPr>
                <w:sz w:val="16"/>
                <w:szCs w:val="16"/>
                <w:color w:val="auto"/>
              </w:rPr>
            </w:pP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9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of common stock</w:t>
            </w: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
        </w:trPr>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212,039,775</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126,967,756</w:t>
            </w:r>
          </w:p>
        </w:tc>
      </w:tr>
      <w:tr>
        <w:trPr>
          <w:trHeight w:val="19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212,039,775</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126,967,756</w:t>
            </w:r>
          </w:p>
        </w:tc>
      </w:tr>
    </w:tbl>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DEFICIT</w:t>
      </w:r>
    </w:p>
    <w:p>
      <w:pPr>
        <w:spacing w:after="0" w:line="5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900" w:type="dxa"/>
            <w:vAlign w:val="bottom"/>
            <w:gridSpan w:val="3"/>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restart"/>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100" w:type="dxa"/>
            <w:vAlign w:val="bottom"/>
            <w:gridSpan w:val="3"/>
            <w:vMerge w:val="restart"/>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2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00" w:type="dxa"/>
            <w:vAlign w:val="bottom"/>
          </w:tcPr>
          <w:p>
            <w:pPr>
              <w:spacing w:after="0"/>
              <w:rPr>
                <w:sz w:val="15"/>
                <w:szCs w:val="15"/>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December 31,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82,653,781</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513,614</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(646,340)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(132,711)</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14,057</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262,500</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1,707,292</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shares used to settle payroll tax withholding</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(331,559)</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114,841,813</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237,627</w:t>
            </w:r>
          </w:p>
        </w:tc>
        <w:tc>
          <w:tcPr>
            <w:tcW w:w="6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237,639</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(229,506)</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December 31, 2023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199,133,827</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765,018</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(875,846)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(110,800)</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18,533</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4,682,767</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16,590</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2,052,963</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shares used to settle payroll tax withholding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(749,875)</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16,627,523</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14,089</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Preferred Stock - related party</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(278,330)</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debt - credit risk - related party</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(43,490)</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(685,870)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(685,870)</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on December 31,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221,791,205</w:t>
            </w:r>
          </w:p>
        </w:tc>
        <w:tc>
          <w:tcPr>
            <w:tcW w:w="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534,726</w:t>
            </w: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(43,496)</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(1,561,716)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(1,070,463)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125" w:right="8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320" w:type="dxa"/>
            <w:vAlign w:val="bottom"/>
          </w:tcPr>
          <w:p>
            <w:pPr>
              <w:spacing w:after="0"/>
              <w:rPr>
                <w:sz w:val="15"/>
                <w:szCs w:val="15"/>
                <w:color w:val="auto"/>
              </w:rPr>
            </w:pPr>
          </w:p>
        </w:tc>
        <w:tc>
          <w:tcPr>
            <w:tcW w:w="3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53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7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5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37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(685,870)</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(229,506)</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to reconcile net loss to net cash used in operating activities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14,057</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9,751</w:t>
            </w:r>
          </w:p>
        </w:tc>
      </w:tr>
      <w:tr>
        <w:trPr>
          <w:trHeight w:val="191"/>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from write-down of property, plant and equipment</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7,159</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r>
      <w:tr>
        <w:trPr>
          <w:trHeight w:val="191"/>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Non-cash interest expense - related parties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36,903</w:t>
            </w:r>
          </w:p>
        </w:tc>
      </w:tr>
      <w:tr>
        <w:trPr>
          <w:trHeight w:val="191"/>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debt - related party</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24,980</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derivatives - related parties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405,388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w:t>
            </w:r>
          </w:p>
        </w:tc>
      </w:tr>
      <w:tr>
        <w:trPr>
          <w:trHeight w:val="191"/>
        </w:trPr>
        <w:tc>
          <w:tcPr>
            <w:tcW w:w="5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5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Inventory</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w:t>
            </w:r>
          </w:p>
        </w:tc>
      </w:tr>
      <w:tr>
        <w:trPr>
          <w:trHeight w:val="191"/>
        </w:trPr>
        <w:tc>
          <w:tcPr>
            <w:tcW w:w="5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Vendor deposits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r>
      <w:tr>
        <w:trPr>
          <w:trHeight w:val="191"/>
        </w:trPr>
        <w:tc>
          <w:tcPr>
            <w:tcW w:w="5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Contract assets</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Grant receivable</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r>
      <w:tr>
        <w:trPr>
          <w:trHeight w:val="191"/>
        </w:trPr>
        <w:tc>
          <w:tcPr>
            <w:tcW w:w="5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(11,475)</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19,349</w:t>
            </w:r>
          </w:p>
        </w:tc>
      </w:tr>
      <w:tr>
        <w:trPr>
          <w:trHeight w:val="191"/>
        </w:trPr>
        <w:tc>
          <w:tcPr>
            <w:tcW w:w="5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Contract liabilities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r>
      <w:tr>
        <w:trPr>
          <w:trHeight w:val="191"/>
        </w:trPr>
        <w:tc>
          <w:tcPr>
            <w:tcW w:w="5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receivables</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w:t>
            </w:r>
          </w:p>
        </w:tc>
        <w:tc>
          <w:tcPr>
            <w:tcW w:w="27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w:t>
            </w:r>
          </w:p>
        </w:tc>
      </w:tr>
      <w:tr>
        <w:trPr>
          <w:trHeight w:val="181"/>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7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(153,936)</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(145,018)</w:t>
            </w:r>
          </w:p>
        </w:tc>
      </w:tr>
      <w:tr>
        <w:trPr>
          <w:trHeight w:val="22"/>
        </w:trPr>
        <w:tc>
          <w:tcPr>
            <w:tcW w:w="53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2"/>
        </w:trPr>
        <w:tc>
          <w:tcPr>
            <w:tcW w:w="532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1"/>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91"/>
        </w:trPr>
        <w:tc>
          <w:tcPr>
            <w:tcW w:w="5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(29,323)</w:t>
            </w:r>
          </w:p>
        </w:tc>
      </w:tr>
      <w:tr>
        <w:trPr>
          <w:trHeight w:val="22"/>
        </w:trPr>
        <w:tc>
          <w:tcPr>
            <w:tcW w:w="53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7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(29,461)</w:t>
            </w:r>
          </w:p>
        </w:tc>
      </w:tr>
      <w:tr>
        <w:trPr>
          <w:trHeight w:val="182"/>
        </w:trPr>
        <w:tc>
          <w:tcPr>
            <w:tcW w:w="53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19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5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received from Credit and Securities Purchase Transaction, net - related party</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received from DOE Loan, net of fees paid to lender</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notes payable – related party, net of discount</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48,050</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 - related party</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r>
      <w:tr>
        <w:trPr>
          <w:trHeight w:val="191"/>
        </w:trPr>
        <w:tc>
          <w:tcPr>
            <w:tcW w:w="5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Payoff of Senior Secured Term Loan</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r>
      <w:tr>
        <w:trPr>
          <w:trHeight w:val="191"/>
        </w:trPr>
        <w:tc>
          <w:tcPr>
            <w:tcW w:w="5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2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605"/>
        </w:trPr>
        <w:tc>
          <w:tcPr>
            <w:tcW w:w="5320" w:type="dxa"/>
            <w:vAlign w:val="bottom"/>
          </w:tcPr>
          <w:p>
            <w:pPr>
              <w:spacing w:after="0"/>
              <w:rPr>
                <w:sz w:val="24"/>
                <w:szCs w:val="24"/>
                <w:color w:val="auto"/>
              </w:rPr>
            </w:pPr>
          </w:p>
        </w:tc>
        <w:tc>
          <w:tcPr>
            <w:tcW w:w="2740" w:type="dxa"/>
            <w:vAlign w:val="bottom"/>
          </w:tcPr>
          <w:p>
            <w:pPr>
              <w:jc w:val="right"/>
              <w:ind w:right="2269"/>
              <w:spacing w:after="0"/>
              <w:rPr>
                <w:sz w:val="20"/>
                <w:szCs w:val="20"/>
                <w:color w:val="auto"/>
              </w:rPr>
            </w:pPr>
            <w:r>
              <w:rPr>
                <w:rFonts w:ascii="Times New Roman" w:cs="Times New Roman" w:eastAsia="Times New Roman" w:hAnsi="Times New Roman"/>
                <w:sz w:val="14"/>
                <w:szCs w:val="14"/>
                <w:color w:val="auto"/>
              </w:rPr>
              <w:t>60</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532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29845</wp:posOffset>
            </wp:positionV>
            <wp:extent cx="20478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gridSpan w:val="2"/>
          </w:tcPr>
          <w:p>
            <w:pPr>
              <w:ind w:left="8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9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equipment financing facility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r>
      <w:tr>
        <w:trPr>
          <w:trHeight w:val="191"/>
        </w:trPr>
        <w:tc>
          <w:tcPr>
            <w:tcW w:w="9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92,916</w:t>
            </w:r>
          </w:p>
        </w:tc>
      </w:tr>
      <w:tr>
        <w:trPr>
          <w:trHeight w:val="22"/>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and warrants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99,251</w:t>
            </w:r>
          </w:p>
        </w:tc>
      </w:tr>
      <w:tr>
        <w:trPr>
          <w:trHeight w:val="191"/>
        </w:trPr>
        <w:tc>
          <w:tcPr>
            <w:tcW w:w="9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w:t>
            </w:r>
          </w:p>
        </w:tc>
      </w:tr>
      <w:tr>
        <w:trPr>
          <w:trHeight w:val="22"/>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91"/>
        </w:trPr>
        <w:tc>
          <w:tcPr>
            <w:tcW w:w="9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2"/>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shares from employees for income tax withholding purposes</w:t>
            </w: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18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205,834</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227,918</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2"/>
        </w:trPr>
        <w:tc>
          <w:tcPr>
            <w:tcW w:w="8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91"/>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foreign exchange on cash, cash equivalents and restricted cash</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2"/>
        </w:trPr>
        <w:tc>
          <w:tcPr>
            <w:tcW w:w="8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bl>
    <w:p>
      <w:pPr>
        <w:spacing w:after="0" w:line="5" w:lineRule="exact"/>
        <w:rPr>
          <w:sz w:val="20"/>
          <w:szCs w:val="20"/>
          <w:color w:val="auto"/>
        </w:rPr>
      </w:pPr>
    </w:p>
    <w:p>
      <w:pPr>
        <w:sectPr>
          <w:pgSz w:w="11900" w:h="16838" w:orient="portrait"/>
          <w:cols w:equalWidth="0" w:num="1">
            <w:col w:w="11280"/>
          </w:cols>
          <w:pgMar w:left="300" w:top="125"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134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year</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53,444</w:t>
            </w:r>
          </w:p>
        </w:tc>
      </w:tr>
      <w:tr>
        <w:trPr>
          <w:trHeight w:val="212"/>
        </w:trPr>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31,223</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103,362</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84,667</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340" w:space="720"/>
            <w:col w:w="322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
        </w:trPr>
        <w:tc>
          <w:tcPr>
            <w:tcW w:w="6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operating lease assets in exchange for lease liabilities</w:t>
            </w:r>
          </w:p>
        </w:tc>
        <w:tc>
          <w:tcPr>
            <w:tcW w:w="23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68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91"/>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assets acquired with finance lease</w:t>
            </w:r>
          </w:p>
        </w:tc>
        <w:tc>
          <w:tcPr>
            <w:tcW w:w="2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2"/>
        </w:trPr>
        <w:tc>
          <w:tcPr>
            <w:tcW w:w="6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and unpaid debt issuance costs</w:t>
            </w:r>
          </w:p>
        </w:tc>
        <w:tc>
          <w:tcPr>
            <w:tcW w:w="23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6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and unpaid capital expenditures</w:t>
            </w:r>
          </w:p>
        </w:tc>
        <w:tc>
          <w:tcPr>
            <w:tcW w:w="2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22"/>
        </w:trPr>
        <w:tc>
          <w:tcPr>
            <w:tcW w:w="6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preferred stock - related party</w:t>
            </w:r>
          </w:p>
        </w:tc>
        <w:tc>
          <w:tcPr>
            <w:tcW w:w="23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278,330</w:t>
            </w:r>
          </w:p>
        </w:tc>
        <w:tc>
          <w:tcPr>
            <w:tcW w:w="6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convertible notes for interest paid-in-kind - related parties</w:t>
            </w:r>
          </w:p>
        </w:tc>
        <w:tc>
          <w:tcPr>
            <w:tcW w:w="2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11,977</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r>
      <w:tr>
        <w:trPr>
          <w:trHeight w:val="22"/>
        </w:trPr>
        <w:tc>
          <w:tcPr>
            <w:tcW w:w="6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settlement of Yorkville Convertible Notes</w:t>
            </w:r>
          </w:p>
        </w:tc>
        <w:tc>
          <w:tcPr>
            <w:tcW w:w="23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51,023</w:t>
            </w:r>
          </w:p>
        </w:tc>
      </w:tr>
      <w:tr>
        <w:trPr>
          <w:trHeight w:val="212"/>
        </w:trPr>
        <w:tc>
          <w:tcPr>
            <w:tcW w:w="6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23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3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w:t>
            </w:r>
          </w:p>
        </w:tc>
        <w:tc>
          <w:tcPr>
            <w:tcW w:w="6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15,133</w:t>
            </w: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Overview</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 See Note 22,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further discussion.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and Going Concern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As disclosed in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xml:space="preserve"> on June 21, 2024, the Company entered into a financing transaction with CCM Denali Debt Holdings, LP, an affiliate of Cerberus Capital Management LP (herein after referred to as “Cerberus”, “Denali”, “Lender”, “Holder”). As a result of this transaction, Cerberus agreed to provide a $210,500 secured multi-draw facility to be made in four installments (the “Delayed Draw Term Loan”) as well as a $105,000 revolving credit facility (“Revolving Facility”), to be made available beginning June 21, 2026, at Cerberus’ sole discretion and only if the Delayed Draw Term Loan is fully funded. As of the issuance date, the Delayed Draw Term Loan was fully funded. As part of the Credit and Securities Purchase Transaction, Cerberus received warrants and preferred stock resulting in a 33% ownership position in the Company as of the issuance date. This ownership percentage represents $644,823 in market capitalization based on the February 27, 2025 closing share price of the Company’s common stock.</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As disclosed in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on November 26, 2024, the Company successfully closed on the DOE Loan Facility, which provides the Company with up to $303,450 in funding, including capitalized interest, subject to the achievement of certain funding conditions. The DOE Loan Facility provides for a multi draw term loan facility under a series of at least two and, if the Company elects, up to four tranches, subject to the achievement of certain conditions, with each tranche corresponding to the production, maintenance and development, and operation of a given production line to be funded using the proceeds of such tranche. The DOE Loan Facility specifies the maximum amount subject to each tranche (Tranche 1: $101,979; Tranche 2: $117,326; Tranche 3: $71,836; and Tranche 4: $12,309), and any amounts which are not withdrawn under a specified tranche cannot be allocated to another tranche. Through December 31, 2024, the Company had drawn down $68,279 under Tranche 1.</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the date the accompanying Consolidated Financial Statements were issued (the “issuance date”), management evaluated the significance of the following negative financial conditions in accordance with Accounting Standard Codification 205-40, Going Concern: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ind w:left="140" w:hanging="135"/>
        <w:spacing w:after="0"/>
        <w:tabs>
          <w:tab w:leader="none" w:pos="14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Overview (cont.)</w:t>
      </w:r>
    </w:p>
    <w:p>
      <w:pPr>
        <w:spacing w:after="0" w:line="382" w:lineRule="exact"/>
        <w:rPr>
          <w:rFonts w:ascii="Times New Roman" w:cs="Times New Roman" w:eastAsia="Times New Roman" w:hAnsi="Times New Roman"/>
          <w:sz w:val="14"/>
          <w:szCs w:val="14"/>
          <w:b w:val="1"/>
          <w:bCs w:val="1"/>
          <w:color w:val="auto"/>
        </w:rPr>
      </w:pPr>
    </w:p>
    <w:p>
      <w:pPr>
        <w:jc w:val="both"/>
        <w:ind w:left="520" w:hanging="260"/>
        <w:spacing w:after="0" w:line="270" w:lineRule="auto"/>
        <w:tabs>
          <w:tab w:leader="none" w:pos="516"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its inception, the Company has incurred significant losses and negative cash from operations in order to fund its development. During the year ended December 31, 2024, the Company incurred a net loss of $685,870. Adjustments to reconcile the net loss to cash used in operations are primarily from non-cash items on the Consolidated Statements of Cash Flows. The non-cash items totaled $549,174. The Company incurred negative cash flows from operations of $153,936 and had an accumulated deficit of $1,561,716 as of December 31, 2024.</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Company had $74,292 of unrestricted cash and cash equivalents available to fund the Company’s operations, and working capital of $114,937, which includes loan commitment assets of $21,731 classified as current assets on the Consolidated Balance Sheets.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21, 2024, upon closing of the Credit and Securities Purchase Transaction, Cerberus funded the Company $75,000 of the initial draw, and the Company received $71,250, net of the 5.0% original issue discount. On August 29, 2024, Cerberus funded the Company $30,000 (“August Draw”), and the Company received $28,500, net of the 5.0% original issue discount. On November 1, 2024, Cerberus funded the Company $65,000 related to the October 31, 2024 tranche (“October Draw” or “October Tranche”), and the Company received $61,750, which is net of the 5.0% original issue discount. On January 24, 2025, Cerberus funded the Company the final $40,500 related to the January 31, 2025 tranche (“January 2025 Draw”). Subsequent to the January 2025 Draw, the Delayed Draw Term Loan has been fully funded.</w:t>
      </w:r>
    </w:p>
    <w:p>
      <w:pPr>
        <w:spacing w:after="0" w:line="5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December 31, 2024, under the DOE Loan Facility, the Company drew down $68,279 for the eligible project cost that the Company had incurred through December 6, 2024. These costs are a portion of Tranche 1 of the DOE Loan Facility. Tranche 1 provides up to $101,979 for eligible costs in connection with the design, construction, installation, startup and shakedown of a battery automation line and related tools. In the event the Company does not achieve certain funding conditions and the DOE chooses not to continue funding, the Company would need to seek alternative sources of capital, which may not be available on favorable terms or at all.</w:t>
      </w:r>
    </w:p>
    <w:p>
      <w:pPr>
        <w:spacing w:after="0" w:line="55" w:lineRule="exact"/>
        <w:rPr>
          <w:rFonts w:ascii="Times New Roman" w:cs="Times New Roman" w:eastAsia="Times New Roman" w:hAnsi="Times New Roman"/>
          <w:sz w:val="14"/>
          <w:szCs w:val="14"/>
          <w:color w:val="auto"/>
        </w:rPr>
      </w:pPr>
    </w:p>
    <w:p>
      <w:pPr>
        <w:jc w:val="both"/>
        <w:ind w:left="520" w:hanging="260"/>
        <w:spacing w:after="0" w:line="256" w:lineRule="auto"/>
        <w:tabs>
          <w:tab w:leader="none" w:pos="516"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and Securities Purchase Transaction and the DOE Loan Facility contain certain quarterly financial covenants, which include (a) Minimum Liquidity, (b) Minimum Consolidated EBITDA, and (c) Minimum Consolidated Revenue (collectively, the “financial covenants”). As of the fiscal quarter ended December 31, 2024, the only financial covenant in effect was Minimum Liquidity. As of December 31, 2024, the Company was in compliance with this covenant, as well as all non-financial covenants and expects to remain in compliance with the Minimum Liquidity covenant over the next twelve month beyond the issuance date. The Minimum Consolidated EBITDA and Minimum Consolidated Revenue financial covenants are effective starting fiscal quarter ending December 31, 2025. As of December 31, 2024, the Company expects that it may be unable to remain in compliance with the Minimum Consolidated EBITDA and Minimum Consolidated Revenue financial covenant beginning December 31, 2025, absent the Company’s ability to secure a waiver or amend the Credit and Securities Purchase Transaction and the DOE Loan Facility. In the event the Company is unable to comply with the financial and non-financial covenants as of December 31, 2025, and the Company is unable to secure a waiver, Cerberus and DOE may, at their discretion, enter into a forbearance agreement with the Company and/or exercise any and all of their existing rights and remedies, which may include, among other things, asserting their rights in the Company’s assets securing the loans. Moreover, the Company’s other lenders may exercise similar rights and remedies under the cross-default provisions of their respective borrowing agreements with the Company.</w:t>
      </w:r>
    </w:p>
    <w:p>
      <w:pPr>
        <w:spacing w:after="0" w:line="6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Company’s ongoing efforts to raise additional outside capital are unsuccessful, the Company will be unable to meet its obligations as they come due over the next twelve month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Overview (cont.)</w:t>
      </w:r>
    </w:p>
    <w:p>
      <w:pPr>
        <w:spacing w:after="0" w:line="3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uncertainties raise substantial doubt about the Company’s ability to continue as a going concern. 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follows accounting standards established by the Financial Accounting Standards Board (“FASB”) to ensure consistent reporting of financial condition, results of operations and cash flows. References to accounting principles generally accepted in the United States (“GAAP”) in these notes are to the FASB Accounting Standards Codification™ (“ASC”) and related updates (“ASU”). The financial statements include the accounts of the Company and its subsidiaries and have been prepared in accordance with GAAP. All intercompany transactions and balances have been eliminated in consolidation.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Reclassification of Prior Year Presentation</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prior year amounts have been reclassified for consistency with the current year presentation. In the Consolidated Statements of Operations, Gross profit (loss) has been introduced, reflecting Total revenue less Cost of goods sold. This addition does not impact the reported Net loss.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follows the provisions of ASC 830, </w:t>
      </w:r>
      <w:r>
        <w:rPr>
          <w:rFonts w:ascii="Times New Roman" w:cs="Times New Roman" w:eastAsia="Times New Roman" w:hAnsi="Times New Roman"/>
          <w:sz w:val="14"/>
          <w:szCs w:val="14"/>
          <w:i w:val="1"/>
          <w:iCs w:val="1"/>
          <w:color w:val="auto"/>
        </w:rPr>
        <w:t>Foreign Currency Matters</w:t>
      </w:r>
      <w:r>
        <w:rPr>
          <w:rFonts w:ascii="Times New Roman" w:cs="Times New Roman" w:eastAsia="Times New Roman" w:hAnsi="Times New Roman"/>
          <w:sz w:val="14"/>
          <w:szCs w:val="14"/>
          <w:color w:val="auto"/>
        </w:rPr>
        <w:t>. The Company’s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deficit in accumulated other comprehensive loss. Gains and losses from foreign currency transactions, which were insignificant for years ended December 31, 2024 and 2023, are included as other expense in the Consolidated Statements of Operations and Comprehensive Loss.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Expected Credit Losses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evaluates the creditworthiness of its customers. If the collection of any specific receivable is doubtful, an allowance is recorded in the allowance for expected credit losses. As of December 31, 2024 and 2023, the allowances for expected credit loss related to Accounts Receivable was $40 and $26, respectively. The Company also has an immaterial allowance related to its Notes Receivable, net, which is included in Other assets on the accompanying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Cash Equivalents, and Restricted Cash</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purchased with an original maturity of three months or less to be cash equivalents. Cash and cash equivalents are recorded at cost, which approximates fair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Embedded derivatives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of our debt and preferred stock financings contain embedded features, such as conversion features and redemption features. The Company evaluates each agreement to determine whether the embedded feature requires bifurcation from the host instrument, in which case would require to be accounted for as a derivative liability. The Company uses valuation models to estimate the fair value of the embedded derivatives. The change in fair value of the embedded derivatives is presented separately on the Consolidated Statements of Operations and Comprehensive Loss.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Earnings (loss) Per Share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accordance with the provisions of ASC Topic 260,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basic earnings per share (“EPS”) is computed by dividing earnings available to common shareholders by the weighted average number of shares of common stock outstanding during the period. The Preferred Series B is a participating security that does not have the obligation to share in the losses of the Company. Therefore, the more dilutive of the “if-converted” and “two-class” method must be applied when calculating EPS for the common shares. Management has elected to recognize changes in the redemption value of the Series B Preferred Stock. At each balance sheet date, the redemption value of the Series B Preferred Stock will be calculated, and if the redemption value is greater than the carrying value, the carrying value will be accreted to the redemption value. The accretion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 See Note 21,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for further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restricted cash, accounts receivable, notes receivable, contract assets, accounts payable, accrued expenses, warrants, notes payable — related party, contract liabilities, and long-term debt.</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 of cash and cash equivalents, restricted cash, accounts receivable, contract assets, contract liabilities and accounts payable are considered to be representative of their fair value due to the short maturity of these instruments.</w:t>
      </w:r>
    </w:p>
    <w:p>
      <w:pPr>
        <w:spacing w:after="0" w:line="6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12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61" w:lineRule="exact"/>
        <w:rPr>
          <w:sz w:val="20"/>
          <w:szCs w:val="20"/>
          <w:color w:val="auto"/>
        </w:rPr>
      </w:pPr>
    </w:p>
    <w:p>
      <w:pPr>
        <w:ind w:right="1420"/>
        <w:spacing w:after="0" w:line="427" w:lineRule="auto"/>
        <w:rPr>
          <w:sz w:val="20"/>
          <w:szCs w:val="20"/>
          <w:color w:val="auto"/>
        </w:rPr>
      </w:pPr>
      <w:r>
        <w:rPr>
          <w:rFonts w:ascii="Times New Roman" w:cs="Times New Roman" w:eastAsia="Times New Roman" w:hAnsi="Times New Roman"/>
          <w:sz w:val="14"/>
          <w:szCs w:val="14"/>
          <w:color w:val="auto"/>
        </w:rPr>
        <w:t xml:space="preserve">Level 3 - Inputs that are generally unobservable and typically reflect management’s estimate of assumptions that market participants would use in pricing the asset or liability. </w:t>
      </w:r>
      <w:r>
        <w:rPr>
          <w:rFonts w:ascii="Times New Roman" w:cs="Times New Roman" w:eastAsia="Times New Roman" w:hAnsi="Times New Roman"/>
          <w:sz w:val="14"/>
          <w:szCs w:val="14"/>
          <w:i w:val="1"/>
          <w:iCs w:val="1"/>
          <w:color w:val="auto"/>
        </w:rPr>
        <w:t>Goodwill</w:t>
      </w:r>
    </w:p>
    <w:p>
      <w:pPr>
        <w:spacing w:after="0" w:line="287" w:lineRule="auto"/>
        <w:rPr>
          <w:sz w:val="20"/>
          <w:szCs w:val="20"/>
          <w:color w:val="auto"/>
        </w:rPr>
      </w:pPr>
      <w:r>
        <w:rPr>
          <w:rFonts w:ascii="Times New Roman" w:cs="Times New Roman" w:eastAsia="Times New Roman" w:hAnsi="Times New Roman"/>
          <w:sz w:val="14"/>
          <w:szCs w:val="14"/>
          <w:color w:val="auto"/>
        </w:rPr>
        <w:t>Goodwill consists of the excess of the purchase price over the fair value of identifiable net assets of businesses acquired. Goodwill is reviewed for impairment each year using a qualitative or quantitative process that is performed at least annually or whenever events or circumstances indicate a likely reduction in the fair value of a reporting unit below its carrying amount.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Prior to performing a quantitative evaluation, an assessment of qualitative factors may be performed to determine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completed the annual goodwill impairment test as of November 30, 2024, using a qualitative assessment for the reporting unit. The Company concluded that it is more likely than not that the fair value of the reporting unit is greater than the carrying amount, and a quantitative goodwill impairment test was not necessary. As a result of the annual assessment, there were no impairment charges for the year ended December 31,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reviews its long-lived assets for impairment whenever events or changes in circumstances indicate that the carrying amount of the assets may not be recoverable. An assessment is performed to determine whether the depreciation and amortization of long-lived assets over their remaining lives can be recovered through projected undiscounted future cash flows. The amount of any long-lived asset impairment is measured based on fair value and is charged to operations in the period in which a long-lived assets impairment is determined by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and Deferred Taxes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Company complies with the accounting and reporting requirements of FASB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Income taxes are computed under the asset and liability method reflecting both current and deferred taxes, which reflect the tax impact of all events included in the financial statements. The balance sheet approach (i) reflects a current tax liability or asset recognized for estimated taxes payable or refundable on tax returns for the current and prior years, (ii) reflects a deferred tax liability or asset recognized for the estimated future tax effects attributable to temporary differences and carryforwards, (iii) measures current and deferred tax liabilities and assets using the enacted tax rate of which the effects of future changes in tax laws or rates are not anticipated, and (iv) reduces deferred tax assets, if necessary, by the amount of any tax benefits that, based on available evidence, are not expected to be realized.</w:t>
      </w:r>
    </w:p>
    <w:p>
      <w:pPr>
        <w:spacing w:after="0" w:line="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ASC 740 prescribes a recognition threshold and a measurement attribute for financial statement recognition and measurement of tax positions taken or expected to be taken in a tax return. The Company recognizes deferred tax assets only to the extent that management concludes these assets are more-likely-than-not to be realized. Significant judgement is required in assessing and estimating the more-likely-than-not tax consequences of the events included in the financial statements. Management considers all available positive and negative evidence, including future reversals of existing temporary differences, projected future taxable income, tax-planning strategies, and results of recent operations.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accrued interest and penalties related to unrecognized tax benefits, if any, as income tax expense. The Company records uncertain tax positions in accordance with ASC 740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 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are stated at their historical cost and amortized on a straight-line basis over their expected useful lives.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Inventories are stated at the lower of cost or net realizable value. Cost is computed using standard cost which approximates actual cost on a first-in, first-out basis. The Company records inventory when it takes delivery and title to the product according to the terms of each supply contract.</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evaluates its ending inventories for excess quantities and obsolescence. A valuation allowance is recorded for inventories that management considers excess or obsolete.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The Company accounts for its leases under ASU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842”). Under ASC 842, the right-of-use (“ROU”) assets represent our right to use an underlying asset for the lease term and lease liabilities represent our obligation to make lease payments arising from the lease. ROU assets and lease liabilities are recognized at the lease commencement date based on the present value of lease payments over the lease term. The discount rate used to calculate the present value represents our collateralized incremental borrowing rate and is calculated based on the treasury yield curve that is commensurate with the term of each lease, and a spread representative of our borrowing costs. Our lease terms may include options to extend or terminate the lease when it is reasonably certain that we will exercise that option. Leases may be classified as either operating leases or finance leases. Leases with an initial term of 12 months or less are excluded from the scope of ROU assets and liabilities, as allowed by ASC 842.</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lease agreements with lease and non-lease components. The Company has elected the practical expedient to account for non-lease components as part of the lease component for all asset classes. The majority of the Company's lease agreements are real estate leases.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Plant and Equipment, net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Equipment is stated at cost, less accumulated depreciation. Depreciation is computed on a straight-line basis over the estimated useful lives of the assets. Leasehold improvements are amortized on a straight-line basis over the shorter of the estimated useful lives of the improvements or the life of the lease. Maintenance and repair expenditures are expensed as incurred. Expenditures which significantly improve or extend the life of an asset are capitalized.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Construction in Progress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Included in property, plant, and equipment is construction in progress. Costs related to the design, development, and construction of large capital projects are accumulated in construction in progress until the project is complete. A construction project is considered substantially complete upon the cessation of construction and development activities. Once the project is substantially complete and ready for its intended use these costs are amortized on a straight-line basis over the asset's estimated useful life. A portion of construction in progress also includes capitalized interest. Interest costs incurred during construction of large capital projects are capitalized as construction in progress until the underlying asset is ready for its intended use, at which point the interest costs are amortized as depreciation expense over the life of the underlying asset. Interest is capitalized using a weighted average effective interest rate applicable to borrowings outstanding during the period to which it is applied.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costs are expensed as incurred, which include materials, supplies, salaries, benefits and other costs related to research, development and testing of products.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Revenue is earned from the sales, installation, and commissioning of BESS, the terms of which are dictated by supply agreements the Company enters into with its customers. Revenue is recognized to depict the transfer of promised goods and/or services to customers in an amount that reflects the consideration to which the Company expects to be entitled in exchange for transferring the promised goods and/or services to the customer. As most contracts contain multiple goods or services delivered to the customer at different times, the transaction price is allocated to each good or service based on the relative standalone selling price and revenue is recognized when or as the performance obligation is satisfied. The Company uses either the expected cost-plus margin approach or adjusted market assessment approach to estimate the standalone selling prices of its goods and services.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Product Revenue</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Product revenue is comprised of revenue from the BESS, along with other products, including marshalling cabinets, spare parts, transformers and inverters. It is recognized when control transfers, as determined by the specific terms outlined in each contract. If not specifically defined in the contract, the timing around the transfer of control is based on the shipping terms, which vary by contract, but are generally either Delivered-at-Place ("DAP") Destination or Exworks. Many of the Company’s contracts with customers contain some component of variable consideration. The Company estimates variable consideration, such as refunds, penalties including liquidated damages, and the customer’s right to return, using the expected value method, and adjusts transaction price for its estimate of variable consideration. We update our estimates of variable consideration and adjust the transaction price accordingly by recording an adjustment to net revenue and refund liability with respect to variable consideration such as penalties, refunds, and credits to customers. The Company has concluded that its estimation of variable consideration results in an adjustment to the transaction price such that it is probable that a significant reversal of cumulative revenue would not occur in the future.</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Shipping and handling costs are included in cost of goods sold. Sales tax collected from customers are recorded on a net basis and therefore, not included in revenue. Sales tax is recorded as a liability (payable) until remitted to governmental authorities.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Service Revenue</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Service revenue includes commissioning, installation and engineering, procurement and construction revenue. As the customer simultaneously receives and consumes the benefits provided by the Company’s performance, these performance obligations are satisfied over time. The Company uses an input method to measure progress towards satisfaction. If at any time management determines that in the case of a particular contract total costs will exceed total contract revenue, a provision for the entire anticipated contract loss is recorded at that time.</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Warranty related revenue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to a standard two-year limited warranty against defects, the Company offers customers the option to purchase an extended warranty, a maintenance and monitoring service and/or a performance guarantee. As the standard two-year limited warranty is classified as an assurance-type warranty, based on criteria set forth in ASC 606, it is not accounted for as a separate performance obligation. The extended warranty, maintenance and monitoring service warranty and performance guarantee, however, represent distinct services and are accounted for as separate performance obligations based on a time-lapsed measure of progress resulting in a ratable recognition of revenue over the respective performance period. For these performance obligations, at any time if management determines that in the case of a particular warranty that total costs will exceed total warranty revenue, a provision for the entire anticipated warranty loss is recorded at that time and included in warranty liability on the Consolidated Balance Sheets.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Contract Assets and Contract Liabilities</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contract assets for certain contracts in which revenue recognition performance obligations have been satisfied, however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 Payment terms are generally aligned with meeting various contractual milestones, beginning with purchase order execution and extending through manufacturing release, ready to ship, delivery and commissioning.</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Practical Expedients and Exemptions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permitted by ASC 606, </w:t>
      </w:r>
      <w:r>
        <w:rPr>
          <w:rFonts w:ascii="Times New Roman" w:cs="Times New Roman" w:eastAsia="Times New Roman" w:hAnsi="Times New Roman"/>
          <w:sz w:val="14"/>
          <w:szCs w:val="14"/>
          <w:i w:val="1"/>
          <w:iCs w:val="1"/>
          <w:color w:val="auto"/>
        </w:rPr>
        <w:t>Revenue from Contracts with Customers (“ASC 606”)</w:t>
      </w:r>
      <w:r>
        <w:rPr>
          <w:rFonts w:ascii="Times New Roman" w:cs="Times New Roman" w:eastAsia="Times New Roman" w:hAnsi="Times New Roman"/>
          <w:sz w:val="14"/>
          <w:szCs w:val="14"/>
          <w:color w:val="auto"/>
        </w:rPr>
        <w:t>, the Company elected to use certain practical expedients.</w:t>
      </w:r>
    </w:p>
    <w:p>
      <w:pPr>
        <w:spacing w:after="0" w:line="53"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treats costs associated with obtaining new contracts as expenses when incurred if the amortization period of the asset recognized by the Company is one year or less.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elected to exclude sales and other similar taxes from the transaction price.</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shipping and handling activities are performed after a customer obtains control of the good, the Company has elected to account for shipping and handling as activities to fulfil the promise to transfer the good. All elections are consistently applied to similar transactions.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stock-based compensation expense consists of:</w:t>
      </w:r>
    </w:p>
    <w:p>
      <w:pPr>
        <w:spacing w:after="0" w:line="51"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awards ("RSU").</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units (“PRSU”).</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milestone awards ("Milestone PRSU").</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Stock-based compensation is estimated at the grant date based on the fair value of the award and is recognized as expense over the requisite service period of the award. For stock option awards, the Company uses the Black-Scholes option pricing model to estimate the fair value. For RSUs and Milestone PRSUs, the Company uses the Company's stock price on date of grant to estimate fair value. For PRSUs, the fair value is estimated using a Monte Carlo simulation in an option pricing framework.</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Company recognizes compensation cost on a straight-line basis over the requisite service period of the award, which is generally the award vesting period. Stock options generally have a term of five to ten years and vest over periods ranging from three months to two years. RSUs generally vest over periods from one to three years. PRSUs generally vest over two to three years. For PRSUs and Milestone PRSUs, stock-based compensation expense is recognized on a straight-line basis based on management’s estimation of achievement of performance conditions (see Note 18, </w:t>
      </w:r>
      <w:r>
        <w:rPr>
          <w:rFonts w:ascii="Times New Roman" w:cs="Times New Roman" w:eastAsia="Times New Roman" w:hAnsi="Times New Roman"/>
          <w:sz w:val="14"/>
          <w:szCs w:val="14"/>
          <w:i w:val="1"/>
          <w:iCs w:val="1"/>
          <w:color w:val="auto"/>
        </w:rPr>
        <w:t>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Based Compensation </w:t>
      </w:r>
      <w:r>
        <w:rPr>
          <w:rFonts w:ascii="Times New Roman" w:cs="Times New Roman" w:eastAsia="Times New Roman" w:hAnsi="Times New Roman"/>
          <w:sz w:val="14"/>
          <w:szCs w:val="14"/>
          <w:color w:val="auto"/>
        </w:rPr>
        <w:t>for further discussion). The Company recognizes forfeitures as incurred.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Warranty liability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Warranty obligations are incurred in connection with the sale of the Company’s products. Costs to provide for warranty obligations are estimated and recorded as a liability at the time of recording the sale. Warranty reserves include management’s best estimate of the projected costs to repair or to replace any items under warranty, which is based on various factors, including the use of actual claim data to date, results of lab testing, factory quality data, and field monitoring.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A and B Preferred Stock</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xml:space="preserve"> the Company issued shares of (1) Series A-1 Preferred Stock and Series A-2 Preferred Stock (collectively "Series A Preferred Stock") in June 2024 and August 2024, respectively, which were subsequently converted into shares of Series B-1 Preferred Stock and Series B-2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Preferred Stock, respectively, in September 2024, and (2) Series B-3 Preferred Stock in November 2024 (collectively, with the Series B-1 Preferred Stock, Series B-2 Preferred Stock and Series B-3 Preferred Stock, the “Series B Preferred Stock” and together with Series A Preferred Stock, “the Preferred Stock”). The Preferred Stock is redeemable based upon the passage of time and therefore meets the criteria to be classified within temporary equity. Management has elected to recognize changes in the redemption value pursuant to ASC 480-10-S99-3A-15(b). As a result, the Company will remeasure the Preferred Stock to the maximum redemption value at each reporting date but will never be adjusted below its initial carrying value. Adjustments are reflected in Additional paid in capital on the Company’s Consolidated Balance Sheets.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Production Tax Credits under Internal Revenue Code 45X (“PTC”)</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 w:cs="Times New Roman" w:eastAsia="Times New Roman" w:hAnsi="Times New Roman"/>
          <w:sz w:val="14"/>
          <w:szCs w:val="14"/>
          <w:i w:val="1"/>
          <w:iCs w:val="1"/>
          <w:color w:val="auto"/>
        </w:rPr>
        <w:t>Accounting for Government Grants and Disclosure of Government Assistance,</w:t>
      </w:r>
      <w:r>
        <w:rPr>
          <w:rFonts w:ascii="Times New Roman" w:cs="Times New Roman" w:eastAsia="Times New Roman" w:hAnsi="Times New Roman"/>
          <w:sz w:val="14"/>
          <w:szCs w:val="14"/>
          <w:color w:val="auto"/>
        </w:rPr>
        <w:t xml:space="preserve"> 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The PTC is a non-monetary asset since the Company’s intention is to sell the tax credit to a third-party and is recorded at the value that is expected to be received from the sale in Grant Receivable, net on the Company’s Consolidated Balance Sheets and is subsequently recognized in Cost of goods sold in the Consolidated Statements of Operations and Comprehensive Loss when the inventory is sold. In the event the PTC is sold, upon the receipt of the cash payments, </w:t>
      </w:r>
      <w:r>
        <w:rPr>
          <w:rFonts w:ascii="Times New Roman" w:cs="Times New Roman" w:eastAsia="Times New Roman" w:hAnsi="Times New Roman"/>
          <w:sz w:val="14"/>
          <w:szCs w:val="14"/>
          <w:color w:val="424242"/>
        </w:rPr>
        <w:t>the Company will record offsets to Grant Receivable, net</w:t>
      </w:r>
      <w:r>
        <w:rPr>
          <w:rFonts w:ascii="Times New Roman" w:cs="Times New Roman" w:eastAsia="Times New Roman" w:hAnsi="Times New Roman"/>
          <w:sz w:val="14"/>
          <w:szCs w:val="14"/>
          <w:color w:val="auto"/>
        </w:rPr>
        <w:t>. Differences in the recorded value of the PTC and the sale price will be recognized as an adjustment to cost of goods sold in the Consolidated Statements of Operations and Comprehensive Loss.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Option</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The Company has elected the option under ASC 825-10,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xml:space="preserve"> ("ASC 825"), to measure the Delayed Draw Term Loan, including all tranches of fundings received in 2024 (see Note 3, C</w:t>
      </w:r>
      <w:r>
        <w:rPr>
          <w:rFonts w:ascii="Times New Roman" w:cs="Times New Roman" w:eastAsia="Times New Roman" w:hAnsi="Times New Roman"/>
          <w:sz w:val="14"/>
          <w:szCs w:val="14"/>
          <w:i w:val="1"/>
          <w:iCs w:val="1"/>
          <w:color w:val="auto"/>
        </w:rPr>
        <w:t>redit and Securities Purchase Transaction</w:t>
      </w:r>
      <w:r>
        <w:rPr>
          <w:rFonts w:ascii="Times New Roman" w:cs="Times New Roman" w:eastAsia="Times New Roman" w:hAnsi="Times New Roman"/>
          <w:sz w:val="14"/>
          <w:szCs w:val="14"/>
          <w:color w:val="auto"/>
        </w:rPr>
        <w:t>) at fair value. The fair value option may be elected on an instrument-by-instrument basis and is irrevocable unless a new election date occurs. When the fair value option is elected for an instrument, unrealized gains and losses for such instrument is reported in the Consolidated Statements of Operations and Comprehensive Loss at each subsequent reporting date. Upfront costs and fees related to items for which the fair value option is elected shall be recognized in earnings as incurred and not deferred. These amounts are included in Other expense in the Consolidated Statements of Operations and Comprehensive Loss. The gains or losses attributable to changes in instrument-specific risk are included in Change in fair value of debt – credit risk in Accumulated other comprehensive Loss.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October 2023, the FASB issued ASU 2023-06, </w:t>
      </w:r>
      <w:r>
        <w:rPr>
          <w:rFonts w:ascii="Times New Roman" w:cs="Times New Roman" w:eastAsia="Times New Roman" w:hAnsi="Times New Roman"/>
          <w:sz w:val="14"/>
          <w:szCs w:val="14"/>
          <w:i w:val="1"/>
          <w:iCs w:val="1"/>
          <w:color w:val="auto"/>
        </w:rPr>
        <w:t>Disclosure Agreements - Codification Amendments in Response to the SEC’s Disclosure Update and Simplification Initiative</w:t>
      </w:r>
      <w:r>
        <w:rPr>
          <w:rFonts w:ascii="Times New Roman" w:cs="Times New Roman" w:eastAsia="Times New Roman" w:hAnsi="Times New Roman"/>
          <w:sz w:val="14"/>
          <w:szCs w:val="14"/>
          <w:color w:val="auto"/>
        </w:rPr>
        <w:t>.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The Company is currently assessing the potential impact this amendment could have on its disclosures.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 Summary of Significant Accounting Policies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which requires an entity, even one with only one reportable segment, to disclose significant segment expenses and other segment items on an annual and interim basis, and provide in interim periods all disclosures about a reportable segment’s profit or loss and assets that are currently required annually. Additionally, it requires an entity to disclose the title and position of the chief operating decision maker. ASU 2023-07 does not change how an entity identifies its operating segments, aggregates them or applies the quantitative thresholds to determine its reportable segments. ASU 2023-07 is effective for fiscal years beginning after December 15, 2023 and interim periods within fiscal years beginning after December 15, 2024. Early adoption is permitted. Entities should apply the amendments in ASU 2023-07 retrospectively to all prior periods presented in the financial statements. The Company adopted ASU 2023-07 as of December 31, 2024. See Note 22,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for further discussion.</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which requires additional disclosures related to the effective tax rate reconciliation and taxes paid. The amendment is effective for periods beginning after December 15, 2024, and the Company does not anticipate a material change in the financial statements and related disclosure.</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The amendments in this update require disaggregation of certain expense captions into specified categories in disclosures within the footnotes to the financial statements. This update is effective for annual reporting periods beginning after December 15, 2026, and interim reporting periods beginning after December 15, 2027, though early adoption is permitted. The Company is currently assessing the potential impact this amendment could have on its financial statements and disclosures.</w:t>
      </w:r>
    </w:p>
    <w:p>
      <w:pPr>
        <w:spacing w:after="0" w:line="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2024-04, </w:t>
      </w:r>
      <w:r>
        <w:rPr>
          <w:rFonts w:ascii="Times New Roman" w:cs="Times New Roman" w:eastAsia="Times New Roman" w:hAnsi="Times New Roman"/>
          <w:sz w:val="14"/>
          <w:szCs w:val="14"/>
          <w:i w:val="1"/>
          <w:iCs w:val="1"/>
          <w:color w:val="auto"/>
        </w:rPr>
        <w:t>Debt-Debt with Conversion and Other Options (Subtopic 470-20): Induced Conversions of Convertible Debt Instruments</w:t>
      </w:r>
      <w:r>
        <w:rPr>
          <w:rFonts w:ascii="Times New Roman" w:cs="Times New Roman" w:eastAsia="Times New Roman" w:hAnsi="Times New Roman"/>
          <w:sz w:val="14"/>
          <w:szCs w:val="14"/>
          <w:color w:val="auto"/>
        </w:rPr>
        <w:t>. The amendments in this update clarify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currently assessing the potential impact this amendment could have on its financial statements and disclosures.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other accounting standards or updates during the year ended December 31, 2024 that had a material impact on the Company’s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Credit and Securities Purchase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and Guaranty Agreement (“Credit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Delayed Draw Term Loan</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21, 2024, the Company entered into a credit and guaranty agreement (the “Credit Agreement”) with CCM Denali Debt Holdings, LP, an affiliate of Cerberus Capital Management LP (herein after referred to as “Cerberus”, “Denali”, “Lender”, “Holder”). As a result of this transaction, Cerberus agreed to provide a $210,500 secured multi-draw facility to be made in four installments (“tranches”, and collectively, the (“Delayed Draw Term Loan” or “DDTL”) as well as a $105,000 revolving credit facility (“Revolving Facility”), to be made available at the Lenders’ sole discretion and only if the Delayed Draw Term Loan is fully funded. On June 21, 2024, the initial $75,000 installment was funded (the “Initial Draw”). On August 29, 2024, the full amount of the August tranche</w:t>
      </w:r>
    </w:p>
    <w:p>
      <w:pPr>
        <w:spacing w:after="0" w:line="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of $30,000 was funded. On October 31, 2024, the full amount of the October tranche of $65,000 was funded. The loan commitment asset of $21,731 on the Consolidated Balance Sheets as of December 31, 2024 related to the January 31 tranche. Subsequently the January 31, 2025 tranche for the full $40,500 was funded, completing the scheduled fundings under the Delayed Draw Term Loan. See Note 23,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further discussion.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Credit and Securities Purchase Transaction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On November 26, 2024, the Company amended the Credit Agreement (the “Credit Agreement Amendment”), by and among the Company, certain of the Company’s subsidiaries as guarantors party thereto and the Lender, pursuant to which among other things, the applicability of the Consolidated Revenue and EBITDA financial covenants were deferred until December 31, 2025 and certain provisions were amended to conform with comparable provisions in the DOE Loan Facility.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for further discussion.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Purchase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21, 2024, the Company entered into a Securities Purchase Agreement (the “SPA”) with CCM Denali Equity Holdings, LP (the “Purchaser”).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SPA Warrant</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SPA, the Company issued a warrant to purchase 43,276,194 shares of common stock representing a collective ownership of 19.9% (the “SPA Warrant”) of our outstanding shares of (inclusive of Series A-1 Preferred Stock – see below) common stock prior to the issuance. The SPA Warrant has a ten-year term and an exercise price of $0.01 per share. The SPA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Until the Company received stockholder approval on September 10, 2024, the Company could not issue additional shares of common stock exceeding 19.99% of shares of common stock issued and outstanding as of the date of the Initial Draw (such percentage, as may be adjusted in accordance with the terms of the Warrant, the “Conversion Cap”) upon exercise of the Warrant, and would have been required to issue, at the option of the Lender, Series A Preferred Stock or additional warrants on common stock upon a draw under the Delayed Draw Term Loan. Following shareholder approval received, the Conversion Cap increased to 49.9% of the number of shares of common stock issued and outstanding as of the applicable measurement date; and the holder of the Warrant has the option to amend the Conversion Cap to any percentage less than 49.9%.</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SPA Warrant is exercisable at the holder’s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of underlying common stock less the SPA Warrant exercise price at the request of the holder. The SPA Warrant meets the criteria for liability classification under ASC 480 and is recognized at fair value with changes in fair value included in Change in fair value of derivatives - related parties in the Consolidated Statements of Operations and Comprehensive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Contingent Warrants</w:t>
      </w:r>
    </w:p>
    <w:p>
      <w:pPr>
        <w:spacing w:after="0" w:line="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Upon the achievement of performance milestones on dates specified in the Credit Agreement, the Company received additional funds and issued at the option of the Lender, Preferred Stock (Series A Preferred Stock, if prior to shareholder approval or Series B Preferred Stock if after shareholder approval) or warrants on common stock (collectively “Contingent Warrants”) under the SPA in an amount equal to the applicable percentage, up to an aggregate of 33.0% ownership limitation on a fully diluted basis at such time the Delayed Draw Term Loan is fully drawn. The applicable percentage is subject to increase by up to 8.0% to up to 41.0% on a fully diluted basis to the extent that milestones are not met on the final measurement date on April 30, 2025, in which case additional Contingent Warrants would be issuable. The Contingent Warrants meet the criteria for liability classification under ASC 480. As such, the Contingent Warrants are included in Warrants liability - related party on the Consolidated Balance Sheets at fair value as of December 31, 2024. The change in fair value of the Contingent warrants is included in Change in fair value of derivatives</w:t>
      </w:r>
    </w:p>
    <w:p>
      <w:pPr>
        <w:ind w:firstLine="5"/>
        <w:spacing w:after="0" w:line="266" w:lineRule="auto"/>
        <w:tabs>
          <w:tab w:leader="none" w:pos="9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related parties on the Company’s Consolidated Statements of Operations and Comprehensive Loss. See Note 14, </w:t>
      </w:r>
      <w:r>
        <w:rPr>
          <w:rFonts w:ascii="Times New Roman" w:cs="Times New Roman" w:eastAsia="Times New Roman" w:hAnsi="Times New Roman"/>
          <w:sz w:val="14"/>
          <w:szCs w:val="14"/>
          <w:i w:val="1"/>
          <w:iCs w:val="1"/>
          <w:color w:val="auto"/>
        </w:rPr>
        <w:t>Warrants Liability</w:t>
      </w:r>
      <w:r>
        <w:rPr>
          <w:rFonts w:ascii="Times New Roman" w:cs="Times New Roman" w:eastAsia="Times New Roman" w:hAnsi="Times New Roman"/>
          <w:sz w:val="14"/>
          <w:szCs w:val="14"/>
          <w:color w:val="auto"/>
        </w:rPr>
        <w:t>, for further discussion of the SPA Warrant and Contingent Warrants.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Credit and Securities Purchase Transaction </w:t>
      </w:r>
      <w:r>
        <w:rPr>
          <w:rFonts w:ascii="Times New Roman" w:cs="Times New Roman" w:eastAsia="Times New Roman" w:hAnsi="Times New Roman"/>
          <w:sz w:val="14"/>
          <w:szCs w:val="14"/>
          <w:color w:val="auto"/>
        </w:rPr>
        <w:t>(cont.)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Series A-1 Preferred Stock</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June 21, 2024, the Company filed with the Secretary of State of the State of Delaware the Certificate of Designation of Series A-1 Non-Voting Non-Convertible Preferred Stock (the “Series A-1 Certificate of Designation” and the shares issuable thereunder, the “Series A-1 Preferred Stock”) and issued 59 shares of Series A-1 Preferred Stock to satisfy the terms of the Credit Agreement. Under the terms of the Series A-1 Certificate of Designation, each share of Series A-1 Preferred Stock had an original issue price of $455,822.59 (the “A-1 Original Issue Price”) and a liquidation value, payable with the common stock, as if such shares were convertible into an aggregate of 31,940,063 shares of common stock, subject to adjustment. The Series A-1 Preferred Stock was non-voting and non-convertible into common stock. Holders of the Series A-1 Preferred Stock were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59 shares of Series A-1 Preferred Stock issued to Cerberus converted into shares of Series B-1 Preferred Stock once stockholder approval was obtained on September 10, 2024. See Series B Preferred Stock discussion below.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Series A-2 Preferred Stock</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29, 2024, the Company filed with the Secretary of State of the State of Delaware the Series A-2 Certificate of Designation (the “Series A-2 Certificate of Designation”) and the shares issuable thereunder, the “Series A-2 Preferred Stock”).</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terms of the Series A-2 Certificate of Designation, each share of Series A-2 Preferred Stock had an original issue price of $9,555,515.30 (the “A-2 Original Issue Price”) and a liquidation value, payable pari passu with the common stock, as if such share was convertible into an aggregate of 28,806,463 shares of common stock, subject to adjustment. The Series A-2 Preferred Stock was non-voting and non-convertible into common stock. Holders of the Series A-2 Preferred Stock were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were substantially identical to the Series A-1 Preferred Stock.</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29, 2024, in connection with the August Draw, and pursuant to the terms and conditions of the Credit Agreement between the Company and Cerberus, the applicable percentage increased by 4.9%, and as a result the Company issued to Cerberus 7 shares of Series A-2 Preferred Stock.</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September 12, 2024, the 7 shares of Series A-2 Preferred issued to Cerberus converted into shares of Series B-2 Preferred Stock once stockholder approval was obtained. See Series B Preferred Stock discussion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Series B Preferred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11, 2024, the Company filed with the Secretary of State of the State of Delaware the Certificate of Designation of Series B-1 Non-Voting Convertible Preferred Stock (the “Series B-1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of Designation” and the shares issuable thereunder, the “Series B-1 Preferred Stock”) and the Certificate of Designation of Series B-2 Non-Voting Convertible Preferred Stock (the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B-2 Certificate of Designation” and the shares issuable thereunder, the “Series B-2 Preferred Stock”).</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1, 2024, the Company filed with the Secretary of State of the State of Delaware the Certificate of Designation of Series B-3 Non-Voting Convertible Preferred Stock (the “Series B-3 Certificate of Designation” and the shares issuable thereunder, the “Series B-3 Preferred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Series B Preferred Stock has a par value of $.0001 per share. The table below summarizes the Company’s outstanding Series B Preferred Stock as of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Credit and Securities Purchase Transaction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6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Original Issue Price</w:t>
            </w: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 Equivalent</w:t>
            </w:r>
          </w:p>
        </w:tc>
      </w:tr>
      <w:tr>
        <w:trPr>
          <w:trHeight w:val="22"/>
        </w:trPr>
        <w:tc>
          <w:tcPr>
            <w:tcW w:w="2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B-1 Preferred Stock</w:t>
            </w:r>
          </w:p>
        </w:tc>
        <w:tc>
          <w:tcPr>
            <w:tcW w:w="182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9/12/2024</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31.940063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841,999.99</w:t>
            </w:r>
          </w:p>
        </w:tc>
        <w:tc>
          <w:tcPr>
            <w:tcW w:w="8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31.940063</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31,940,063</w:t>
            </w:r>
          </w:p>
        </w:tc>
      </w:tr>
      <w:tr>
        <w:trPr>
          <w:trHeight w:val="191"/>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B-2 Preferred Stock</w:t>
            </w:r>
          </w:p>
        </w:tc>
        <w:tc>
          <w:tcPr>
            <w:tcW w:w="18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9/12/2024</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28.806463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2,322,000</w:t>
            </w:r>
          </w:p>
        </w:tc>
        <w:tc>
          <w:tcPr>
            <w:tcW w:w="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28.806463</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28,806,463</w:t>
            </w:r>
          </w:p>
        </w:tc>
      </w:tr>
      <w:tr>
        <w:trPr>
          <w:trHeight w:val="22"/>
        </w:trPr>
        <w:tc>
          <w:tcPr>
            <w:tcW w:w="2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1"/>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B-3 Preferred Stock</w:t>
            </w:r>
          </w:p>
        </w:tc>
        <w:tc>
          <w:tcPr>
            <w:tcW w:w="182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11/1/2024</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38.259864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3,358,000</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38.259864</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38,259,864</w:t>
            </w:r>
          </w:p>
        </w:tc>
      </w:tr>
      <w:tr>
        <w:trPr>
          <w:trHeight w:val="22"/>
        </w:trPr>
        <w:tc>
          <w:tcPr>
            <w:tcW w:w="21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Conversion rights: 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Dividends: Holders of the Series B Preferred Stock are entitled to receive dividends or distributions on each share of Series B Preferred Stock equal to dividends or distributions actually paid on each share of common stock on an as-converted basis.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Appointment of Directors: At all times when the holders of the Preferred Stock beneficially own at least 10%, 15% or 30% of the capital stock of the Company, the Preferred Stock shareholders, exclusively and voting together as a separate class, will have the right to appoint a maximum of 1, 2 or 3 Directors to the Board of Directors of the Company (the “Board”), respectively. At all times when the holders of the Preferred Stock beneficially own at least 40% of the capital stock of the Company, the Preferred Stock shareholders, exclusively and voting together as a separate class, will have the right to nominate and designate a fourth director, who shall be designated by the Board or the nominating committee of the Board to a class of common directors and thereafter stand for election as a common director on the Board. The Preferred Stock shareholders will have the right to nominate a 4th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Preferred Stock with the Hart-Scott-Rodino Antitrust Improvements Act of 1976, including the submission of any required filings and the expiration or termination of any applicable waiting periods.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Preemptive rights: The Series B Certificates of Designation contain customary preemptive rights that permit the Holders of Series B Preferred Stock to participate in certain future equity offerings by the Company.</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and (ii) June 21, 2029, in the case of the Series B-1 Preferred Stock, August 29, 2029, in the case of the Series B-2 Preferred Stock, or November 1, 2029 in the case of the Series B-3 Preferred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Credit and Securities Purchase Transaction </w:t>
      </w:r>
      <w:r>
        <w:rPr>
          <w:rFonts w:ascii="Times New Roman" w:cs="Times New Roman" w:eastAsia="Times New Roman" w:hAnsi="Times New Roman"/>
          <w:sz w:val="14"/>
          <w:szCs w:val="14"/>
          <w:color w:val="auto"/>
        </w:rPr>
        <w:t>(cont.)</w:t>
      </w: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Redemption Rights: At any time after June 21, 2029, in the case of the Series B-1 Preferred Stock, August 29, 2029, in the case of the Series B-2 Preferred Stock, or November 1, 2029 in the case of the Series B-3 Preferred Stock, the outstanding shares of Series B Preferred Stock held by any holder become redeemable for cash at the redemption price. The redemption price will be an amount per share equal to the greater of (i) the B-1 Original Issue Price, the B-2 Original Issue Price, or the B-3 Original Issue Price,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all then outstanding shares of Series B Preferred Stock were classified as mezzanine equity on the Consolidated Balance Sheets at its redemption value because it is probable of becoming redeemable. The Company recorded accretion of the Series B Preferred Stock, which reduces additional paid-in capital, on the Statements of Shareholders' Deficit.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Atlas Payoff Letter and Insurer Letter Agreement</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On June 21, 2024 (the “Atlas Facility Termination Date”), the Company entered into a payoff letter agreement (the “Atlas Payoff Letter”), by and among the Company, ACP Post Oak Credit I LLC (“Atlas”) and the Atlas Lenders (as defined below) relating to the Company’s Senior Secured Term Loan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dated as of July 29, 2022 (the “Atlas Credit Agreement”), by and among the Company and Atlas, as lender, administrative agent and collateral agent, and the lenders from time to time party thereto (collectively with Atlas, the “Atlas Lenders”). Pursuant to the Atlas Payoff Letter, as of the Atlas Facility Termination Date, all outstanding obligations under the Atlas Credit Agreement and the related facility documents were deemed paid and satisfied in full and all security interests and other liens granted to or held by the Atlas Lenders were terminated and released. Under the Atlas Payoff Letter, the Company agreed to pay to the Atlas Lenders on the Atlas Facility Termination Date (a) approximately $11,900 (which was released from the interest escrow account maintained pursuant to the Atlas Credit Agreement, and (b) $8,000. Atlas also agreed, in lieu of amounts due from the Company, to receive a $1,000 participation in the Credit Agreement, as negotiated between Atlas and the Lender. The Company has no obligation under the participation agreement between Atlas and the Lender. The payoff of the Senior Secured Term Loan resulted in a restructuring gain. These amounts are included in Gain (loss) on debt extinguishment on the Consolidated Statements of Operations and Comprehensive Loss.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for further discussion.</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termination of the Atlas Credit Agreement, the Company entered into an insurer letter agreement, dated as of June 21, 2024 (the “Insurer Letter Agreement”), with the insurance companies that issued insurance policies to certain Atlas Lenders in connection with the Atlas Credit Agreement (the “Atlas Insurers”) pursuant to which the Company and the Atlas Insurers agreed that the Company will pay to the Atlas Insurers, subject to the terms and conditions of the Insurer Letter Agreement, $3,000 on December 31, 2024, and on June 30, 2025, subject to the absence of certain events of default under the Credit Agreement, an additional $4,000. The Company paid $3,000 in December 2024, and the remaining $4,000 is included in Accrued expenses on the Consolidated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 Recognition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revenues comprised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revenue</w:t>
            </w:r>
          </w:p>
        </w:tc>
        <w:tc>
          <w:tcPr>
            <w:tcW w:w="4900" w:type="dxa"/>
            <w:vAlign w:val="bottom"/>
            <w:tcBorders>
              <w:bottom w:val="single" w:sz="8" w:color="CCEEFF"/>
            </w:tcBorders>
            <w:gridSpan w:val="2"/>
            <w:shd w:val="clear" w:color="auto" w:fill="CCEEFF"/>
          </w:tcPr>
          <w:p>
            <w:pPr>
              <w:jc w:val="right"/>
              <w:ind w:right="1016"/>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revenue</w:t>
            </w:r>
          </w:p>
        </w:tc>
        <w:tc>
          <w:tcPr>
            <w:tcW w:w="3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4900" w:type="dxa"/>
            <w:vAlign w:val="bottom"/>
            <w:gridSpan w:val="2"/>
            <w:shd w:val="clear" w:color="auto" w:fill="CCEEFF"/>
          </w:tcPr>
          <w:p>
            <w:pPr>
              <w:jc w:val="right"/>
              <w:ind w:right="1016"/>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209"/>
              <w:spacing w:after="0"/>
              <w:rPr>
                <w:sz w:val="20"/>
                <w:szCs w:val="20"/>
                <w:color w:val="auto"/>
              </w:rPr>
            </w:pPr>
            <w:r>
              <w:rPr>
                <w:rFonts w:ascii="Times New Roman" w:cs="Times New Roman" w:eastAsia="Times New Roman" w:hAnsi="Times New Roman"/>
                <w:sz w:val="14"/>
                <w:szCs w:val="14"/>
                <w:color w:val="auto"/>
              </w:rPr>
              <w:t>75</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4. Revenue Recognition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we had two customers who accounted for 50.6% and 33.2% of the total revenue, as the Company focused on the transition to the new manufacturing line. For the year ended December 31, 2023, we had two customers who accounted for 49.9% and 45.2% of the total revenue.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Contract liabilities</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following table provides information about contract assets and contract liabilities from contracts with customers. Contract assets, current, Contract liabilities, current and Contract liabilities, long-term are included separately on the Consolidated Balance Sheets and contract assets expected to be recognized in greater than twelve months are included under Other assets, net.</w:t>
      </w: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40" w:type="dxa"/>
            <w:vAlign w:val="bottom"/>
            <w:tcBorders>
              <w:bottom w:val="single" w:sz="8" w:color="auto"/>
            </w:tcBorders>
          </w:tcPr>
          <w:p>
            <w:pPr>
              <w:spacing w:after="0"/>
              <w:rPr>
                <w:sz w:val="15"/>
                <w:szCs w:val="15"/>
                <w:color w:val="auto"/>
              </w:rPr>
            </w:pPr>
          </w:p>
        </w:tc>
      </w:tr>
      <w:tr>
        <w:trPr>
          <w:trHeight w:val="182"/>
        </w:trPr>
        <w:tc>
          <w:tcPr>
            <w:tcW w:w="70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26,349</w:t>
            </w:r>
          </w:p>
        </w:tc>
        <w:tc>
          <w:tcPr>
            <w:tcW w:w="8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assets increased by $5,737 during the year ended December 31, 2024 due to recognition of revenues for which invoicing has not yet occurred.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information about changes in Contract liabilities:</w:t>
            </w: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29"/>
        </w:trPr>
        <w:tc>
          <w:tcPr>
            <w:tcW w:w="7180" w:type="dxa"/>
            <w:vAlign w:val="bottom"/>
          </w:tcPr>
          <w:p>
            <w:pPr>
              <w:spacing w:after="0"/>
              <w:rPr>
                <w:sz w:val="24"/>
                <w:szCs w:val="24"/>
                <w:color w:val="auto"/>
              </w:rPr>
            </w:pPr>
          </w:p>
        </w:tc>
        <w:tc>
          <w:tcPr>
            <w:tcW w:w="344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Pr>
          <w:p>
            <w:pPr>
              <w:spacing w:after="0"/>
              <w:rPr>
                <w:sz w:val="24"/>
                <w:szCs w:val="24"/>
                <w:color w:val="auto"/>
              </w:rPr>
            </w:pPr>
          </w:p>
        </w:tc>
      </w:tr>
      <w:tr>
        <w:trPr>
          <w:trHeight w:val="22"/>
        </w:trPr>
        <w:tc>
          <w:tcPr>
            <w:tcW w:w="7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7180" w:type="dxa"/>
            <w:vAlign w:val="bottom"/>
          </w:tcPr>
          <w:p>
            <w:pPr>
              <w:spacing w:after="0"/>
              <w:rPr>
                <w:sz w:val="15"/>
                <w:szCs w:val="15"/>
                <w:color w:val="auto"/>
              </w:rPr>
            </w:pP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beginning of the period</w:t>
            </w:r>
          </w:p>
        </w:tc>
        <w:tc>
          <w:tcPr>
            <w:tcW w:w="1360" w:type="dxa"/>
            <w:vAlign w:val="bottom"/>
            <w:tcBorders>
              <w:bottom w:val="single" w:sz="8" w:color="CCEEFF"/>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beginning balance recognized in revenue</w:t>
            </w:r>
          </w:p>
        </w:tc>
        <w:tc>
          <w:tcPr>
            <w:tcW w:w="1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(3,525)</w:t>
            </w:r>
          </w:p>
        </w:tc>
      </w:tr>
      <w:tr>
        <w:trPr>
          <w:trHeight w:val="22"/>
        </w:trPr>
        <w:tc>
          <w:tcPr>
            <w:tcW w:w="7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recognized in current period</w:t>
            </w:r>
          </w:p>
        </w:tc>
        <w:tc>
          <w:tcPr>
            <w:tcW w:w="1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 payments received from customers</w:t>
            </w:r>
          </w:p>
        </w:tc>
        <w:tc>
          <w:tcPr>
            <w:tcW w:w="1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10,456</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end of the period</w:t>
            </w:r>
          </w:p>
        </w:tc>
        <w:tc>
          <w:tcPr>
            <w:tcW w:w="136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26,349</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Contract liabilities of $22,039 as of December 31, 2024 are expected to be recognized within the next twelve months and long-term contract liabilities of $4,310 are expected to be recognized as revenue in greater than twelve months. Contract assets of $13,096 as of December 31, 2024 are expected to be recognized within the next twelve months and long-term contract assets of $963 are expected to be recognized as accounts receivable in greater than twelve months.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 w:cs="Times New Roman" w:eastAsia="Times New Roman" w:hAnsi="Times New Roman"/>
          <w:sz w:val="14"/>
          <w:szCs w:val="14"/>
          <w:i w:val="1"/>
          <w:iCs w:val="1"/>
          <w:color w:val="auto"/>
        </w:rPr>
        <w:t>Summary of Significant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Policies. </w:t>
      </w:r>
      <w:r>
        <w:rPr>
          <w:rFonts w:ascii="Times New Roman" w:cs="Times New Roman" w:eastAsia="Times New Roman" w:hAnsi="Times New Roman"/>
          <w:sz w:val="14"/>
          <w:szCs w:val="14"/>
          <w:color w:val="auto"/>
        </w:rPr>
        <w:t>As of December 31, 2024, the Company's remaining performance obligations were approximately $97,239. The Company expects to recognize revenue of approximately 91%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remaining performance obligations over the next twelve months, with the remainder recognized thereafter.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Cash, Cash Equivalents and Restricted Cash</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Restricted cash - current as of December 31, 2024 consists of accounts related to the DOE Loan Facility for reserves related to warranty claims, debt servicing, the Davis Bacon Act and secured letters of credit.</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Restricted cash - current as of December 31, 2023 consisted of accounts related to escrow deposits related to U.S. Custom Bonds insurance, and escrow deposits related to our credit card program agreements.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5. Cash, Cash Equivalents and Restricted Cash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Long-term restricted cash as of December 31, 2024 relates to, the Minimum Liquidity covenant, as defined in the Credit Agreement and the DOE Loan Facility, the Company shall not permit cash and cash equivalents at any time be less than $15,000.</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Long-term restricted cash as of December 31, 2023 relates to interest that was required to be held in escrow per the Senior Secured Term Loan Agreement in an amount equal to the next four quarterly interest payments owed as of the balance sheet date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for further discussion). In connection with the June 2024 SPA and the Credit Agreement, the Company reached an agreement to payoff and terminate the Senior Secured Term Loan. Accordingly, the restricted cash held in the related escrow account was released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and Note 3, </w:t>
      </w:r>
      <w:r>
        <w:rPr>
          <w:rFonts w:ascii="Times New Roman" w:cs="Times New Roman" w:eastAsia="Times New Roman" w:hAnsi="Times New Roman"/>
          <w:sz w:val="14"/>
          <w:szCs w:val="14"/>
          <w:i w:val="1"/>
          <w:iCs w:val="1"/>
          <w:color w:val="auto"/>
        </w:rPr>
        <w:t>Credit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Agreement and Securities Purchase Transaction </w:t>
      </w:r>
      <w:r>
        <w:rPr>
          <w:rFonts w:ascii="Times New Roman" w:cs="Times New Roman" w:eastAsia="Times New Roman" w:hAnsi="Times New Roman"/>
          <w:sz w:val="14"/>
          <w:szCs w:val="14"/>
          <w:color w:val="auto"/>
        </w:rPr>
        <w:t>for further discussion).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cash equivalents, and restricted cash reported within the accompanying Consolidated Balance Sheets that sum to the total of the same such amounts presented in the accompanying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 consisted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gridSpan w:val="7"/>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74,292</w:t>
            </w:r>
          </w:p>
        </w:tc>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4"/>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69,473</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 current</w:t>
            </w: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1340" w:type="dxa"/>
            <w:vAlign w:val="bottom"/>
            <w:tcBorders>
              <w:top w:val="single" w:sz="8" w:color="auto"/>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103,362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gridSpan w:val="3"/>
          </w:tcPr>
          <w:p>
            <w:pPr>
              <w:spacing w:after="0"/>
              <w:rPr>
                <w:sz w:val="17"/>
                <w:szCs w:val="17"/>
                <w:color w:val="auto"/>
              </w:rPr>
            </w:pPr>
          </w:p>
        </w:tc>
        <w:tc>
          <w:tcPr>
            <w:tcW w:w="7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84,667</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Inventory</w:t>
            </w: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information about inventory balances:</w:t>
            </w: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gridSpan w:val="7"/>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4"/>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15,487</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Inventory</w:t>
            </w: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top w:val="single" w:sz="8" w:color="auto"/>
              <w:bottom w:val="single" w:sz="8" w:color="auto"/>
            </w:tcBorders>
            <w:gridSpan w:val="2"/>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32,826</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720" w:type="dxa"/>
            <w:vAlign w:val="bottom"/>
            <w:tcBorders>
              <w:top w:val="single" w:sz="8" w:color="auto"/>
              <w:bottom w:val="single" w:sz="8" w:color="auto"/>
            </w:tcBorders>
            <w:gridSpan w:val="2"/>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17,070</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Property, Plant and Equipment, Net</w:t>
            </w: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36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provides information about property, plant and equipment, net balances:</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gridSpan w:val="7"/>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26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2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360" w:type="dxa"/>
            <w:vAlign w:val="bottom"/>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142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2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5 - 10 years</w:t>
            </w:r>
          </w:p>
        </w:tc>
        <w:tc>
          <w:tcPr>
            <w:tcW w:w="1420" w:type="dxa"/>
            <w:vAlign w:val="bottom"/>
            <w:tcBorders>
              <w:bottom w:val="single" w:sz="8" w:color="CCEEFF"/>
            </w:tcBorders>
            <w:gridSpan w:val="3"/>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4"/>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26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5  years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w:t>
            </w:r>
          </w:p>
        </w:tc>
        <w:tc>
          <w:tcPr>
            <w:tcW w:w="2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5 - 10 years</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Lesser of useful life/remaining lease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2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2 - 3 years</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9,955</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related to property, plant and equipment was $7,809 and $9,668 during the years ended December 31, 2024 and 2023,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7. Property, Plant and Equipment, Net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 the years ended December 31, 2024 and 2023, the Company recorded a loss from write-down of property, plant and equipment of $9,133 and $7,159, respectively. The 2023 write-downs were mainly due to replacement of equipment, outsourcing of certain production processes, and the shift in production from the Gen 2.3 battery system to the Z3™ battery system. The 2024 write-downs were primarily related to design changes from the Z3™-Phase 1 to Z3™-Phase 2 production in which the Phase 1 production assets could not be utilized or repurposed for Phase 2 production. Additionally, the 2024 amount contains costs for disposal of equipment and tooling that was used for manufacturing of the Gen 2.3 battery, but cannot be repurposed for the Eos Z3 battery production.</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Included in construction in progress assets is capitalized interest costs of $966 as of December 31, 2023. On June 28, 2024, the Company successfully began commercial operations on the first manufacturing line. Accordingly, the assets classified as construction in progress were reclassified to equipment, leasehold improvements, furniture and tooling as of June 28, 2024. Prior to reclassification on June 28, 2024, construction in progress included a total of $2,807 of capitalized interest, with $1,841 capitalized in the current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Intangible Assets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consisted of various patents valued at $400, which represents the cost to acquire the patents. These patents are determined to have useful lives and are amortized into the results of operations over ten years. During the years ended December 31, 2024 and 2023, the Company recorded amortization expense of $40 for each period, related to patents.</w:t>
      </w:r>
    </w:p>
    <w:p>
      <w:pPr>
        <w:spacing w:after="0" w:line="7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The Company capitalized $172 of costs for internal-use software, including $34 of costs capitalized during the year ended December 31, 2024. The software has a useful life and is amortized into the results of operations over 3 years. The Company recorded amortization expense of $50 and $43 and for the years ended December 31, 2024 and 2023, respectively, related to software.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tcPr>
          <w:p>
            <w:pPr>
              <w:spacing w:after="0"/>
              <w:rPr>
                <w:sz w:val="20"/>
                <w:szCs w:val="20"/>
                <w:color w:val="auto"/>
              </w:rPr>
            </w:pPr>
            <w:r>
              <w:rPr>
                <w:rFonts w:ascii="Times New Roman" w:cs="Times New Roman" w:eastAsia="Times New Roman" w:hAnsi="Times New Roman"/>
                <w:sz w:val="14"/>
                <w:szCs w:val="14"/>
                <w:color w:val="auto"/>
              </w:rPr>
              <w:t>Estimated future amortization expense of intangible assets as of December 31, 2024 are as follows:</w:t>
            </w: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3"/>
        </w:trPr>
        <w:tc>
          <w:tcPr>
            <w:tcW w:w="9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
        </w:trPr>
        <w:tc>
          <w:tcPr>
            <w:tcW w:w="9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91"/>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2"/>
        </w:trPr>
        <w:tc>
          <w:tcPr>
            <w:tcW w:w="9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1"/>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2"/>
        </w:trPr>
        <w:tc>
          <w:tcPr>
            <w:tcW w:w="9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2"/>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92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2"/>
        </w:trPr>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Notes Receivable, Net and Variable Interest Entities (“VIEs”) Consideration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Notes receivable primarily consist of amounts due to the Company related to the financing we offered to certain customers. The Company reports notes receivable at the principal balance outstanding less an allowance for losses. The estimate of credit losses is based on historical trends, customers’ financial condition and current economic trends. The Company charges interest at a fixed rate and calculates interest income by applying the effective rate to the outstanding principal balance.</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had notes receivable, net of $847 and $863 outstanding as of December 31, 2024 and 2023, respectively. These amounts are included in Other assets, net and Other current assets in the accompanying Consolidated Balance Sheets. As of December 31, 2024 and 2023, respectively, the allowance for expected credit loss related to the notes receivable amounted to $37 and $2.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9. Notes Receivable, Net and Variable Interest Entities (“VIEs”) Consideration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customer to whom the Company offers financing through notes receivables is a VIE. However, the Company is not the primary beneficiary, because the Company does not have power to direct the activities of the VIE that most significantly impacts the VIE’s economic performance. Therefore, the VIE is not consolidated into the Company’s Consolidated Financial Statements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maximum loss exposure is limited to the carrying value of notes receivable as of the balances sheet dates.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Accrued Expenses</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expenses were as follows:</w:t>
            </w:r>
          </w:p>
        </w:tc>
        <w:tc>
          <w:tcPr>
            <w:tcW w:w="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80" w:type="dxa"/>
            <w:vAlign w:val="bottom"/>
            <w:gridSpan w:val="5"/>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44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w:t>
            </w:r>
          </w:p>
        </w:tc>
        <w:tc>
          <w:tcPr>
            <w:tcW w:w="1440" w:type="dxa"/>
            <w:vAlign w:val="bottom"/>
            <w:tcBorders>
              <w:bottom w:val="single" w:sz="8" w:color="CCEEFF"/>
            </w:tcBorders>
            <w:gridSpan w:val="2"/>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4,811</w:t>
            </w:r>
          </w:p>
        </w:tc>
        <w:tc>
          <w:tcPr>
            <w:tcW w:w="1480" w:type="dxa"/>
            <w:vAlign w:val="bottom"/>
            <w:tcBorders>
              <w:bottom w:val="single" w:sz="8" w:color="CCEEFF"/>
            </w:tcBorders>
            <w:gridSpan w:val="3"/>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4,553</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Warranty reserve </w:t>
            </w:r>
            <w:r>
              <w:rPr>
                <w:rFonts w:ascii="Times New Roman" w:cs="Times New Roman" w:eastAsia="Times New Roman" w:hAnsi="Times New Roman"/>
                <w:sz w:val="18"/>
                <w:szCs w:val="18"/>
                <w:color w:val="auto"/>
                <w:vertAlign w:val="superscript"/>
              </w:rPr>
              <w:t>(1)</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6,197</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 and professional expenses</w:t>
            </w:r>
          </w:p>
        </w:tc>
        <w:tc>
          <w:tcPr>
            <w:tcW w:w="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1,709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10,710</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contract losses</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3,351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 premium payable, current</w:t>
            </w:r>
          </w:p>
        </w:tc>
        <w:tc>
          <w:tcPr>
            <w:tcW w:w="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2,605</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5,686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4,916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w:t>
            </w:r>
          </w:p>
        </w:tc>
        <w:tc>
          <w:tcPr>
            <w:tcW w:w="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22,032</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32,332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7"/>
                <w:szCs w:val="7"/>
                <w:color w:val="auto"/>
              </w:rPr>
              <w:t xml:space="preserve">(1) </w:t>
            </w:r>
            <w:r>
              <w:rPr>
                <w:rFonts w:ascii="Times New Roman" w:cs="Times New Roman" w:eastAsia="Times New Roman" w:hAnsi="Times New Roman"/>
                <w:sz w:val="11"/>
                <w:szCs w:val="11"/>
                <w:color w:val="auto"/>
              </w:rPr>
              <w:t>Refer to the table below for the warranty reserve activity.</w:t>
            </w: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9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69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Included in Other accrued expenses in the table above as of December 31, 2024, is $4,000 payable in accordance with the Insurer Letter Agreement.</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See Note 3, </w:t>
            </w:r>
            <w:r>
              <w:rPr>
                <w:rFonts w:ascii="Times New Roman" w:cs="Times New Roman" w:eastAsia="Times New Roman" w:hAnsi="Times New Roman"/>
                <w:sz w:val="11"/>
                <w:szCs w:val="11"/>
                <w:i w:val="1"/>
                <w:iCs w:val="1"/>
                <w:color w:val="auto"/>
              </w:rPr>
              <w:t>Credit and Securities Purchase Transaction</w:t>
            </w:r>
            <w:r>
              <w:rPr>
                <w:rFonts w:ascii="Times New Roman" w:cs="Times New Roman" w:eastAsia="Times New Roman" w:hAnsi="Times New Roman"/>
                <w:sz w:val="11"/>
                <w:szCs w:val="11"/>
                <w:color w:val="auto"/>
              </w:rPr>
              <w:t xml:space="preserve"> for further discussion.</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warranty reserve activity:</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gridSpan w:val="6"/>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20" w:type="dxa"/>
            <w:vAlign w:val="bottom"/>
            <w:tcBorders>
              <w:bottom w:val="single" w:sz="8" w:color="CCEEFF"/>
            </w:tcBorders>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 - beginning of period</w:t>
            </w:r>
          </w:p>
        </w:tc>
        <w:tc>
          <w:tcPr>
            <w:tcW w:w="1440" w:type="dxa"/>
            <w:vAlign w:val="bottom"/>
            <w:tcBorders>
              <w:bottom w:val="single" w:sz="8" w:color="CCEEFF"/>
            </w:tcBorders>
            <w:gridSpan w:val="2"/>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3"/>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Additions for current year deliveries</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the warranty reserve estimate</w:t>
            </w:r>
          </w:p>
        </w:tc>
        <w:tc>
          <w:tcPr>
            <w:tcW w:w="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Warranty costs incurred</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920" w:type="dxa"/>
            <w:vAlign w:val="bottom"/>
            <w:tcBorders>
              <w:bottom w:val="single" w:sz="8" w:color="CCEEFF"/>
            </w:tcBorders>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reserve - end of period</w:t>
            </w:r>
          </w:p>
        </w:tc>
        <w:tc>
          <w:tcPr>
            <w:tcW w:w="1440" w:type="dxa"/>
            <w:vAlign w:val="bottom"/>
            <w:gridSpan w:val="2"/>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Government Grants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Reduction Act of 2022 (“IRA”)</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16, 2022, President Biden signed the Inflation Reduction Act of 2022 into law. The IRA has significant economic incentives for both energy storage customers and manufacturers for projects placed in service after December 31, 2022. Starting in 2023, there are PTCs, which can be claimed on battery components manufactured in the U.S. and sold to U.S. or foreign customers. The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2024, the Department of the Treasury and the Internal Revenue Service (IRS) issued final regulations (Final Regulations) on the transferability of certain energy tax credits, pursuant to Section 6418 of the Internal Revenue Code of 1986, as amended, which was enacted as part of the Inflation Reduction Act of 2022. The Company has reviewed these regulations and believes they do not have a material impact on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Government Grants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October 2024, the Department of the Treasury and the Internal Revenue Service (IRS) issued final regulations (Final Regulations) to provide guidance on the PTC established by the Inflation Reduction Act of 2022. The company has reviewed these regulations and believes they do not have a material impact on the financial statements.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 w:cs="Times New Roman" w:eastAsia="Times New Roman" w:hAnsi="Times New Roman"/>
          <w:sz w:val="14"/>
          <w:szCs w:val="14"/>
          <w:i w:val="1"/>
          <w:iCs w:val="1"/>
          <w:color w:val="auto"/>
        </w:rPr>
        <w:t>Accounting for Government Grants and Disclosure of Government Assistance,</w:t>
      </w:r>
      <w:r>
        <w:rPr>
          <w:rFonts w:ascii="Times New Roman" w:cs="Times New Roman" w:eastAsia="Times New Roman" w:hAnsi="Times New Roman"/>
          <w:sz w:val="14"/>
          <w:szCs w:val="14"/>
          <w:color w:val="auto"/>
        </w:rPr>
        <w:t xml:space="preserve"> 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PTC is recorded as the applicable items become finished goods and the conditions in the preceding paragraph are met.</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second quarter of 2024, the Company entered into tax credit purchase agreements to sell and transfer all of the PTCs related to the production and sale of battery cells and battery modules produced in calendar years 2023 and in the first quarter of 2024, that were eligible to be claimed on the Company’s tax returns for the related years. The transferred tax credits were sold at 90% of their value and the cash purchase price of the PTCs was $3,430.</w:t>
      </w:r>
    </w:p>
    <w:p>
      <w:pPr>
        <w:spacing w:after="0" w:line="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During the fourth quarter of 2024, the Company entered into tax credit purchase agreements to sell and transfer all of the PTCs related to the production and sale of electrode active materials produced in calendar year 2023, that were eligible to be claimed on the Company’s tax return. The transferred tax credits were sold at 90% of their value and the cash purchase price of the PTCs was $812.</w:t>
      </w:r>
    </w:p>
    <w:p>
      <w:pPr>
        <w:spacing w:after="0" w:line="219" w:lineRule="exact"/>
        <w:rPr>
          <w:sz w:val="20"/>
          <w:szCs w:val="20"/>
          <w:color w:val="auto"/>
        </w:rPr>
      </w:pPr>
    </w:p>
    <w:p>
      <w:pPr>
        <w:jc w:val="both"/>
        <w:spacing w:after="0" w:line="185" w:lineRule="exact"/>
        <w:rPr>
          <w:sz w:val="20"/>
          <w:szCs w:val="20"/>
          <w:color w:val="auto"/>
        </w:rPr>
      </w:pPr>
      <w:r>
        <w:rPr>
          <w:rFonts w:ascii="Times New Roman" w:cs="Times New Roman" w:eastAsia="Times New Roman" w:hAnsi="Times New Roman"/>
          <w:sz w:val="14"/>
          <w:szCs w:val="14"/>
          <w:color w:val="auto"/>
        </w:rPr>
        <w:t>Cash was received from the buyer in April, June, and October of 2024, after the completed registration requirements were filed through the IRS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provided electronic portal, inclusive of registration numbers needed to claim the credit on the Buyer’s tax return. Upon the receipt of the cash payments, </w:t>
      </w:r>
      <w:r>
        <w:rPr>
          <w:rFonts w:ascii="Times New Roman" w:cs="Times New Roman" w:eastAsia="Times New Roman" w:hAnsi="Times New Roman"/>
          <w:sz w:val="14"/>
          <w:szCs w:val="14"/>
          <w:color w:val="424242"/>
        </w:rPr>
        <w:t>the Company recorded offsets to the PTC/G</w:t>
      </w:r>
      <w:r>
        <w:rPr>
          <w:rFonts w:ascii="Times New Roman" w:cs="Times New Roman" w:eastAsia="Times New Roman" w:hAnsi="Times New Roman"/>
          <w:sz w:val="14"/>
          <w:szCs w:val="14"/>
          <w:color w:val="auto"/>
        </w:rPr>
        <w:t>rant Receivable account. There were no differences between the recorded fair value of the PTC receivable and the amount of consideration received. Future differences, if any, will be recognized as an adjustment to cost of goods sold.</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PTC credits of $3,789 and $3,256 for the years ended December 31, 2024 and 2023, respectively, as a reduction of cost of goods sold on the Statements of Operations and Comprehensive Loss. As of December 31, 2024 and 2023, grant receivable related to the PTC in the amount of $2,283 and $3,256, respectively, is recorded in the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Convertible Notes Payable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2021, the Company issued $100,000 aggregate principal amount of convertible notes to Spring Creek Capital, LLC, a wholly-owned, indirect subsidiary of Koch Industries, Inc., (the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Convertible Notes”). In connection with these 2021 Convertible Notes, the Company paid $3,000 to B. Riley Securities, Inc., a related party, who acted as a placement agent. Refer to Note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Borrowings, </w:t>
      </w:r>
      <w:r>
        <w:rPr>
          <w:rFonts w:ascii="Times New Roman" w:cs="Times New Roman" w:eastAsia="Times New Roman" w:hAnsi="Times New Roman"/>
          <w:sz w:val="14"/>
          <w:szCs w:val="14"/>
          <w:color w:val="auto"/>
        </w:rPr>
        <w:t>for additional information.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12. Related Party Transactions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AFG Convertible Notes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January 2023, the Company issued and sold $13,750 of 26.5% Convertible Senior PIK Notes due 2026 (“AFG Convertible Notes”) to Great American Insurance Company, Ardsley Partners Renewable Energy, LP, CCI SPV III, LP, Denman Street LLC, John B. Bending Irrevocable Children’s Trust, John B. Berding, and AE Convert, LLC (together, the “Purchasers”). AE Convert LLC, a Delaware limited liability company is managed by Russell Stidolph, a related party as Mr. Stidolph is a director of the Company. In connection with the issuance and sale of the AFG Convertible Notes, the Company entered into an investment agreement (the “Investment Agreement”) with the Purchasers. Refer to Note 13, </w:t>
      </w:r>
      <w:r>
        <w:rPr>
          <w:rFonts w:ascii="Times New Roman" w:cs="Times New Roman" w:eastAsia="Times New Roman" w:hAnsi="Times New Roman"/>
          <w:sz w:val="14"/>
          <w:szCs w:val="14"/>
          <w:i w:val="1"/>
          <w:iCs w:val="1"/>
          <w:color w:val="auto"/>
        </w:rPr>
        <w:t>Borrowing</w:t>
      </w: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for additional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Standby Equity Purchase Agreement (SEPA)</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On April 28, 2022, the Company entered into the SEPA under which the Company had the right, but not the obligation, to sell to Yorkville shares of its common stock at the Company’s request. On August 23, 2023, the Company and Yorkville terminated the SEPA, as amended, by mutual written consent. See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for pre-advance loans in form of convertible promissory notes and Note 20, </w:t>
      </w:r>
      <w:r>
        <w:rPr>
          <w:rFonts w:ascii="Times New Roman" w:cs="Times New Roman" w:eastAsia="Times New Roman" w:hAnsi="Times New Roman"/>
          <w:sz w:val="14"/>
          <w:szCs w:val="14"/>
          <w:i w:val="1"/>
          <w:iCs w:val="1"/>
          <w:color w:val="auto"/>
        </w:rPr>
        <w:t>Shareholders' Deficit</w:t>
      </w:r>
      <w:r>
        <w:rPr>
          <w:rFonts w:ascii="Times New Roman" w:cs="Times New Roman" w:eastAsia="Times New Roman" w:hAnsi="Times New Roman"/>
          <w:sz w:val="14"/>
          <w:szCs w:val="14"/>
          <w:color w:val="auto"/>
        </w:rPr>
        <w:t xml:space="preserve">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and Securities Purchase Transaction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Pursuant to the terms and conditions of Credit and Securities Purchase Transaction, Cerberus and CCM Denali Equity Holdings, LP, are considered related parties as result of the transactions. Refer to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xml:space="preserve"> for detailed discussion.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Borrowings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borrowings consist of the following related and third-party borrowings:</w:t>
      </w:r>
    </w:p>
    <w:p>
      <w:pPr>
        <w:spacing w:after="0" w:line="191"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2"/>
        </w:trPr>
        <w:tc>
          <w:tcPr>
            <w:tcW w:w="40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Principal Outstanding</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Principal Outstanding</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Carrying Value*</w:t>
            </w: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2021 Convertible Notes Payable</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2026</w:t>
            </w: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109,838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115,815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94,386</w:t>
            </w:r>
          </w:p>
        </w:tc>
      </w:tr>
      <w:tr>
        <w:trPr>
          <w:trHeight w:val="183"/>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June 2034</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76,188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AFG Convertible Note</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2026</w:t>
            </w: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63,033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18,139</w:t>
            </w:r>
          </w:p>
        </w:tc>
      </w:tr>
      <w:tr>
        <w:trPr>
          <w:trHeight w:val="174"/>
        </w:trPr>
        <w:tc>
          <w:tcPr>
            <w:tcW w:w="4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Notes payable - related party</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249,059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112,525</w:t>
            </w:r>
          </w:p>
        </w:tc>
      </w:tr>
      <w:tr>
        <w:trPr>
          <w:trHeight w:val="19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Secured Term Loan</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March 2026</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85,624</w:t>
            </w:r>
          </w:p>
        </w:tc>
      </w:tr>
      <w:tr>
        <w:trPr>
          <w:trHeight w:val="183"/>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Equipment financing facility</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April 2026</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5,710</w:t>
            </w:r>
          </w:p>
        </w:tc>
      </w:tr>
      <w:tr>
        <w:trPr>
          <w:trHeight w:val="22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DOE Loan Facility</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2034</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40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Total borrowings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395,535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316,896</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238,962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203,859</w:t>
            </w:r>
          </w:p>
        </w:tc>
      </w:tr>
      <w:tr>
        <w:trPr>
          <w:trHeight w:val="191"/>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Less: current portion</w:t>
            </w: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w:t>
            </w:r>
          </w:p>
        </w:tc>
      </w:tr>
      <w:tr>
        <w:trPr>
          <w:trHeight w:val="189"/>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borrowings, non-current</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393,521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314,882</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235,630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200,527</w:t>
            </w:r>
          </w:p>
        </w:tc>
      </w:tr>
      <w:tr>
        <w:trPr>
          <w:trHeight w:val="20"/>
        </w:trPr>
        <w:tc>
          <w:tcPr>
            <w:tcW w:w="4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1"/>
          <w:szCs w:val="11"/>
          <w:color w:val="auto"/>
        </w:rPr>
        <w:t>Carrying value includes unamortized deferred financing costs, unamortized discounts, and fair value of embedded derivative liabilities, except for the Delayed Draw Term Loan, which is carried at fair value.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ind w:left="420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
        </w:trPr>
        <w:tc>
          <w:tcPr>
            <w:tcW w:w="7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tc>
        <w:tc>
          <w:tcPr>
            <w:tcW w:w="4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52"/>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December 31, 2024, the annual repayment requirements for debt obligations are as follows:</w:t>
            </w:r>
          </w:p>
        </w:tc>
        <w:tc>
          <w:tcPr>
            <w:tcW w:w="4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7740" w:type="dxa"/>
            <w:vAlign w:val="bottom"/>
            <w:gridSpan w:val="2"/>
          </w:tcPr>
          <w:p>
            <w:pPr>
              <w:ind w:left="3700"/>
              <w:spacing w:after="0"/>
              <w:rPr>
                <w:sz w:val="20"/>
                <w:szCs w:val="20"/>
                <w:color w:val="auto"/>
              </w:rPr>
            </w:pPr>
            <w:r>
              <w:rPr>
                <w:rFonts w:ascii="Times New Roman" w:cs="Times New Roman" w:eastAsia="Times New Roman" w:hAnsi="Times New Roman"/>
                <w:sz w:val="13"/>
                <w:szCs w:val="13"/>
                <w:b w:val="1"/>
                <w:bCs w:val="1"/>
                <w:color w:val="auto"/>
              </w:rPr>
              <w:t>Year</w:t>
            </w:r>
          </w:p>
        </w:tc>
        <w:tc>
          <w:tcPr>
            <w:tcW w:w="460" w:type="dxa"/>
            <w:vAlign w:val="bottom"/>
          </w:tcPr>
          <w:p>
            <w:pPr>
              <w:spacing w:after="0"/>
              <w:rPr>
                <w:sz w:val="19"/>
                <w:szCs w:val="19"/>
                <w:color w:val="auto"/>
              </w:rPr>
            </w:pPr>
          </w:p>
        </w:tc>
        <w:tc>
          <w:tcPr>
            <w:tcW w:w="30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Total Debt Payment Obligations</w:t>
            </w:r>
          </w:p>
        </w:tc>
      </w:tr>
      <w:tr>
        <w:trPr>
          <w:trHeight w:val="190"/>
        </w:trPr>
        <w:tc>
          <w:tcPr>
            <w:tcW w:w="7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6"/>
                <w:szCs w:val="16"/>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167,102</w:t>
            </w:r>
          </w:p>
        </w:tc>
        <w:tc>
          <w:tcPr>
            <w:tcW w:w="120" w:type="dxa"/>
            <w:vAlign w:val="bottom"/>
          </w:tcPr>
          <w:p>
            <w:pPr>
              <w:spacing w:after="0"/>
              <w:rPr>
                <w:sz w:val="16"/>
                <w:szCs w:val="16"/>
                <w:color w:val="auto"/>
              </w:rPr>
            </w:pPr>
          </w:p>
        </w:tc>
      </w:tr>
      <w:tr>
        <w:trPr>
          <w:trHeight w:val="22"/>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28,108</w:t>
            </w:r>
          </w:p>
        </w:tc>
        <w:tc>
          <w:tcPr>
            <w:tcW w:w="120" w:type="dxa"/>
            <w:vAlign w:val="bottom"/>
          </w:tcPr>
          <w:p>
            <w:pPr>
              <w:spacing w:after="0"/>
              <w:rPr>
                <w:sz w:val="16"/>
                <w:szCs w:val="16"/>
                <w:color w:val="auto"/>
              </w:rPr>
            </w:pPr>
          </w:p>
        </w:tc>
      </w:tr>
      <w:tr>
        <w:trPr>
          <w:trHeight w:val="22"/>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32,998</w:t>
            </w:r>
          </w:p>
        </w:tc>
        <w:tc>
          <w:tcPr>
            <w:tcW w:w="120" w:type="dxa"/>
            <w:vAlign w:val="bottom"/>
          </w:tcPr>
          <w:p>
            <w:pPr>
              <w:spacing w:after="0"/>
              <w:rPr>
                <w:sz w:val="16"/>
                <w:szCs w:val="16"/>
                <w:color w:val="auto"/>
              </w:rPr>
            </w:pPr>
          </w:p>
        </w:tc>
      </w:tr>
      <w:tr>
        <w:trPr>
          <w:trHeight w:val="191"/>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6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719,126</w:t>
            </w:r>
          </w:p>
        </w:tc>
        <w:tc>
          <w:tcPr>
            <w:tcW w:w="120" w:type="dxa"/>
            <w:vAlign w:val="bottom"/>
          </w:tcPr>
          <w:p>
            <w:pPr>
              <w:spacing w:after="0"/>
              <w:rPr>
                <w:sz w:val="16"/>
                <w:szCs w:val="16"/>
                <w:color w:val="auto"/>
              </w:rPr>
            </w:pP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949,348</w:t>
            </w:r>
          </w:p>
        </w:tc>
        <w:tc>
          <w:tcPr>
            <w:tcW w:w="120" w:type="dxa"/>
            <w:vAlign w:val="bottom"/>
          </w:tcPr>
          <w:p>
            <w:pPr>
              <w:spacing w:after="0"/>
              <w:rPr>
                <w:sz w:val="19"/>
                <w:szCs w:val="19"/>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Delayed Draw Term Loan (“DDTL”)</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As discussed in Note 3, Credit and Securities Purchase Transaction, on June 21, 2024, the Company borrowed an Initial Draw of $75,000, and received $70,075, net of the 5.0% original issue discount and lender fees paid. On August 29, 2024, the Company met the first tranche milestones and submitted a borrowing request under the Credit Agreement for the scheduled $30,000, and received $28,500, net of the 5.0% original issue discount. On October 31, 2024, the Company met the second tranche milestones and submitted a borrowing request under the Credit Agreement for the scheduled $65,000, and received $61,750, net of the 5.0% original issue discount. On January 24, 2025, the Company announced the achievement of all four of the third tranche milestones previously agreed upon between Eos and Cerberus. Achieving these performance milestones enabled the Company to draw an additional $40,500 on January 24, 2025, upon the Company’s achievement of certain applicable funding milestones. See Note 23,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additional information on this draw. See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additional information on this transaction.</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Each tranche under the Delayed Draw Term Loan is subject to a 5.0% original issue discount payable at the time of each draw. Borrowings under the Credit Agreement are subject to certain fees, including (i) an exit fee equal to 5.0% of the aggregate principal amount of Loans, or Revolving Loans being paid, repaid, prepaid, refinanced or replaced in a prepayment event, (ii) a make-whole payment for certain prepayments prior to March 31, 2028, as amended on November 26, 2024 and (iii) a prepayment premium for any prepayments prior to the scheduled maturity date. The Credit and Guaranty Agreement includes a Minimum Liquidity requirement under which the Company shall not permit liquidity at any time be less than $2,500, prior to the first tranche funding. Following the first tranche being funded, the Minimum Liquidity requirement increased to $5,000, and following the Company's first indebtedness incurred through the DOE LPO in December 2024, the Minimum Liquidity requirement increased to $15,000.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Milestones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In the event the Company fails to achieve any of the remaining milestones under the Credit and Securities Purchase Transaction on the one additional milestone measurement date, the Company will not receive the specific tranche unless waived by the Lender, the Company will be subject to a penalty represented by an up to 4.0% increase in the applicable percentage in the form of additional Warrants or Preferred Stock at the final missed milestone measurement date, which could result in the issuance of additional shares of Preferred Stock or Warrants up to an applicable percentage increase of up to 16.0% for all missed milestones, or up to a 49.0% overall applicable percentage taking into account the 33.0% applicable percentage. If the Company fails to achieve an interim milestone, but then subsequently achieves the final milestone for that particular category, the incremental penalty equity related to that milestone category is returned to the Company. As of December 31, 2024, the Company had met all applicable interim milestones resulting in a maximum applicable percentage increase of 8.0% for the remaining interim milestones, or up to 41.0% overall applicable percentage considering the 33.0% applicable percentage. On January 24, 2025, the Company announced the achievement of all four of the third performance milestones previously agreed upon between the Company and Cerberus. As a result of meeting the third performance milestones, if the Company fails to achieve the remaining milestones as of the final milestone measurement date, the applicable percentage will be subject to up to a 4.0% increase for the missed milestones or an increase in the overall applicable percentage of up to 37.0%. See Note 23, </w:t>
      </w:r>
      <w:r>
        <w:rPr>
          <w:rFonts w:ascii="Times New Roman" w:cs="Times New Roman" w:eastAsia="Times New Roman" w:hAnsi="Times New Roman"/>
          <w:sz w:val="14"/>
          <w:szCs w:val="14"/>
          <w:i w:val="1"/>
          <w:iCs w:val="1"/>
          <w:color w:val="auto"/>
        </w:rPr>
        <w:t xml:space="preserve">Subsequent Events </w:t>
      </w:r>
      <w:r>
        <w:rPr>
          <w:rFonts w:ascii="Times New Roman" w:cs="Times New Roman" w:eastAsia="Times New Roman" w:hAnsi="Times New Roman"/>
          <w:sz w:val="14"/>
          <w:szCs w:val="14"/>
          <w:color w:val="auto"/>
        </w:rPr>
        <w:t>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26, 2024, the Company amended the Credit Agreement, by and among the Company, certain of the Company’s subsidiaries as guarantors party thereto and the Lender, pursuant to which among other things, the applicability of the Consolidated Revenue and EBITDA financial covenants were deferred until December 31, 2025 and certain provisions were amended to conform with comparable provisions in the DOE Loan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Agreement, as amended, contains the following financial covenants, including (each as defined in the Credit Agreement, as amended):</w:t>
      </w:r>
    </w:p>
    <w:p>
      <w:pPr>
        <w:spacing w:after="0" w:line="125"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Consolidated EBITDA- not applicable for December 31, 2024.</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Consolidated Revenue- not applicable for December 31, 2024.</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was in compliance with the Minimum Liquidity financial covenant.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facilities are subject to certain events of default which can be triggered by, among other things, (i) breach of payment obligations and other obligations and representations in the Credit Agreement 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judgement or decree entered against the Company or the Guarantors decreeing the dissolution or split up of such entity, (vii) the failure of the common stock to be listed on an internationally recognized stock exchange in the United States and (viii) a change of control.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elected the fair value option to account for all draws under the Delayed Draw Term Loan for operational purposes. The financial liability was initially measured at its issue-date fair value and is subsequently remeasured at fair value on a recurring basis at each reporting period date. The Company also elected the fair value option for the August Draw and the October Draw. The Initial Draw fair value, the August Draw fair value, as well as the October Draw fair value (collectively the "DDTL"), was $25,653, $12,528, and $28,340 respectively, at issuance. As of December 31, 2024, the fair value for the DDTL was $76,188. A gain of $33,823 was recognized for the year ended December 31, 2024. This is included in Change in fair value of debt - related party on the Consolidated Statements of Operations and Comprehensive Loss. The Company also recorded a loss attributable to changes in instrument-specific credit risk of $43,490 for the year ended December 31, 2024. This is included in Change in fair value of debt - credit risk in Accumulated other comprehensive (loss) income.</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did not separately report interest expense attributable to the DDTL because such interest was included in the determination of the fair value of the Note. See Note 16,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Measurement </w:t>
      </w:r>
      <w:r>
        <w:rPr>
          <w:rFonts w:ascii="Times New Roman" w:cs="Times New Roman" w:eastAsia="Times New Roman" w:hAnsi="Times New Roman"/>
          <w:sz w:val="14"/>
          <w:szCs w:val="14"/>
          <w:color w:val="auto"/>
        </w:rPr>
        <w:t>for the assumptions used to determine the fair value the Delayed Draw Term Loan at issuance and at December 31, 2024.</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Contractual Interest Rates </w:t>
      </w:r>
      <w:r>
        <w:rPr>
          <w:rFonts w:ascii="Times New Roman" w:cs="Times New Roman" w:eastAsia="Times New Roman" w:hAnsi="Times New Roman"/>
          <w:sz w:val="14"/>
          <w:szCs w:val="14"/>
          <w:color w:val="auto"/>
        </w:rPr>
        <w:t>- Borrowings under the Credit Agreement bear interest at an annual rate equal to 15.0% per annum, subject to the following increases: (i) an additional 5.0% per annum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the occurrence of an event of default under the Credit Agreement. The Company may elect to add accrued and unpaid interest on the loans to the principal amount of the loans (capitalized interest).</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Maturity </w:t>
      </w:r>
      <w:r>
        <w:rPr>
          <w:rFonts w:ascii="Times New Roman" w:cs="Times New Roman" w:eastAsia="Times New Roman" w:hAnsi="Times New Roman"/>
          <w:sz w:val="14"/>
          <w:szCs w:val="14"/>
          <w:color w:val="auto"/>
        </w:rPr>
        <w:t>- The DDTL is scheduled to mature on the earlier of (i) June 15, 2034 as amended on November 26, 2024, and (ii) 91 days prior to the maturity of certain of the Company’s outstanding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convertible notes. See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additional information on this transaction.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Convertible Notes Payable - Related Party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6, 2021, the Company entered into an investment agreement with Spring Creek Capital, LLC, a wholly-owned, indirect subsidiary of Koch Industries. The investment agreement provides for the issuance and sale to Koch of convertible notes in the aggregate principal amount of $100,000. The maturity date of the 2021 Convertible Notes is June 30, 2026, subject to earlier conversion, redemption or repurchase.</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Contractual Interest Rates </w:t>
      </w:r>
      <w:r>
        <w:rPr>
          <w:rFonts w:ascii="Times New Roman" w:cs="Times New Roman" w:eastAsia="Times New Roman" w:hAnsi="Times New Roman"/>
          <w:sz w:val="14"/>
          <w:szCs w:val="14"/>
          <w:color w:val="auto"/>
        </w:rPr>
        <w:t>- The 2021 Convertible Notes bear interest at a rate of 5% per year if interest is paid in cash, or 6% per year if interest is paid in-kind. Interest on the 2021 Convertible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Notes is payable semi-annually in arrears on June 30 and December 30.</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Conversion Rights </w:t>
      </w:r>
      <w:r>
        <w:rPr>
          <w:rFonts w:ascii="Times New Roman" w:cs="Times New Roman" w:eastAsia="Times New Roman" w:hAnsi="Times New Roman"/>
          <w:sz w:val="14"/>
          <w:szCs w:val="14"/>
          <w:color w:val="auto"/>
        </w:rPr>
        <w:t>- The 2021 Convertible Notes are convertible at the option of the holder at any time until the business day prior to the maturity date, including in connection with a redemption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The 2021 Convertible Notes will be convertible into shares of the Company's common stock based on an initial conversion rate of 49.9910 shares of the Company’s common stock, which is equal to an initial conversion price of approximately $20.00 per share, in each case subject to customary anti-dilution and other adjustments. The Company has the right to settle conversions in shares of common stock, cash, or any combination thereof.</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Optional Redemption </w:t>
      </w:r>
      <w:r>
        <w:rPr>
          <w:rFonts w:ascii="Times New Roman" w:cs="Times New Roman" w:eastAsia="Times New Roman" w:hAnsi="Times New Roman"/>
          <w:sz w:val="14"/>
          <w:szCs w:val="14"/>
          <w:color w:val="auto"/>
        </w:rPr>
        <w:t>- On or after June 30, 2024, the 2021 Convertible Notes will be redeemable by the Company in the event that the closing sale price of the Company’s common stock has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least 130% of the conversion price then in effect for at least 20 trading days during any 30 consecutive trading day period ending on, and including, the trading day immediately preceding the date on which the Company provides the redemption notice at a redemption price of 100% of the principal amount of such 2021 Convertible Notes, plus accrued and unpaid interest.</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following the Company’s delivery of a redemption notice, the 2021 Convertible Notes are converted pursuant to the holders’ conversion rights, the Company is required to make an additional cash payment to the converting holder equal to the present value of all interest payments the holder would have been entitled to receive had such 2021 Convertible Notes remained outstanding until June 30, 2026 (the “interest make-whole payment”). The present value is calculated using a discount rate equal to the risk-free rate plus 50 basis points and assuming interest accrued at the cash interest rate of 5% per year.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Contingent Redemption </w:t>
      </w:r>
      <w:r>
        <w:rPr>
          <w:rFonts w:ascii="Times New Roman" w:cs="Times New Roman" w:eastAsia="Times New Roman" w:hAnsi="Times New Roman"/>
          <w:sz w:val="14"/>
          <w:szCs w:val="14"/>
          <w:color w:val="auto"/>
        </w:rPr>
        <w:t>- With certain exceptions, upon the occurrence of certain events, fundamental changes described in the 2021 Convertible Notes Agreement, the holders of the 2021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Convertible Notes may require that the Company repurchase all or part of the principal amount of the Notes at a purchase price of 100% of the principal amount of such 2021 Convertible Notes, plus accrued and unpaid interest.</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Embedded Derivatives </w:t>
      </w:r>
      <w:r>
        <w:rPr>
          <w:rFonts w:ascii="Times New Roman" w:cs="Times New Roman" w:eastAsia="Times New Roman" w:hAnsi="Times New Roman"/>
          <w:sz w:val="14"/>
          <w:szCs w:val="14"/>
          <w:color w:val="auto"/>
        </w:rPr>
        <w:t>- The interest make-whole payment can be triggered only in connection with an induced conversion, and therefore represents an adjustment to the settlement amount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embedded conversion feature. Because this adjustment is calculated in a manner in which the cash payout may exceed the time value of the embedded conversion feature, the embedded conversion feature is precluded from being considered indexed to the Company’s own stock. Therefore, the embedded conversion feature does not qualify for the scope exceptions to derivative accounting prescribed by ASC 815.</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recognized on the 2021 Convertible Notes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3540" w:type="dxa"/>
            <w:vAlign w:val="bottom"/>
            <w:tcBorders>
              <w:bottom w:val="single" w:sz="8" w:color="auto"/>
            </w:tcBorders>
            <w:gridSpan w:val="4"/>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40" w:type="dxa"/>
            <w:vAlign w:val="bottom"/>
          </w:tcPr>
          <w:p>
            <w:pPr>
              <w:spacing w:after="0"/>
              <w:rPr>
                <w:sz w:val="16"/>
                <w:szCs w:val="16"/>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38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6,648</w:t>
            </w:r>
          </w:p>
        </w:tc>
        <w:tc>
          <w:tcPr>
            <w:tcW w:w="0" w:type="dxa"/>
            <w:vAlign w:val="bottom"/>
          </w:tcPr>
          <w:p>
            <w:pPr>
              <w:spacing w:after="0"/>
              <w:rPr>
                <w:sz w:val="1"/>
                <w:szCs w:val="1"/>
                <w:color w:val="auto"/>
              </w:rPr>
            </w:pP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6,608</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3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02"/>
        </w:trPr>
        <w:tc>
          <w:tcPr>
            <w:tcW w:w="7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carrying value for the 2021 Convertible Notes is as follows:</w:t>
            </w: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0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0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96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40" w:type="dxa"/>
            <w:vAlign w:val="bottom"/>
          </w:tcPr>
          <w:p>
            <w:pPr>
              <w:spacing w:after="0"/>
              <w:rPr>
                <w:sz w:val="16"/>
                <w:szCs w:val="16"/>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138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122,868</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115,815</w:t>
            </w:r>
          </w:p>
        </w:tc>
        <w:tc>
          <w:tcPr>
            <w:tcW w:w="0" w:type="dxa"/>
            <w:vAlign w:val="bottom"/>
          </w:tcPr>
          <w:p>
            <w:pPr>
              <w:spacing w:after="0"/>
              <w:rPr>
                <w:sz w:val="1"/>
                <w:szCs w:val="1"/>
                <w:color w:val="auto"/>
              </w:rPr>
            </w:pP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(13,045)</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(19,612)</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0" w:type="dxa"/>
            <w:vAlign w:val="bottom"/>
          </w:tcPr>
          <w:p>
            <w:pPr>
              <w:spacing w:after="0"/>
              <w:rPr>
                <w:sz w:val="1"/>
                <w:szCs w:val="1"/>
                <w:color w:val="auto"/>
              </w:rPr>
            </w:pP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liability</w:t>
            </w: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138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109,838</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loss from the change in fair value of the embedded derivative liability for the year ended December 31, 2024 was $1,194, and the gain from the change in fair value of the embedded derivative liability for the year ended December 31, 2023 was $840. See Note 16,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for the assumptions used to determine the fair value of the embedded derivative. The Company intends to repay all contractual interest attributable to the 2021 Convertible Notes in-kind on a semi-annual basis.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2024, contractual interest in-kind of $7,053 was recorded as an increase to the 2021 Convertible Notes' principal balance on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DOE Loan Facility</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26, 2024, the Company entered into a loan agreement with the United States Federal Financing Bank ("FBB") and the United States DOE Loan Programs Office (“LPO”) (“the DOE Loan Facility"). The loan provides for a principal amount of up to $277,497 of borrowings and capitalized interest amount of up to $25,953.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an a maximum principal amount designated for such Tranche in the DOE Loan Facility. Each Tranche provides the Company funding for 80% of the Eligible Project Costs.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DOE Loan Facility); or (ii) other funds guaranteed by the Federal Government; (c) the Project Costs are identified in the Construction Budget; (d) the Project Costs do not constitute Cost Overruns; and (e) the Project Costs were incurred after the Eligibility Effective Date.) associated with the corresponding production line, with the Company responsible for funding the remaining 20% of the Project Costs.</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DOE Loan Facility specifies the maximum amount subject to each tranche (Tranche 1: $101,979; Tranche 2: $117,326; Tranche 3: $71,836; and Tranche 4: $12,309), and any amounts not withdrawn under a specified tranche cannot be allocated to another tranche.</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 December 31, 2024, the Company had drawn down $68,279 under the DOE Loan Facility, at an interest rate of 4.791%, for eligible project costs incurred through December 6, 2024. These costs are a portion of Tranche 1 of the DOE Loan Facility. Tranche 1 provides up to $101,979 for eligible costs in connection with the design, construction, installation, startup and shakedown of a battery automation line and related tools, with a projected annual production capacity of approximately 1.25 GWh ("Line 1"), as defined in the DOE Loan Facility.</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final scheduled maturity date for the DOE Loan Facility is June 15, 2034. Interest and scheduled principal amortization payments on the DOE Loan Facility are payable quarterly, commencing on March 15, 2028.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Contractual Interest Rates </w:t>
      </w:r>
      <w:r>
        <w:rPr>
          <w:rFonts w:ascii="Times New Roman" w:cs="Times New Roman" w:eastAsia="Times New Roman" w:hAnsi="Times New Roman"/>
          <w:sz w:val="14"/>
          <w:szCs w:val="14"/>
          <w:color w:val="auto"/>
        </w:rPr>
        <w:t>- The DOE Loan Facility bears interest at the applicable U.S. Treasury rate plus a spread equal to 0.375%. The interest is paid in-kind ("Capitalized PIK Interest").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 of the Capitalized PIK Interest on the DOE Loan Facility commences in 2028.</w:t>
      </w:r>
    </w:p>
    <w:p>
      <w:pPr>
        <w:sectPr>
          <w:pgSz w:w="11900" w:h="16838" w:orient="portrait"/>
          <w:cols w:equalWidth="0" w:num="1">
            <w:col w:w="11280"/>
          </w:cols>
          <w:pgMar w:left="300" w:top="125" w:right="319" w:bottom="1440" w:gutter="0" w:footer="0" w:header="0"/>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DOE Loan Facility draw-downs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161530" cy="2425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 November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Draw-downs received during the three months ended December 31, 2024</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Remaining Balance, December 31,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recognized on the DOE Loan Facility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Loan Facility Available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Future Draw-downs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2020" w:type="dxa"/>
            <w:vAlign w:val="bottom"/>
          </w:tcPr>
          <w:p>
            <w:pPr>
              <w:jc w:val="right"/>
              <w:ind w:right="1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277,497</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2"/>
        </w:trPr>
        <w:tc>
          <w:tcPr>
            <w:tcW w:w="20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(68,279)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4.791 %</w:t>
            </w: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1"/>
        </w:trPr>
        <w:tc>
          <w:tcPr>
            <w:tcW w:w="2020" w:type="dxa"/>
            <w:vAlign w:val="bottom"/>
          </w:tcPr>
          <w:p>
            <w:pPr>
              <w:jc w:val="right"/>
              <w:ind w:right="1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209,218</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2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p>
      <w:pPr>
        <w:spacing w:after="0" w:line="18" w:lineRule="exact"/>
        <w:rPr>
          <w:sz w:val="20"/>
          <w:szCs w:val="20"/>
          <w:color w:val="auto"/>
        </w:rPr>
      </w:pPr>
    </w:p>
    <w:p>
      <w:pPr>
        <w:sectPr>
          <w:pgSz w:w="11900" w:h="16838" w:orient="portrait"/>
          <w:cols w:equalWidth="0" w:num="2">
            <w:col w:w="6700" w:space="720"/>
            <w:col w:w="386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980" w:type="dxa"/>
            <w:vAlign w:val="bottom"/>
            <w:tcBorders>
              <w:top w:val="single" w:sz="8" w:color="auto"/>
              <w:bottom w:val="single" w:sz="8" w:color="CCEEFF"/>
            </w:tcBorders>
            <w:shd w:val="clear" w:color="auto" w:fill="CCEEFF"/>
          </w:tcPr>
          <w:p>
            <w:pPr>
              <w:jc w:val="right"/>
              <w:ind w:right="182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98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8"/>
        </w:trPr>
        <w:tc>
          <w:tcPr>
            <w:tcW w:w="7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tcBorders>
              <w:bottom w:val="single" w:sz="8" w:color="auto"/>
            </w:tcBorders>
            <w:shd w:val="clear" w:color="auto" w:fill="CCEEFF"/>
          </w:tcPr>
          <w:p>
            <w:pPr>
              <w:jc w:val="right"/>
              <w:ind w:right="182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4380" w:type="dxa"/>
            <w:vAlign w:val="bottom"/>
            <w:gridSpan w:val="2"/>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500" w:type="dxa"/>
            <w:vAlign w:val="bottom"/>
          </w:tcPr>
          <w:p>
            <w:pPr>
              <w:spacing w:after="0"/>
              <w:rPr>
                <w:sz w:val="17"/>
                <w:szCs w:val="17"/>
                <w:color w:val="auto"/>
              </w:rPr>
            </w:pPr>
          </w:p>
        </w:tc>
        <w:tc>
          <w:tcPr>
            <w:tcW w:w="438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3500" w:type="dxa"/>
            <w:vAlign w:val="bottom"/>
          </w:tcPr>
          <w:p>
            <w:pPr>
              <w:spacing w:after="0"/>
              <w:rPr>
                <w:sz w:val="18"/>
                <w:szCs w:val="18"/>
                <w:color w:val="auto"/>
              </w:rPr>
            </w:pPr>
          </w:p>
        </w:tc>
        <w:tc>
          <w:tcPr>
            <w:tcW w:w="438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
        </w:trPr>
        <w:tc>
          <w:tcPr>
            <w:tcW w:w="35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tc>
        <w:tc>
          <w:tcPr>
            <w:tcW w:w="3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4"/>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The carrying value for the DOE Loan Facility is as follows:</w:t>
            </w:r>
          </w:p>
        </w:tc>
        <w:tc>
          <w:tcPr>
            <w:tcW w:w="3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3"/>
        </w:trPr>
        <w:tc>
          <w:tcPr>
            <w:tcW w:w="350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r>
      <w:tr>
        <w:trPr>
          <w:trHeight w:val="19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(life to date draw-downs)</w:t>
            </w:r>
          </w:p>
        </w:tc>
        <w:tc>
          <w:tcPr>
            <w:tcW w:w="4380" w:type="dxa"/>
            <w:vAlign w:val="bottom"/>
            <w:tcBorders>
              <w:bottom w:val="single" w:sz="8" w:color="CCEEFF"/>
            </w:tcBorders>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68,279</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PIK Interest</w:t>
            </w:r>
          </w:p>
        </w:tc>
        <w:tc>
          <w:tcPr>
            <w:tcW w:w="3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r>
      <w:tr>
        <w:trPr>
          <w:trHeight w:val="22"/>
        </w:trPr>
        <w:tc>
          <w:tcPr>
            <w:tcW w:w="3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35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3"/>
        </w:trPr>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35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65,452</w:t>
            </w:r>
          </w:p>
        </w:tc>
        <w:tc>
          <w:tcPr>
            <w:tcW w:w="8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obligated to reimburse the DOE for any payments the DOE is required to make to the FFB in connection with the DOE Loan Facility and have been included as part of the debt issuance costs. The Company’s reimbursement obligations to the DOE under the DOE Loan Facility, together with all other obligations of the Company owing to DOE, FFB and other secured parties thereunder, are full recourse and secured by a lien on all real and personal property and all intellectual property collateral of the Company and its subsidiaries.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approval and funding of any disbursements of the Guaranteed Loan will be subject to the satisfaction of conditions precedent, including, but not limited to, evidence of satisfaction of certain technical and performance-related conditions precedent, adequate project funding, reports from certain technical consultants and advisors, and the receipt of certain financial models demonstrating compliance with the financial covenants set forth in the DOE Loan Facility.</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DOE Loan Facility, the Company is subject to certain borrower and other affirmative and negative covenants customary for loan facilities extended under the DOE Loan Program including, among other things, covenants regarding (i) financial testing compliance, (ii) restrictions on operations and use, (iii) change of control, (iv) project-related reporting and information requirements and (v) compliance with the requirements of applicable law and the DOE Loan Program.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DOE Loan facility, contains the following financial covenants, including (each as defined in the DOE Loan facility) as of December 31, 2024.:</w:t>
      </w:r>
    </w:p>
    <w:p>
      <w:pPr>
        <w:spacing w:after="0" w:line="115"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Liquidity - as defined in the Loan Guarantee Agreement</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was in compliance with the Minimum Liquidity financial covenant. The DOE Loan Facility also contains financial covenants related to Minimum Consolidated Revenue and Minimum Consolidated EBITDA beginning December 31, 2025.</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DOE Loan Facility contains certain representations and warranties customary for the facilities extended under the DOE Loan Facility, including, among other things, representations and warranties regarding: (i) the organization and existence of the Company, (ii) authority and the absence of any conflicts, (iii) capitalization, (iv) solvency and (v) compliance with applicable law and the DOE Loan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AFG Convertible Notes - Related Party</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18, 2023, the Company entered into the Investment Agreement with the Purchasers relating to the issuance and sale to the Purchasers of $13,750 in aggregate principal amount of the Company’s AFG Convertible Notes.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Contractual Interest Rates </w:t>
      </w:r>
      <w:r>
        <w:rPr>
          <w:rFonts w:ascii="Times New Roman" w:cs="Times New Roman" w:eastAsia="Times New Roman" w:hAnsi="Times New Roman"/>
          <w:sz w:val="14"/>
          <w:szCs w:val="14"/>
          <w:color w:val="auto"/>
        </w:rPr>
        <w:t>- The AFG Convertible Notes bear interest at a rate of 26.5% per annum, which is entirely paid-in-kind. All interest payments are made through an increase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principal amount of the outstanding AFG Convertible Notes or through the issuance of additional notes (such interest is referred to herein as “PIK Interest”). Interest on the AFG Convertible Notes is payable semi-annually in arrears on June 30 and December 30, commencing on June 30, 2023. It is expected that the Notes will mature on June 30, 2026, subject to earlier conversion, redemption or repurchase.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Conversion Rights </w:t>
      </w:r>
      <w:r>
        <w:rPr>
          <w:rFonts w:ascii="Times New Roman" w:cs="Times New Roman" w:eastAsia="Times New Roman" w:hAnsi="Times New Roman"/>
          <w:sz w:val="14"/>
          <w:szCs w:val="14"/>
          <w:color w:val="auto"/>
        </w:rPr>
        <w:t>- The AFG Convertible Notes are convertible at the option of the holder (the “Conversion Option”) at any time until the business day prior to the maturity date, including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a redemption by the Company.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Optional Redemption </w:t>
      </w:r>
      <w:r>
        <w:rPr>
          <w:rFonts w:ascii="Times New Roman" w:cs="Times New Roman" w:eastAsia="Times New Roman" w:hAnsi="Times New Roman"/>
          <w:sz w:val="14"/>
          <w:szCs w:val="14"/>
          <w:color w:val="auto"/>
        </w:rPr>
        <w:t>- On or after June 30, 2024, provided that the Company has obtained stockholder approval, the AFG Convertible Notes are redeemable by the Company in the event that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closing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The redemption price will be equal to the then current principal amount of the AFG Convertible Notes (inclusive of all PIK Interest), plus the aggregate amount of all interest payments on the AFG Convertible Notes that the holders of the AFG Convertible Notes to be redeemed would have been entitled to receive had the AFG Convertible Notes remained outstanding to the maturity date. As of December 31, 2024, the Company has not sought stockholder approval.</w:t>
      </w:r>
    </w:p>
    <w:p>
      <w:pPr>
        <w:spacing w:after="0" w:line="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Contingent Redemption </w:t>
      </w:r>
      <w:r>
        <w:rPr>
          <w:rFonts w:ascii="Times New Roman" w:cs="Times New Roman" w:eastAsia="Times New Roman" w:hAnsi="Times New Roman"/>
          <w:sz w:val="14"/>
          <w:szCs w:val="14"/>
          <w:color w:val="auto"/>
        </w:rPr>
        <w:t>- With certain exceptions, upon the occurrence of certain events and fundamental changes described in the AFG Convertible Notes Agreement, the holders of the AFG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Convertible Notes may require that the Company repurchase all or part of the principal amount of the AFG Convertible Notes at a purchase price of 100% of the principal amount of the AFG Convertible Notes, plus accrued and unpaid interest.</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Embedded Derivative </w:t>
      </w:r>
      <w:r>
        <w:rPr>
          <w:rFonts w:ascii="Times New Roman" w:cs="Times New Roman" w:eastAsia="Times New Roman" w:hAnsi="Times New Roman"/>
          <w:sz w:val="14"/>
          <w:szCs w:val="14"/>
          <w:color w:val="auto"/>
        </w:rPr>
        <w:t>- The Conversion Option includes an exercise contingency, which requires the Company to obtain shareholder approval for conversions subject to the Exchange Cap.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shareholder approval is not obtained, following commercially reasonable efforts, the Company will be required to settle the conversion in excess of the Exchange Cap in cash. Since settlement in cash may be required in absence of shareholder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Consolidated Statements of Operations and Comprehensive Loss.</w:t>
      </w:r>
    </w:p>
    <w:p>
      <w:pPr>
        <w:spacing w:after="0" w:line="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the AFG Convertible Notes at issuance was $16,623, which was greater than the proceeds received. The Company recorded the difference of $2,873 as interest expense on the accompanying consolidated statement of operations and comprehensive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recognized on the AFG Convertible Notes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600" w:type="dxa"/>
            <w:vAlign w:val="bottom"/>
            <w:tcBorders>
              <w:bottom w:val="single" w:sz="8" w:color="auto"/>
            </w:tcBorders>
            <w:gridSpan w:val="4"/>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468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4680" w:type="dxa"/>
            <w:vAlign w:val="bottom"/>
            <w:tcBorders>
              <w:bottom w:val="single" w:sz="8" w:color="CCEEFF"/>
            </w:tcBorders>
            <w:gridSpan w:val="2"/>
            <w:shd w:val="clear" w:color="auto" w:fill="CCEEFF"/>
          </w:tcPr>
          <w:p>
            <w:pPr>
              <w:jc w:val="right"/>
              <w:ind w:right="129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3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2"/>
        </w:trPr>
        <w:tc>
          <w:tcPr>
            <w:tcW w:w="3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324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129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8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40" w:type="dxa"/>
            <w:vAlign w:val="bottom"/>
            <w:vMerge w:val="restart"/>
          </w:tcPr>
          <w:p>
            <w:pPr>
              <w:jc w:val="right"/>
              <w:ind w:right="1249"/>
              <w:spacing w:after="0"/>
              <w:rPr>
                <w:sz w:val="20"/>
                <w:szCs w:val="20"/>
                <w:color w:val="auto"/>
              </w:rPr>
            </w:pPr>
            <w:r>
              <w:rPr>
                <w:rFonts w:ascii="Times New Roman" w:cs="Times New Roman" w:eastAsia="Times New Roman" w:hAnsi="Times New Roman"/>
                <w:sz w:val="14"/>
                <w:szCs w:val="14"/>
                <w:color w:val="auto"/>
              </w:rPr>
              <w:t>88</w:t>
            </w: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8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 for the AFG Convertible Notes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80" w:type="dxa"/>
            <w:vAlign w:val="bottom"/>
            <w:tcBorders>
              <w:bottom w:val="single" w:sz="8" w:color="auto"/>
            </w:tcBorders>
          </w:tcPr>
          <w:p>
            <w:pPr>
              <w:spacing w:after="0"/>
              <w:rPr>
                <w:sz w:val="15"/>
                <w:szCs w:val="15"/>
                <w:color w:val="auto"/>
              </w:rPr>
            </w:pPr>
          </w:p>
        </w:tc>
      </w:tr>
      <w:tr>
        <w:trPr>
          <w:trHeight w:val="189"/>
        </w:trPr>
        <w:tc>
          <w:tcPr>
            <w:tcW w:w="7180" w:type="dxa"/>
            <w:vAlign w:val="bottom"/>
          </w:tcPr>
          <w:p>
            <w:pPr>
              <w:spacing w:after="0"/>
              <w:rPr>
                <w:sz w:val="16"/>
                <w:szCs w:val="16"/>
                <w:color w:val="auto"/>
              </w:rPr>
            </w:pPr>
          </w:p>
        </w:tc>
        <w:tc>
          <w:tcPr>
            <w:tcW w:w="14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1420" w:type="dxa"/>
            <w:vAlign w:val="bottom"/>
            <w:tcBorders>
              <w:bottom w:val="single" w:sz="8" w:color="CCEEFF"/>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22,353</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17,429</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1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r>
      <w:tr>
        <w:trPr>
          <w:trHeight w:val="22"/>
        </w:trPr>
        <w:tc>
          <w:tcPr>
            <w:tcW w:w="7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4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conversion feature</w:t>
            </w:r>
          </w:p>
        </w:tc>
        <w:tc>
          <w:tcPr>
            <w:tcW w:w="1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8"/>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loss from the change in fair value of the embedded derivative for the year ended December 31, 2024 was $38,779, and the gain from the change in fair value of the embedded derivative liability for the year ended December 31, 2023 was $2,106. See Note 16,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for the assumptions used to determine the fair value of the embedded derivative as of December 31, 2023 and as of the date of issuance. The Company is obligated to repay all contractual interest attributable to the AFG Convertible Notes in-kind on a semi-annual basis, in accordance with the terms of the Investment Agreement. During the year ended December 31, 2024, contractual interest in-kind of $4,924 was recorded as an increase to the AFG Convertible Notes' principal balance on the Consolidated Balance Sheets.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Secured Term Loan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29, 2022 (the "Closing Date"), the Company entered into a $100,000 Senior Secured Term Loan Credit Agreement with Atlas Credit Partners (ACP) Post Oak Credit I LLC (Atlas), as administrative agent for the Atlas Lenders and collateral agent for the secured parties. The Senior Secured Term Loan was scheduled to mature on the earlier of (i) July 29, 2026, and (ii) 91 days prior to the current maturity date of the 2021 Convertible Notes of June 30, 2026. The Company had the right at any time to prepay any Borrowing in whole or in part in an amount of not less than $500.</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outstanding principal balance of the Senior Secured Term Loan bore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U.S. Prime Lending Rate, (y) the NYFRB Rate (as defined in the Senior Secured Term Loan Agreement) plus 0.5% and (z) the SOFR. The applicable margin under the Credit Agreement was 8.5% per annum with respect to SOFR loans, and 7.5% per annum with respect to ABR loans. Interest on the Senior Secured Term Loan accrued at a variable interest rate, and interest payments are due quarterly. The Company may elect to convert SOFR Loans to ABR (and ABR Loans to SOFR).</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was required to be escrowed based on the principal outstanding. This amount was $11,755 at December 31, 2023. This escrowed amount was classified as restricted cash on the Consolidated Balance Sheets.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Termination of the Senior Secured Term Loan</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21, 2024, the Atlas Credit Agreement, and the subsequent commitment increase agreements thereto, which provided for a $100,000 Senior Secured Term Loan Credit Agreement, were terminated pursuant to the terms of the Atlas Payoff Letter and the Insurer Letter Agreement, and all security interests and other liens granted to or held by the Atlas Lenders were terminated and released.</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the Atlas Payoff Letter, the Company agreed to payoff the Senior Secured Term Loan for (a) approximately $11,900 (which was released from the interest escrow account maintained pursuant to the Atlas Credit Agreement and (b) $1,000 for the account of Atlas; provided that Atlas agreed to accept a participation in the Credit Agreement in lieu of such $1,000 payment, and (c) $8,000. In accordance with the Insurer Letter Agreement, the Company shall pay to the Atlas Insurers (i) on December 31, 2024, subject to the absence of certain events of default under the Credit Agreement, $3,000 and (ii) on June 30, 2025, subject to the absence of certain events of default under the Credit Agreement, $4,000.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Absent termination, the Senior Secured Term Loan would have matured on the earlier of (i) July 29, 2026 and (ii) 91 days prior to the maturity of certain of the Company’s outstanding convertible notes. The aggregate principal amount of the Senior Secured Term Loan outstanding was $100,000 at the time of termination.</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accounted for the termination of the Senior Secured Term Loan in accordance with ASC 470-60, </w:t>
      </w:r>
      <w:r>
        <w:rPr>
          <w:rFonts w:ascii="Times New Roman" w:cs="Times New Roman" w:eastAsia="Times New Roman" w:hAnsi="Times New Roman"/>
          <w:sz w:val="14"/>
          <w:szCs w:val="14"/>
          <w:i w:val="1"/>
          <w:iCs w:val="1"/>
          <w:color w:val="auto"/>
        </w:rPr>
        <w:t>Troubled Debt Restructurings</w:t>
      </w:r>
      <w:r>
        <w:rPr>
          <w:rFonts w:ascii="Times New Roman" w:cs="Times New Roman" w:eastAsia="Times New Roman" w:hAnsi="Times New Roman"/>
          <w:sz w:val="14"/>
          <w:szCs w:val="14"/>
          <w:color w:val="auto"/>
        </w:rPr>
        <w:t>. As a result, the Company recognized a restructuring gain of $68,478 in the Consolidated Statements of Operations and Comprehensive Loss for the twelve months ended December 31,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additional information on this transaction.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interest expense recognized on the Senior Secured Term Loan: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20" w:type="dxa"/>
            <w:vAlign w:val="bottom"/>
          </w:tcPr>
          <w:p>
            <w:pPr>
              <w:spacing w:after="0"/>
              <w:rPr>
                <w:sz w:val="16"/>
                <w:szCs w:val="16"/>
                <w:color w:val="auto"/>
              </w:rPr>
            </w:pPr>
          </w:p>
        </w:tc>
        <w:tc>
          <w:tcPr>
            <w:tcW w:w="13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380" w:type="dxa"/>
            <w:vAlign w:val="bottom"/>
            <w:tcBorders>
              <w:bottom w:val="single" w:sz="8" w:color="CCEEFF"/>
            </w:tcBorders>
            <w:gridSpan w:val="2"/>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Senior Secured Term Loan balances are as follows:</w:t>
            </w: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gridSpan w:val="3"/>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debt discount</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(1,459)</w:t>
            </w:r>
          </w:p>
        </w:tc>
        <w:tc>
          <w:tcPr>
            <w:tcW w:w="0" w:type="dxa"/>
            <w:vAlign w:val="bottom"/>
          </w:tcPr>
          <w:p>
            <w:pPr>
              <w:spacing w:after="0"/>
              <w:rPr>
                <w:sz w:val="1"/>
                <w:szCs w:val="1"/>
                <w:color w:val="auto"/>
              </w:rPr>
            </w:pPr>
          </w:p>
        </w:tc>
      </w:tr>
      <w:tr>
        <w:trPr>
          <w:trHeight w:val="22"/>
        </w:trPr>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(12,917)</w:t>
            </w: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Aggregate carrying value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85,624</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Equipment Financing facility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 of Draw</w:t>
            </w: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Gross Amount of Initial Draw</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Coupon Interest Rate</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Debt Issuance Costs</w:t>
            </w:r>
          </w:p>
        </w:tc>
      </w:tr>
      <w:tr>
        <w:trPr>
          <w:trHeight w:val="19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2021</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160" w:type="dxa"/>
            <w:vAlign w:val="bottom"/>
            <w:tcBorders>
              <w:bottom w:val="single" w:sz="8" w:color="CCEEFF"/>
            </w:tcBorders>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2022</w:t>
            </w:r>
          </w:p>
        </w:tc>
        <w:tc>
          <w:tcPr>
            <w:tcW w:w="2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216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2"/>
        </w:trPr>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Equipment Financing loans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11,216</w:t>
            </w:r>
          </w:p>
        </w:tc>
        <w:tc>
          <w:tcPr>
            <w:tcW w:w="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and December 31, 2023, total equipment financing debt outstanding was $2,385 and $5,710, respectively of which $2,014 and $3,332 are recorded as a current liability on the Consolidated Balance Sheets, respectively. For the years ended December 31, 2024 and 2023, the Company recognized $650 and $1,111 as interest expense attributable to the equipment financing agreement,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Borrowings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Yorkville Convertible Promissory Notes - Related Party</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2022, February 2023, March of 2023, and April 2023, the Company issued convertible promissory notes with an aggregate principal amount of $37,000 in a private placement to Yorkville under the second and third supplemental agreements to the SEPA. The fair values of the convertible promissory notes at issuance were greater than the proceeds received. Accordingly, the Company recorded the excess of fair value of these promissory notes over the proceeds as Interest expense - related parties in the amount of $17,571, for the year ended December 31, 2023, which is reflected in the Consolidated Statements of Operations and Comprehensive Loss.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first half of 2023, Yorkville delivered Investor Notices requiring the Company to issue and sell an aggregate of 22,947,029 shares of common stock to Yorkville to offset all outstanding amounts owed to Yorkville under the outstanding convertible promissory notes. The Company recognized a loss on debt extinguishment from the issuance of common stock from the outstanding convertible promissory notes of $3,510 for the for the year ended December 31, 2023, which is reflected in the Consolidated Statements of Operations and Comprehensive Loss.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conversion feature for each of the convertible promissory notes did not qualify for the scope exception to derivative accounting, therefore the conversion option was bifurcated from each convertible promissory note. The bifurcated derivatives were recorded at their initial fair value on the date of issuance and subject to remeasurement at the debt extinguishment date, with changes in fair value recognized as a realized gain or loss in the Consolidated Statements of Operations and Comprehensive Loss. Net gain of $6,922 was recognized for the year ended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there were no outstanding Yorkville convertible promissory notes.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Warrants Liability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exercise price, amount of warrants outstanding and fair value for all warrants as of December 31, 2024 and 2023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40" w:type="dxa"/>
            <w:vAlign w:val="bottom"/>
            <w:gridSpan w:val="5"/>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40" w:type="dxa"/>
            <w:vAlign w:val="bottom"/>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0"/>
        </w:trPr>
        <w:tc>
          <w:tcPr>
            <w:tcW w:w="38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186"/>
        </w:trPr>
        <w:tc>
          <w:tcPr>
            <w:tcW w:w="382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Warrants Outstanding</w:t>
            </w:r>
          </w:p>
        </w:tc>
        <w:tc>
          <w:tcPr>
            <w:tcW w:w="220" w:type="dxa"/>
            <w:vAlign w:val="bottom"/>
          </w:tcPr>
          <w:p>
            <w:pPr>
              <w:spacing w:after="0"/>
              <w:rPr>
                <w:sz w:val="16"/>
                <w:szCs w:val="16"/>
                <w:color w:val="auto"/>
              </w:rPr>
            </w:pPr>
          </w:p>
        </w:tc>
        <w:tc>
          <w:tcPr>
            <w:tcW w:w="10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3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IPO warrants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274,400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274,400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2023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56,400</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w:t>
            </w:r>
          </w:p>
        </w:tc>
      </w:tr>
      <w:tr>
        <w:trPr>
          <w:trHeight w:val="22"/>
        </w:trPr>
        <w:tc>
          <w:tcPr>
            <w:tcW w:w="3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2023 warrants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3,601,980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13,126</w:t>
            </w: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3,601,980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2023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29,799,992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119,796</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34,482,759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19,586</w:t>
            </w:r>
          </w:p>
        </w:tc>
      </w:tr>
      <w:tr>
        <w:trPr>
          <w:trHeight w:val="22"/>
        </w:trPr>
        <w:tc>
          <w:tcPr>
            <w:tcW w:w="3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3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49,676,372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189,591</w:t>
            </w:r>
          </w:p>
        </w:tc>
        <w:tc>
          <w:tcPr>
            <w:tcW w:w="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54,359,139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27,461</w:t>
            </w: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liability - related party</w:t>
            </w:r>
          </w:p>
        </w:tc>
        <w:tc>
          <w:tcPr>
            <w:tcW w:w="1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3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 Warrant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188,857</w:t>
            </w: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Contingent warrants</w:t>
            </w:r>
            <w:r>
              <w:rPr>
                <w:rFonts w:ascii="Times New Roman" w:cs="Times New Roman" w:eastAsia="Times New Roman" w:hAnsi="Times New Roman"/>
                <w:sz w:val="18"/>
                <w:szCs w:val="18"/>
                <w:color w:val="auto"/>
                <w:vertAlign w:val="superscript"/>
              </w:rPr>
              <w:t>(a)</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77,773</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266,630</w:t>
            </w: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(a) Contingent warrants represent future issuable shares of stock. See Note 3, </w:t>
      </w:r>
      <w:r>
        <w:rPr>
          <w:rFonts w:ascii="Times New Roman" w:cs="Times New Roman" w:eastAsia="Times New Roman" w:hAnsi="Times New Roman"/>
          <w:sz w:val="11"/>
          <w:szCs w:val="11"/>
          <w:i w:val="1"/>
          <w:iCs w:val="1"/>
          <w:color w:val="auto"/>
        </w:rPr>
        <w:t>Credit and Securities Purchase Transaction</w:t>
      </w:r>
      <w:r>
        <w:rPr>
          <w:rFonts w:ascii="Times New Roman" w:cs="Times New Roman" w:eastAsia="Times New Roman" w:hAnsi="Times New Roman"/>
          <w:sz w:val="11"/>
          <w:szCs w:val="11"/>
          <w:color w:val="auto"/>
        </w:rPr>
        <w:t xml:space="preserve"> for further discussion</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change in fair value for IPO Warrants, April 2023 Warrants, May 2023 Warrants and December 2023 Warrants have been recognized in change in fair value of warrants on the Company’s Consolidated Statements of Operations and Comprehensive Loss. The fair value for these warrants is included in Warrants liability on the Consolidated Balance Sheets. The change in fair value for the SPA warrant and Contingent Warrants have been recognized in Change in fair value of derivatives - related parties on the Company’s Consolidated Statements of Operations and Comprehensive Loss. The fair value for these warrants is included in Warrants liability - related party on the Consolidated Balance Sheets. See Note 16,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information</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Warrants Liability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issued private placement warrants to B. Riley Financial, Inc. in conjunction with its initial public offering 2020 (“IPO warrants”).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April 2023, the Company issued 16,000,000 shares of common stock and 16,000,000 private placement warrants to purchase shares of common stock, and in May 2023, the Company issued another 3,601,980 shares of common stock and 3,601,980 private placement warrants to purchase shares of common stock (the “April 2023 Transaction” and “May 2023 Transaction”, respectively). The proceeds from the April 2023 Transaction and May 2023 Transaction were $40,000, and $8,000, respectively. The fair value of the warrants and common stock for the April 2023 Transaction and May 2023 Transaction at issuance was $66,366 and $13,267, respectively, which was greater than the proceeds. As such, the Company recorded the excess as losses in the amounts of $26,366 and $5,267, respectively, as a component of change in fair value of warrants in the Company’s Consolidated Statements of Operations and Comprehensive Loss. The Company paid $2,328 in underwriting fees at closing related to the Transactions.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December 2023, the Company issued in a combined public offering (i) 34,482,759 shares of its common stock and (ii) accompanying common warrants to purchase one share of common stock for each share of common stock sold (the "December 2023 Public Offering"). The gross proceeds to the Company from the December 2023 Public Offering were $50,000, before deducting underwriting fees at closing. The offering price for each share of common stock and accompanying warrant was $1.45. The fair value of the warrants and common stock for the December 2023 Public Offering at issuance was $71,294, which was greater than the proceeds. As such, the Company recorded the excess as losses in the amount of $21,294, as a component of change in fair value of warrants in the Company’s Consolidated Statements of Operations and Comprehensive Loss. The Company paid $2,500 in underwriting fees at closing and incurred an additional $175 in legal fees related to the offering. For the year ended December 31, 2024, 4,682,767 of the December 2023 warrants were exercised generating approximately $7,492 for the Company.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2023 warrants do not qualify for equity classification guidance in ASC 815-40 and are measured at fair value at each reporting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 liability - related party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SPA Warrant</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As discussed in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the Company issued to the Purchaser, one warrant to purchase 43,276,194 shares of common stock. The warrant has a Ten-year term, a $0.01 per share exercise price, and is exercisable at the Purchaser’s discretion for cash or on a cashless basis. Upon an acceleration under the Credit Agreement, the Company could be required to purchase the warrant from the holder at an amount equal to the most recently quoted price. Following stockholder approval on September 10, 2024, the Conversion Cap increased to 49.9%. See Note 3, </w:t>
      </w:r>
      <w:r>
        <w:rPr>
          <w:rFonts w:ascii="Times New Roman" w:cs="Times New Roman" w:eastAsia="Times New Roman" w:hAnsi="Times New Roman"/>
          <w:sz w:val="14"/>
          <w:szCs w:val="14"/>
          <w:i w:val="1"/>
          <w:iCs w:val="1"/>
          <w:color w:val="auto"/>
        </w:rPr>
        <w:t>Credit Agreement and Securities Purchase Transaction</w:t>
      </w:r>
      <w:r>
        <w:rPr>
          <w:rFonts w:ascii="Times New Roman" w:cs="Times New Roman" w:eastAsia="Times New Roman" w:hAnsi="Times New Roman"/>
          <w:sz w:val="14"/>
          <w:szCs w:val="14"/>
          <w:color w:val="auto"/>
        </w:rPr>
        <w:t xml:space="preserve"> for additional information on this transaction.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Warrants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Following the Initial Draw, on three separate predetermined draw dates (for the third draw, see Note 23,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upon the achievement of the corresponding performance milestone for each such draw date, the Company received additional funds under the Credit Agreement and issued securities under the SPA in an amount equal to the applicable percentage, up to an aggregate of 33.0% ownership limitation on a fully-diluted basis as of the time the Delayed Draw Term Loan was fully drawn. Although these contingent warrants were not issued or exercisable until additional draws occurred, they meet the guidance under ASC 480 and are recognized at fair value with changes in fair value reported in the Consolidated Statements of Operations and Comprehensive Loss. The applicable percentage is subject to increase by 8.0% to up to 41.0% on a fully diluted basis to the extent that milestones are not met on the final measurement date on April 30, 2025, in which case additional Contingent Warrants would be issuable.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leases machinery, manufacturing facilities, office space, land, and equipment under both operating and finance leases. Lease assets and lease liabilities as of December 31, 2024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40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Classification on Balance Sheet</w:t>
            </w: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4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ROU operating lease assets</w:t>
            </w: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 net</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8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5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assets</w:t>
            </w: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40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Classification on Balance Sheet</w:t>
            </w: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4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191"/>
        </w:trPr>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lease liability</w:t>
            </w: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3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liability</w:t>
            </w:r>
          </w:p>
        </w:tc>
        <w:tc>
          <w:tcPr>
            <w:tcW w:w="5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Finance lease liability</w:t>
            </w: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3,595</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lease costs for the years ended December 31, 2024 and 2023, were $1,938 and $1,573, respectively. As of December 31, 2024 and 2023, the weighted average remaining term (in years) for the operating leases was 1.82 and 2.77 years, respectively and the weighted average discount rate was 18.3% and 16.0%, respectively. As of December 31, 2024 and 2023, the weighted average remaining term (in years) for the finance leases was 2.18 and 2.54 years, respectively, and the weighted average discount rate was 20.8% and 26.3%,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minimum lease payments as of December 31, 2024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tcBorders>
              <w:bottom w:val="single" w:sz="8" w:color="CCEEFF"/>
            </w:tcBorders>
            <w:shd w:val="clear" w:color="auto" w:fill="CCEEFF"/>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r>
      <w:tr>
        <w:trPr>
          <w:trHeight w:val="22"/>
        </w:trPr>
        <w:tc>
          <w:tcPr>
            <w:tcW w:w="4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16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w:t>
            </w:r>
          </w:p>
        </w:tc>
      </w:tr>
      <w:tr>
        <w:trPr>
          <w:trHeight w:val="18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16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minimum lease payments</w:t>
            </w:r>
          </w:p>
        </w:tc>
        <w:tc>
          <w:tcPr>
            <w:tcW w:w="1600" w:type="dxa"/>
            <w:vAlign w:val="bottom"/>
            <w:tcBorders>
              <w:bottom w:val="single" w:sz="8" w:color="auto"/>
            </w:tcBorders>
            <w:shd w:val="clear" w:color="auto" w:fill="CCEEFF"/>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Fair Value Measurement</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restricted cash, accounts receivable, notes receivable, contract assets, accounts payable, accrued expenses, warrants, notes payable — related party, contract liabilities, and long-term debt.</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Fair Value Measurement </w:t>
      </w:r>
      <w:r>
        <w:rPr>
          <w:rFonts w:ascii="Times New Roman" w:cs="Times New Roman" w:eastAsia="Times New Roman" w:hAnsi="Times New Roman"/>
          <w:sz w:val="14"/>
          <w:szCs w:val="14"/>
          <w:color w:val="auto"/>
        </w:rPr>
        <w:t>(cont.)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11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Inputs that are generally unobservable and typically reflect management’s estimate of assumptions that market participants would use in pricing the asset or liability.</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carrying value of cash and cash equivalents, restricted cash, accounts receivable, contract assets, contract liabilities and accounts payable, and DOE Loan Facility are considered to be representative of their fair value.</w:t>
      </w:r>
    </w:p>
    <w:p>
      <w:pPr>
        <w:spacing w:after="0" w:line="6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table below summarizes the fair values of certain liabilities that are included within the Company's accompanying Consolidated Balance Sheets, and their designations among the three fair value measurement categories: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2"/>
        </w:trPr>
        <w:tc>
          <w:tcPr>
            <w:tcW w:w="364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5"/>
                <w:szCs w:val="15"/>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5"/>
                <w:szCs w:val="15"/>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80"/>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2"/>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SPA Warrant </w:t>
            </w:r>
            <w:r>
              <w:rPr>
                <w:rFonts w:ascii="Times New Roman" w:cs="Times New Roman" w:eastAsia="Times New Roman" w:hAnsi="Times New Roman"/>
                <w:sz w:val="18"/>
                <w:szCs w:val="18"/>
                <w:color w:val="auto"/>
                <w:vertAlign w:val="superscript"/>
              </w:rPr>
              <w:t>(a)</w:t>
            </w: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188,857</w:t>
            </w:r>
          </w:p>
        </w:tc>
        <w:tc>
          <w:tcPr>
            <w:tcW w:w="100" w:type="dxa"/>
            <w:vAlign w:val="bottom"/>
          </w:tcPr>
          <w:p>
            <w:pPr>
              <w:spacing w:after="0"/>
              <w:rPr>
                <w:sz w:val="18"/>
                <w:szCs w:val="18"/>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Contingent warrants </w:t>
            </w:r>
            <w:r>
              <w:rPr>
                <w:rFonts w:ascii="Times New Roman" w:cs="Times New Roman" w:eastAsia="Times New Roman" w:hAnsi="Times New Roman"/>
                <w:sz w:val="18"/>
                <w:szCs w:val="18"/>
                <w:color w:val="auto"/>
                <w:vertAlign w:val="superscript"/>
              </w:rPr>
              <w:t>(a)</w:t>
            </w:r>
          </w:p>
        </w:tc>
        <w:tc>
          <w:tcPr>
            <w:tcW w:w="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IPO, April, May and December 2023 Warrants </w:t>
            </w:r>
            <w:r>
              <w:rPr>
                <w:rFonts w:ascii="Times New Roman" w:cs="Times New Roman" w:eastAsia="Times New Roman" w:hAnsi="Times New Roman"/>
                <w:sz w:val="18"/>
                <w:szCs w:val="18"/>
                <w:color w:val="auto"/>
                <w:vertAlign w:val="superscript"/>
              </w:rPr>
              <w:t>(b)</w:t>
            </w:r>
          </w:p>
        </w:tc>
        <w:tc>
          <w:tcPr>
            <w:tcW w:w="88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27,406</w:t>
            </w: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Delayed Draw Term Loan</w:t>
            </w:r>
          </w:p>
        </w:tc>
        <w:tc>
          <w:tcPr>
            <w:tcW w:w="8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derivatives</w:t>
            </w:r>
            <w:r>
              <w:rPr>
                <w:rFonts w:ascii="Times New Roman" w:cs="Times New Roman" w:eastAsia="Times New Roman" w:hAnsi="Times New Roman"/>
                <w:sz w:val="18"/>
                <w:szCs w:val="18"/>
                <w:color w:val="auto"/>
                <w:vertAlign w:val="superscript"/>
              </w:rPr>
              <w:t>(c)</w:t>
            </w: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4,423</w:t>
            </w:r>
          </w:p>
        </w:tc>
      </w:tr>
      <w:tr>
        <w:trPr>
          <w:trHeight w:val="223"/>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31,829</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Warrants liability - Related party on the Consolidated Balance Sheets.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these instruments are Level 3, except for the IPO warrants (Level 2). These are included in Warrants liability on the Consolidated Balance Sheets.</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Notes Payable - Related Party on the Consolidated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IPO Warrants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IPO warrants are classified as Level 2 financial instruments in the table above. They are valued on the basis of the quoted price of the Company’s public warrants, adjusted for insignificant difference between the public warrants and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Fair Value Measurement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2023 warrants, May 2023 warrants and December 2023 warrants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April 2023 warrants, May 2023 warrants, and the December 2023 warrants are classified as Level 3 financial instruments in the table above. The Company estimated the fair value of these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inputs used to determine the fair value of the April 2023 warrants, May 2023 warrants, and the December 2023 warrants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April 2023 warrants</w:t>
            </w:r>
          </w:p>
        </w:tc>
        <w:tc>
          <w:tcPr>
            <w:tcW w:w="480" w:type="dxa"/>
            <w:vAlign w:val="bottom"/>
          </w:tcPr>
          <w:p>
            <w:pPr>
              <w:spacing w:after="0"/>
              <w:rPr>
                <w:sz w:val="17"/>
                <w:szCs w:val="17"/>
                <w:color w:val="auto"/>
              </w:rPr>
            </w:pPr>
          </w:p>
        </w:tc>
        <w:tc>
          <w:tcPr>
            <w:tcW w:w="2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1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April 12, 2023</w:t>
            </w:r>
          </w:p>
        </w:tc>
      </w:tr>
      <w:tr>
        <w:trPr>
          <w:trHeight w:val="22"/>
        </w:trPr>
        <w:tc>
          <w:tcPr>
            <w:tcW w:w="2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to expiration</w:t>
            </w:r>
          </w:p>
        </w:tc>
        <w:tc>
          <w:tcPr>
            <w:tcW w:w="48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3.79 years</w:t>
            </w:r>
          </w:p>
        </w:tc>
        <w:tc>
          <w:tcPr>
            <w:tcW w:w="2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4.79 years</w:t>
            </w:r>
          </w:p>
        </w:tc>
        <w:tc>
          <w:tcPr>
            <w:tcW w:w="62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 years</w:t>
            </w: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price</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6"/>
                <w:szCs w:val="16"/>
                <w:color w:val="auto"/>
              </w:rPr>
            </w:pPr>
          </w:p>
        </w:tc>
        <w:tc>
          <w:tcPr>
            <w:tcW w:w="2120" w:type="dxa"/>
            <w:vAlign w:val="bottom"/>
          </w:tcPr>
          <w:p>
            <w:pPr>
              <w:jc w:val="right"/>
              <w:ind w:right="19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2.61</w:t>
            </w:r>
          </w:p>
        </w:tc>
      </w:tr>
      <w:tr>
        <w:trPr>
          <w:trHeight w:val="22"/>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8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48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22"/>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2"/>
        </w:trPr>
        <w:tc>
          <w:tcPr>
            <w:tcW w:w="2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May 2023 warrants</w:t>
            </w:r>
          </w:p>
        </w:tc>
        <w:tc>
          <w:tcPr>
            <w:tcW w:w="480" w:type="dxa"/>
            <w:vAlign w:val="bottom"/>
          </w:tcPr>
          <w:p>
            <w:pPr>
              <w:spacing w:after="0"/>
              <w:rPr>
                <w:sz w:val="17"/>
                <w:szCs w:val="17"/>
                <w:color w:val="auto"/>
              </w:rPr>
            </w:pPr>
          </w:p>
        </w:tc>
        <w:tc>
          <w:tcPr>
            <w:tcW w:w="2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1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8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May 15, 2023</w:t>
            </w:r>
          </w:p>
        </w:tc>
      </w:tr>
      <w:tr>
        <w:trPr>
          <w:trHeight w:val="22"/>
        </w:trPr>
        <w:tc>
          <w:tcPr>
            <w:tcW w:w="2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8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to expiration</w:t>
            </w:r>
          </w:p>
        </w:tc>
        <w:tc>
          <w:tcPr>
            <w:tcW w:w="48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3.54 years</w:t>
            </w:r>
          </w:p>
        </w:tc>
        <w:tc>
          <w:tcPr>
            <w:tcW w:w="2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4.54 years</w:t>
            </w:r>
          </w:p>
        </w:tc>
        <w:tc>
          <w:tcPr>
            <w:tcW w:w="6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 years</w:t>
            </w: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price</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6"/>
                <w:szCs w:val="16"/>
                <w:color w:val="auto"/>
              </w:rPr>
            </w:pPr>
          </w:p>
        </w:tc>
        <w:tc>
          <w:tcPr>
            <w:tcW w:w="2120" w:type="dxa"/>
            <w:vAlign w:val="bottom"/>
          </w:tcPr>
          <w:p>
            <w:pPr>
              <w:jc w:val="right"/>
              <w:ind w:right="19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2.31</w:t>
            </w:r>
          </w:p>
        </w:tc>
      </w:tr>
      <w:tr>
        <w:trPr>
          <w:trHeight w:val="22"/>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8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48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22"/>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2"/>
        </w:trPr>
        <w:tc>
          <w:tcPr>
            <w:tcW w:w="2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2023 warrants</w:t>
            </w:r>
          </w:p>
        </w:tc>
        <w:tc>
          <w:tcPr>
            <w:tcW w:w="480" w:type="dxa"/>
            <w:vAlign w:val="bottom"/>
          </w:tcPr>
          <w:p>
            <w:pPr>
              <w:spacing w:after="0"/>
              <w:rPr>
                <w:sz w:val="17"/>
                <w:szCs w:val="17"/>
                <w:color w:val="auto"/>
              </w:rPr>
            </w:pPr>
          </w:p>
        </w:tc>
        <w:tc>
          <w:tcPr>
            <w:tcW w:w="2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7"/>
                <w:szCs w:val="17"/>
                <w:color w:val="auto"/>
              </w:rPr>
            </w:pPr>
          </w:p>
        </w:tc>
        <w:tc>
          <w:tcPr>
            <w:tcW w:w="24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17"/>
                <w:szCs w:val="17"/>
                <w:color w:val="auto"/>
              </w:rPr>
            </w:pPr>
          </w:p>
        </w:tc>
        <w:tc>
          <w:tcPr>
            <w:tcW w:w="236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December 14, 2023</w:t>
            </w:r>
          </w:p>
        </w:tc>
      </w:tr>
      <w:tr>
        <w:trPr>
          <w:trHeight w:val="22"/>
        </w:trPr>
        <w:tc>
          <w:tcPr>
            <w:tcW w:w="2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18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to expiration</w:t>
            </w:r>
          </w:p>
        </w:tc>
        <w:tc>
          <w:tcPr>
            <w:tcW w:w="48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3.96 years</w:t>
            </w:r>
          </w:p>
        </w:tc>
        <w:tc>
          <w:tcPr>
            <w:tcW w:w="4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gridSpan w:val="2"/>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4.96 years</w:t>
            </w:r>
          </w:p>
        </w:tc>
        <w:tc>
          <w:tcPr>
            <w:tcW w:w="46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years</w:t>
            </w: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price</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1.32</w:t>
            </w:r>
          </w:p>
        </w:tc>
      </w:tr>
      <w:tr>
        <w:trPr>
          <w:trHeight w:val="22"/>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8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9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48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estimated the fair value of the embedded conversion features in the 2021 Convertible Note and AFG Convertible Note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inputs used to determine the fair value of the embedded derivative liabilities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 Convertible Note</w:t>
            </w:r>
          </w:p>
        </w:tc>
        <w:tc>
          <w:tcPr>
            <w:tcW w:w="29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94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w:t>
            </w:r>
          </w:p>
        </w:tc>
        <w:tc>
          <w:tcPr>
            <w:tcW w:w="2980" w:type="dxa"/>
            <w:vAlign w:val="bottom"/>
            <w:tcBorders>
              <w:bottom w:val="single" w:sz="8" w:color="CCEEFF"/>
            </w:tcBorders>
            <w:gridSpan w:val="2"/>
            <w:shd w:val="clear" w:color="auto" w:fill="CCEEFF"/>
          </w:tcPr>
          <w:p>
            <w:pPr>
              <w:ind w:left="2280"/>
              <w:spacing w:after="0"/>
              <w:rPr>
                <w:sz w:val="20"/>
                <w:szCs w:val="20"/>
                <w:color w:val="auto"/>
              </w:rPr>
            </w:pPr>
            <w:r>
              <w:rPr>
                <w:rFonts w:ascii="Times New Roman" w:cs="Times New Roman" w:eastAsia="Times New Roman" w:hAnsi="Times New Roman"/>
                <w:sz w:val="14"/>
                <w:szCs w:val="14"/>
                <w:color w:val="auto"/>
              </w:rPr>
              <w:t>1.50 Years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years</w:t>
            </w:r>
          </w:p>
        </w:tc>
      </w:tr>
      <w:tr>
        <w:trPr>
          <w:trHeight w:val="19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5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9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tcPr>
          <w:p>
            <w:pPr>
              <w:spacing w:after="0"/>
              <w:rPr>
                <w:sz w:val="16"/>
                <w:szCs w:val="16"/>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22"/>
        </w:trPr>
        <w:tc>
          <w:tcPr>
            <w:tcW w:w="5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debt yield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901"/>
        </w:trPr>
        <w:tc>
          <w:tcPr>
            <w:tcW w:w="5360" w:type="dxa"/>
            <w:vAlign w:val="bottom"/>
          </w:tcPr>
          <w:p>
            <w:pPr>
              <w:spacing w:after="0"/>
              <w:rPr>
                <w:sz w:val="24"/>
                <w:szCs w:val="24"/>
                <w:color w:val="auto"/>
              </w:rPr>
            </w:pPr>
          </w:p>
        </w:tc>
        <w:tc>
          <w:tcPr>
            <w:tcW w:w="2900" w:type="dxa"/>
            <w:vAlign w:val="bottom"/>
          </w:tcPr>
          <w:p>
            <w:pPr>
              <w:jc w:val="right"/>
              <w:ind w:right="2469"/>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7"/>
        </w:trPr>
        <w:tc>
          <w:tcPr>
            <w:tcW w:w="536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Fair Value Measurement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AFG Convertible Note</w:t>
            </w:r>
          </w:p>
        </w:tc>
        <w:tc>
          <w:tcPr>
            <w:tcW w:w="21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January 18, 2023</w:t>
            </w:r>
          </w:p>
        </w:tc>
      </w:tr>
      <w:tr>
        <w:trPr>
          <w:trHeight w:val="22"/>
        </w:trPr>
        <w:tc>
          <w:tcPr>
            <w:tcW w:w="24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w:t>
            </w:r>
          </w:p>
        </w:tc>
        <w:tc>
          <w:tcPr>
            <w:tcW w:w="2140" w:type="dxa"/>
            <w:vAlign w:val="bottom"/>
            <w:tcBorders>
              <w:bottom w:val="single" w:sz="8" w:color="CCEEFF"/>
            </w:tcBorders>
            <w:shd w:val="clear" w:color="auto" w:fill="CCEEFF"/>
          </w:tcPr>
          <w:p>
            <w:pPr>
              <w:spacing w:after="0"/>
              <w:rPr>
                <w:sz w:val="15"/>
                <w:szCs w:val="15"/>
                <w:color w:val="auto"/>
              </w:rPr>
            </w:pPr>
          </w:p>
        </w:tc>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1.50 Years</w:t>
            </w:r>
          </w:p>
        </w:tc>
        <w:tc>
          <w:tcPr>
            <w:tcW w:w="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2.50 years</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 years</w:t>
            </w:r>
          </w:p>
        </w:tc>
      </w:tr>
      <w:tr>
        <w:trPr>
          <w:trHeight w:val="191"/>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140" w:type="dxa"/>
            <w:vAlign w:val="bottom"/>
          </w:tcPr>
          <w:p>
            <w:pPr>
              <w:spacing w:after="0"/>
              <w:rPr>
                <w:sz w:val="16"/>
                <w:szCs w:val="16"/>
                <w:color w:val="auto"/>
              </w:rPr>
            </w:pPr>
          </w:p>
        </w:tc>
        <w:tc>
          <w:tcPr>
            <w:tcW w:w="2980" w:type="dxa"/>
            <w:vAlign w:val="bottom"/>
            <w:gridSpan w:val="3"/>
          </w:tcPr>
          <w:p>
            <w:pPr>
              <w:jc w:val="right"/>
              <w:ind w:right="2189"/>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Borders>
              <w:bottom w:val="single" w:sz="8" w:color="CCEEFF"/>
            </w:tcBorders>
            <w:shd w:val="clear" w:color="auto" w:fill="CCEEFF"/>
          </w:tcPr>
          <w:p>
            <w:pPr>
              <w:spacing w:after="0"/>
              <w:rPr>
                <w:sz w:val="16"/>
                <w:szCs w:val="16"/>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91"/>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2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 w:type="dxa"/>
            <w:vAlign w:val="bottom"/>
          </w:tcPr>
          <w:p>
            <w:pPr>
              <w:spacing w:after="0"/>
              <w:rPr>
                <w:sz w:val="16"/>
                <w:szCs w:val="16"/>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r>
      <w:tr>
        <w:trPr>
          <w:trHeight w:val="22"/>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debt yield</w:t>
            </w:r>
          </w:p>
        </w:tc>
        <w:tc>
          <w:tcPr>
            <w:tcW w:w="2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6"/>
                <w:szCs w:val="16"/>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22"/>
        </w:trPr>
        <w:tc>
          <w:tcPr>
            <w:tcW w:w="24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Accounting for instruments resulting from the Credit and Securities Purchase Transaction</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Loan commitment assets were measured at fair value as of June 21, 2024 (see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The fair value was $76,091 at issuance calculated using the discounted cash flow model. They will not be subsequently remeasured at fair value.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instruments that were initially and subsequently measured at fair value. (see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32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Initial measurement date</w:t>
            </w:r>
          </w:p>
        </w:tc>
        <w:tc>
          <w:tcPr>
            <w:tcW w:w="312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Initial Fair Value</w:t>
            </w: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r>
        <w:trPr>
          <w:trHeight w:val="183"/>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Draw of the Delayed Draw Term Loan</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6/21/2024</w:t>
            </w:r>
          </w:p>
        </w:tc>
        <w:tc>
          <w:tcPr>
            <w:tcW w:w="100" w:type="dxa"/>
            <w:vAlign w:val="bottom"/>
            <w:tcBorders>
              <w:bottom w:val="single" w:sz="8" w:color="CCEEFF"/>
            </w:tcBorders>
            <w:shd w:val="clear" w:color="auto" w:fill="CCEEFF"/>
          </w:tcPr>
          <w:p>
            <w:pPr>
              <w:spacing w:after="0"/>
              <w:rPr>
                <w:sz w:val="15"/>
                <w:szCs w:val="15"/>
                <w:color w:val="auto"/>
              </w:rPr>
            </w:pP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25,653</w:t>
            </w:r>
          </w:p>
        </w:tc>
      </w:tr>
      <w:tr>
        <w:trPr>
          <w:trHeight w:val="191"/>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SPA Warrant</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6/21/2024</w:t>
            </w:r>
          </w:p>
        </w:tc>
        <w:tc>
          <w:tcPr>
            <w:tcW w:w="1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32,903</w:t>
            </w: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2"/>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Warrants</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6/21/2024</w:t>
            </w:r>
          </w:p>
        </w:tc>
        <w:tc>
          <w:tcPr>
            <w:tcW w:w="100" w:type="dxa"/>
            <w:vAlign w:val="bottom"/>
            <w:tcBorders>
              <w:bottom w:val="single" w:sz="8" w:color="CCEEFF"/>
            </w:tcBorders>
            <w:shd w:val="clear" w:color="auto" w:fill="CCEEFF"/>
          </w:tcPr>
          <w:p>
            <w:pPr>
              <w:spacing w:after="0"/>
              <w:rPr>
                <w:sz w:val="16"/>
                <w:szCs w:val="16"/>
                <w:color w:val="auto"/>
              </w:rPr>
            </w:pP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62,191</w:t>
            </w:r>
          </w:p>
        </w:tc>
      </w:tr>
      <w:tr>
        <w:trPr>
          <w:trHeight w:val="191"/>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Draw of the Delayed Draw Term Loan</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8/29/2024</w:t>
            </w:r>
          </w:p>
        </w:tc>
        <w:tc>
          <w:tcPr>
            <w:tcW w:w="1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w:t>
            </w: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1"/>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Draw of the Delayed Draw Term Loan</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10/31/2024</w:t>
            </w:r>
          </w:p>
        </w:tc>
        <w:tc>
          <w:tcPr>
            <w:tcW w:w="100" w:type="dxa"/>
            <w:vAlign w:val="bottom"/>
            <w:shd w:val="clear" w:color="auto" w:fill="CCEEFF"/>
          </w:tcPr>
          <w:p>
            <w:pPr>
              <w:spacing w:after="0"/>
              <w:rPr>
                <w:sz w:val="16"/>
                <w:szCs w:val="16"/>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28,340</w:t>
            </w:r>
          </w:p>
        </w:tc>
      </w:tr>
      <w:tr>
        <w:trPr>
          <w:trHeight w:val="22"/>
        </w:trPr>
        <w:tc>
          <w:tcPr>
            <w:tcW w:w="4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each draw of the Delayed Draw Term Loan was estimated using a discounted cash flow (“DCF”) method, based on the contractual cash flows discounted at a debt yield and considering the probability of achieving certain milestones.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for the SPA warrant is estimated based on its intrinsic value, using the Eos common stock closing price adjusted by a discount for lack of marketability (“DLOM”), less the exercise price of $0.01 for the SPA Warrant. A DLOM was applied considering the underlying shares of the SPA Warrants are unregistered.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the Contingent Warrants is estimated based on the underlying Eos common stock closing price adjusted by a DLOM using Black-Scholes option pricing model, considering the probability of achieving certain milestones. A DLOM was applied considering the underlying shares of the Contingent Warrants are unregistered.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values for all the above instruments are designated as level 3 measurements as they rely on significant unobservable inputs. The significant unobservable inputs for each of these instruments are disclosed in the tables below. All other inputs used are observable.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Quantitative information about all significant unobservable inputs used in the fair value measurement for non-recurring level 3 measurements: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Loan Commitment Assets:</w:t>
            </w:r>
          </w:p>
        </w:tc>
        <w:tc>
          <w:tcPr>
            <w:tcW w:w="4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r>
      <w:tr>
        <w:trPr>
          <w:trHeight w:val="19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Milestones achievement expectations</w:t>
            </w:r>
          </w:p>
        </w:tc>
        <w:tc>
          <w:tcPr>
            <w:tcW w:w="4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Very high probability</w:t>
            </w:r>
          </w:p>
        </w:tc>
      </w:tr>
      <w:tr>
        <w:trPr>
          <w:trHeight w:val="191"/>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yield</w:t>
            </w:r>
          </w:p>
        </w:tc>
        <w:tc>
          <w:tcPr>
            <w:tcW w:w="7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47.5 %</w:t>
            </w:r>
          </w:p>
        </w:tc>
      </w:tr>
      <w:tr>
        <w:trPr>
          <w:trHeight w:val="732"/>
        </w:trPr>
        <w:tc>
          <w:tcPr>
            <w:tcW w:w="3860" w:type="dxa"/>
            <w:vAlign w:val="bottom"/>
          </w:tcPr>
          <w:p>
            <w:pPr>
              <w:spacing w:after="0"/>
              <w:rPr>
                <w:sz w:val="24"/>
                <w:szCs w:val="24"/>
                <w:color w:val="auto"/>
              </w:rPr>
            </w:pPr>
          </w:p>
        </w:tc>
        <w:tc>
          <w:tcPr>
            <w:tcW w:w="4180" w:type="dxa"/>
            <w:vAlign w:val="bottom"/>
          </w:tcPr>
          <w:p>
            <w:pPr>
              <w:jc w:val="right"/>
              <w:ind w:right="2249"/>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7"/>
        </w:trPr>
        <w:tc>
          <w:tcPr>
            <w:tcW w:w="386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Fair Value Measurement </w:t>
      </w:r>
      <w:r>
        <w:rPr>
          <w:rFonts w:ascii="Times New Roman" w:cs="Times New Roman" w:eastAsia="Times New Roman" w:hAnsi="Times New Roman"/>
          <w:sz w:val="14"/>
          <w:szCs w:val="14"/>
          <w:color w:val="auto"/>
        </w:rPr>
        <w:t>(cont.)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Quantitative information about all significant unobservable inputs used in the fair value measurement for recurring level 3 measurements: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Delayed Draw Term Loan Initial Tranche</w:t>
            </w:r>
          </w:p>
        </w:tc>
        <w:tc>
          <w:tcPr>
            <w:tcW w:w="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c>
          <w:tcPr>
            <w:tcW w:w="80" w:type="dxa"/>
            <w:vAlign w:val="bottom"/>
            <w:tcBorders>
              <w:bottom w:val="single" w:sz="8" w:color="CCEEFF"/>
            </w:tcBorders>
          </w:tcPr>
          <w:p>
            <w:pPr>
              <w:spacing w:after="0"/>
              <w:rPr>
                <w:sz w:val="17"/>
                <w:szCs w:val="17"/>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0"/>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yield</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8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r>
      <w:tr>
        <w:trPr>
          <w:trHeight w:val="202"/>
        </w:trPr>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21"/>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Contingent Warrants- all tranches</w:t>
            </w:r>
          </w:p>
        </w:tc>
        <w:tc>
          <w:tcPr>
            <w:tcW w:w="80" w:type="dxa"/>
            <w:vAlign w:val="bottom"/>
            <w:gridSpan w:val="2"/>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c>
          <w:tcPr>
            <w:tcW w:w="80" w:type="dxa"/>
            <w:vAlign w:val="bottom"/>
            <w:shd w:val="clear" w:color="auto" w:fill="CCEEFF"/>
          </w:tcPr>
          <w:p>
            <w:pPr>
              <w:spacing w:after="0"/>
              <w:rPr>
                <w:sz w:val="24"/>
                <w:szCs w:val="24"/>
                <w:color w:val="auto"/>
              </w:rPr>
            </w:pPr>
          </w:p>
        </w:tc>
        <w:tc>
          <w:tcPr>
            <w:tcW w:w="2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9"/>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Milestones achievement expectations</w:t>
            </w:r>
          </w:p>
        </w:tc>
        <w:tc>
          <w:tcPr>
            <w:tcW w:w="20" w:type="dxa"/>
            <w:vAlign w:val="bottom"/>
          </w:tcPr>
          <w:p>
            <w:pPr>
              <w:spacing w:after="0"/>
              <w:rPr>
                <w:sz w:val="16"/>
                <w:szCs w:val="16"/>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Very high probability</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Very high probability</w:t>
            </w:r>
          </w:p>
        </w:tc>
      </w:tr>
      <w:tr>
        <w:trPr>
          <w:trHeight w:val="22"/>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8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91"/>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Discount for lack of marketability (“DLOM”)</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2"/>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02"/>
        </w:trPr>
        <w:tc>
          <w:tcPr>
            <w:tcW w:w="5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321"/>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SPA Warrant</w:t>
            </w:r>
          </w:p>
        </w:tc>
        <w:tc>
          <w:tcPr>
            <w:tcW w:w="8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21, 2024</w:t>
            </w:r>
          </w:p>
        </w:tc>
        <w:tc>
          <w:tcPr>
            <w:tcW w:w="8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0"/>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for lack of marketability (“DLOM”)</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417"/>
        </w:trPr>
        <w:tc>
          <w:tcPr>
            <w:tcW w:w="5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Delayed Draw Term Loan August Draw</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August 31, 2024</w:t>
            </w:r>
          </w:p>
        </w:tc>
        <w:tc>
          <w:tcPr>
            <w:tcW w:w="8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0"/>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yield</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8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r>
      <w:tr>
        <w:trPr>
          <w:trHeight w:val="417"/>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Delayed Draw Term Loan October Draw</w:t>
            </w:r>
          </w:p>
        </w:tc>
        <w:tc>
          <w:tcPr>
            <w:tcW w:w="8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October 31, 2024</w:t>
            </w:r>
          </w:p>
        </w:tc>
        <w:tc>
          <w:tcPr>
            <w:tcW w:w="8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9"/>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yield</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80" w:type="dxa"/>
            <w:vAlign w:val="bottom"/>
            <w:shd w:val="clear" w:color="auto" w:fill="CCEEFF"/>
          </w:tcPr>
          <w:p>
            <w:pPr>
              <w:spacing w:after="0"/>
              <w:rPr>
                <w:sz w:val="16"/>
                <w:szCs w:val="16"/>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r>
      <w:tr>
        <w:trPr>
          <w:trHeight w:val="22"/>
        </w:trPr>
        <w:tc>
          <w:tcPr>
            <w:tcW w:w="5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Fair Value Measurement </w:t>
      </w:r>
      <w:r>
        <w:rPr>
          <w:rFonts w:ascii="Times New Roman" w:cs="Times New Roman" w:eastAsia="Times New Roman" w:hAnsi="Times New Roman"/>
          <w:sz w:val="14"/>
          <w:szCs w:val="14"/>
          <w:color w:val="auto"/>
        </w:rPr>
        <w:t>(cont.)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Level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the fair value of liabilities that are included within the Company’s accompanying Consolidated Balance Sheets and are designated as Level 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342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80" w:type="dxa"/>
            <w:vAlign w:val="bottom"/>
            <w:tcBorders>
              <w:bottom w:val="single" w:sz="8" w:color="auto"/>
            </w:tcBorders>
          </w:tcPr>
          <w:p>
            <w:pPr>
              <w:spacing w:after="0"/>
              <w:rPr>
                <w:sz w:val="15"/>
                <w:szCs w:val="15"/>
                <w:color w:val="auto"/>
              </w:rPr>
            </w:pPr>
          </w:p>
        </w:tc>
      </w:tr>
      <w:tr>
        <w:trPr>
          <w:trHeight w:val="189"/>
        </w:trPr>
        <w:tc>
          <w:tcPr>
            <w:tcW w:w="718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Delayed Draw Term Loan</w:t>
            </w:r>
          </w:p>
        </w:tc>
        <w:tc>
          <w:tcPr>
            <w:tcW w:w="13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300" w:type="dxa"/>
            <w:vAlign w:val="bottom"/>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Initial Draw</w:t>
            </w:r>
          </w:p>
        </w:tc>
        <w:tc>
          <w:tcPr>
            <w:tcW w:w="1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25,653</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August Draw</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October Draw</w:t>
            </w:r>
          </w:p>
        </w:tc>
        <w:tc>
          <w:tcPr>
            <w:tcW w:w="1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28,340</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Term Loan</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9,667</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130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76,188</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SPA Warrant and Contingent Warrants</w:t>
            </w:r>
          </w:p>
        </w:tc>
        <w:tc>
          <w:tcPr>
            <w:tcW w:w="1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300" w:type="dxa"/>
            <w:vAlign w:val="bottom"/>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95,094</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to preferred stock</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(193,920)</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3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365,456</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130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266,630</w:t>
            </w:r>
          </w:p>
        </w:tc>
        <w:tc>
          <w:tcPr>
            <w:tcW w:w="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3"/>
        </w:trPr>
        <w:tc>
          <w:tcPr>
            <w:tcW w:w="7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derivatives</w:t>
            </w: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300" w:type="dxa"/>
            <w:vAlign w:val="bottom"/>
            <w:tcBorders>
              <w:bottom w:val="single" w:sz="8" w:color="CCEEFF"/>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30,619</w:t>
            </w: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derivatives - related party</w:t>
            </w:r>
          </w:p>
        </w:tc>
        <w:tc>
          <w:tcPr>
            <w:tcW w:w="13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39,932</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(28,141)</w:t>
            </w:r>
          </w:p>
        </w:tc>
      </w:tr>
      <w:tr>
        <w:trPr>
          <w:trHeight w:val="203"/>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130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44,396</w:t>
            </w:r>
          </w:p>
        </w:tc>
        <w:tc>
          <w:tcPr>
            <w:tcW w:w="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3"/>
        </w:trPr>
        <w:tc>
          <w:tcPr>
            <w:tcW w:w="7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April, May, and December 2023 Warrants</w:t>
            </w: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the period</w:t>
            </w:r>
          </w:p>
        </w:tc>
        <w:tc>
          <w:tcPr>
            <w:tcW w:w="1300" w:type="dxa"/>
            <w:vAlign w:val="bottom"/>
            <w:tcBorders>
              <w:bottom w:val="single" w:sz="8" w:color="CCEEFF"/>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27,406</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3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55,330</w:t>
            </w:r>
          </w:p>
        </w:tc>
      </w:tr>
      <w:tr>
        <w:trPr>
          <w:trHeight w:val="22"/>
        </w:trPr>
        <w:tc>
          <w:tcPr>
            <w:tcW w:w="7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 warrants</w:t>
            </w:r>
          </w:p>
        </w:tc>
        <w:tc>
          <w:tcPr>
            <w:tcW w:w="1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171,012</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(27,924)</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the period</w:t>
            </w:r>
          </w:p>
        </w:tc>
        <w:tc>
          <w:tcPr>
            <w:tcW w:w="130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189,322</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Fair Value Measurement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fair value of financial instruments not carried at fair value in the Consolidated Balance Sheets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5"/>
          </w:tcPr>
          <w:p>
            <w:pPr>
              <w:ind w:left="9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c>
          <w:tcPr>
            <w:tcW w:w="2640" w:type="dxa"/>
            <w:vAlign w:val="bottom"/>
            <w:gridSpan w:val="4"/>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9"/>
        </w:trPr>
        <w:tc>
          <w:tcPr>
            <w:tcW w:w="2980" w:type="dxa"/>
            <w:vAlign w:val="bottom"/>
          </w:tcPr>
          <w:p>
            <w:pPr>
              <w:spacing w:after="0"/>
              <w:rPr>
                <w:sz w:val="16"/>
                <w:szCs w:val="16"/>
                <w:color w:val="auto"/>
              </w:rPr>
            </w:pPr>
          </w:p>
        </w:tc>
        <w:tc>
          <w:tcPr>
            <w:tcW w:w="258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Level in fair value</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175"/>
        </w:trPr>
        <w:tc>
          <w:tcPr>
            <w:tcW w:w="2980" w:type="dxa"/>
            <w:vAlign w:val="bottom"/>
          </w:tcPr>
          <w:p>
            <w:pPr>
              <w:spacing w:after="0"/>
              <w:rPr>
                <w:sz w:val="15"/>
                <w:szCs w:val="15"/>
                <w:color w:val="auto"/>
              </w:rPr>
            </w:pPr>
          </w:p>
        </w:tc>
        <w:tc>
          <w:tcPr>
            <w:tcW w:w="2580" w:type="dxa"/>
            <w:vAlign w:val="bottom"/>
          </w:tcPr>
          <w:p>
            <w:pPr>
              <w:jc w:val="center"/>
              <w:ind w:left="631"/>
              <w:spacing w:after="0"/>
              <w:rPr>
                <w:sz w:val="20"/>
                <w:szCs w:val="20"/>
                <w:color w:val="auto"/>
              </w:rPr>
            </w:pPr>
            <w:r>
              <w:rPr>
                <w:rFonts w:ascii="Times New Roman" w:cs="Times New Roman" w:eastAsia="Times New Roman" w:hAnsi="Times New Roman"/>
                <w:sz w:val="13"/>
                <w:szCs w:val="13"/>
                <w:b w:val="1"/>
                <w:bCs w:val="1"/>
                <w:color w:val="auto"/>
                <w:w w:val="95"/>
              </w:rPr>
              <w:t>hierarchy</w:t>
            </w:r>
          </w:p>
        </w:tc>
        <w:tc>
          <w:tcPr>
            <w:tcW w:w="16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5"/>
                <w:szCs w:val="15"/>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9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2580" w:type="dxa"/>
            <w:vAlign w:val="bottom"/>
            <w:tcBorders>
              <w:top w:val="single" w:sz="8" w:color="CCEEFF"/>
              <w:bottom w:val="single" w:sz="8" w:color="CCEEFF"/>
            </w:tcBorders>
            <w:shd w:val="clear" w:color="auto" w:fill="CCEEFF"/>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commitment assets</w:t>
            </w:r>
          </w:p>
        </w:tc>
        <w:tc>
          <w:tcPr>
            <w:tcW w:w="2580" w:type="dxa"/>
            <w:vAlign w:val="bottom"/>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2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Convertible Notes*</w:t>
            </w:r>
          </w:p>
        </w:tc>
        <w:tc>
          <w:tcPr>
            <w:tcW w:w="2580" w:type="dxa"/>
            <w:vAlign w:val="bottom"/>
            <w:tcBorders>
              <w:bottom w:val="single" w:sz="8" w:color="CCEEFF"/>
            </w:tcBorders>
            <w:shd w:val="clear" w:color="auto" w:fill="CCEEFF"/>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109,838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57,998</w:t>
            </w: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580" w:type="dxa"/>
            <w:vAlign w:val="bottom"/>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61,360</w:t>
            </w:r>
          </w:p>
        </w:tc>
      </w:tr>
      <w:tr>
        <w:trPr>
          <w:trHeight w:val="22"/>
        </w:trPr>
        <w:tc>
          <w:tcPr>
            <w:tcW w:w="2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AFG Convertible Notes*</w:t>
            </w:r>
          </w:p>
        </w:tc>
        <w:tc>
          <w:tcPr>
            <w:tcW w:w="2580" w:type="dxa"/>
            <w:vAlign w:val="bottom"/>
            <w:tcBorders>
              <w:bottom w:val="single" w:sz="8" w:color="CCEEFF"/>
            </w:tcBorders>
            <w:shd w:val="clear" w:color="auto" w:fill="CCEEFF"/>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18,352</w:t>
            </w: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financing facility</w:t>
            </w:r>
          </w:p>
        </w:tc>
        <w:tc>
          <w:tcPr>
            <w:tcW w:w="2580" w:type="dxa"/>
            <w:vAlign w:val="bottom"/>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w:t>
            </w:r>
          </w:p>
        </w:tc>
      </w:tr>
      <w:tr>
        <w:trPr>
          <w:trHeight w:val="22"/>
        </w:trPr>
        <w:tc>
          <w:tcPr>
            <w:tcW w:w="2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2580" w:type="dxa"/>
            <w:vAlign w:val="bottom"/>
            <w:tcBorders>
              <w:bottom w:val="single" w:sz="8" w:color="CCEEFF"/>
            </w:tcBorders>
            <w:shd w:val="clear" w:color="auto" w:fill="CCEEFF"/>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488,696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454,581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0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DOE Loan Facility</w:t>
            </w:r>
          </w:p>
        </w:tc>
        <w:tc>
          <w:tcPr>
            <w:tcW w:w="2580" w:type="dxa"/>
            <w:vAlign w:val="bottom"/>
          </w:tcPr>
          <w:p>
            <w:pPr>
              <w:jc w:val="center"/>
              <w:ind w:left="651"/>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751,982</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703,213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143,255</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*Includes the embedded derivative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commitments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has lease commitments under lease agreements. See Note 15,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Minimum Volume Commitment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 The Company is currently negotiating a new long-term supply agreement with the counterparty. As part of the ongoing negotiations, during the fourth quarter, the Company paid the counterparty $1,250 as a shortfall penalty and transferred equipment with a net book value of approximately $600. As a result, the Company has been released of any minimum volume commitments as part of the original agreement.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Class Action Complaints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March 8, 2023, a class action lawsuit (the “Delman Complaint”) was filed in the Court of Chancery of the State of Delaware by plaintiff Richard Delman (the “Delman Plaintiff”) against certain defendants including the Company’s former directors (the “Delman Defendants”). Neither the Company nor Eos Energy Storage LLC were named as a defendant in the Delman Complaint, but each was identified as a relevant non-party, and the Company has indemnification obligations relating to the lawsuit. On June 26, 2024, the parties to the Delman Complaint as well as the Company entered into a definitive Stipulation and Agreement of Settlement, Compromise, and Release and related documents (collectively, “Settlement Agreement”), pursuant to which the Delman Plaintiff agreed to release all claims against the Delman Defendants in exchange for a settlement payment of $8,500 (the “Settlement Amount”), funded by the Company’s D&amp;O liability insurers, subject to the Company’s retention of $1,000 consisting of payment of legal fees of the Delman Defendants. On October 17, 2024, the Court of Chancery approved the Settlement Agreement and entered the Final Judgment subject to the payment of Settlement Amount. On December 10, 2024, the Settlement Amount was fully paid to the Delman Plaintiff by the Company’s D&amp;O liability insurers.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17.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August 1, 2023, a class action lawsuit (the “Houck Complaint”) was filed in the United States District Court of New Jersey by plaintiff William Houck (the “Houck Plaintiff”) against the Company and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On November 8, 2024, the District Court granted the renewed motion to dismiss filed by the Houck Defendants. On January 23, 2025, the Company filed a Notice and Request for Entry of Final Judgment with the District Court. The Company is awaiting the District Court’s entry of Final Judgment.</w:t>
      </w: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November 5, 2024, a shareholder derivative lawsuit (the “Hyung Complaint”) was filed in the United States District Court of the District of New Jersey by plaintiff Jung Jae Hyung (the “Hyung Plaintiff”) against certain defendants including the Company’s current Chief Executive Officer, the Company’s current Chief Financial Officer, and five of the Company’s current Directors and one former Director (the “Hyung Defendants”). The Hyung Complaint alleges that the Hyung Defendants breached their fiduciary duties to the Company by allowing the Company to make knowingly false or misleading statements about the Company’s contractual relationship with a customer and about the size of the Company’s order backlog and commercial pipeline. The Company intends to vigorously contest this matter.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Stock-Based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included in the Consolidated Statements of Operations and Comprehensive Loss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35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Pr>
          <w:p>
            <w:pPr>
              <w:spacing w:after="0"/>
              <w:rPr>
                <w:sz w:val="16"/>
                <w:szCs w:val="16"/>
                <w:color w:val="auto"/>
              </w:rPr>
            </w:pPr>
          </w:p>
        </w:tc>
      </w:tr>
      <w:tr>
        <w:trPr>
          <w:trHeight w:val="22"/>
        </w:trPr>
        <w:tc>
          <w:tcPr>
            <w:tcW w:w="7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spacing w:after="0"/>
              <w:rPr>
                <w:sz w:val="15"/>
                <w:szCs w:val="15"/>
                <w:color w:val="auto"/>
              </w:rPr>
            </w:pPr>
          </w:p>
        </w:tc>
        <w:tc>
          <w:tcPr>
            <w:tcW w:w="14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400" w:type="dxa"/>
            <w:vAlign w:val="bottom"/>
            <w:tcBorders>
              <w:bottom w:val="single" w:sz="8" w:color="CCEEFF"/>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1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4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r>
      <w:tr>
        <w:trPr>
          <w:trHeight w:val="20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top w:val="single" w:sz="8" w:color="auto"/>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18,780</w:t>
            </w:r>
          </w:p>
        </w:tc>
        <w:tc>
          <w:tcPr>
            <w:tcW w:w="8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14,057</w:t>
            </w:r>
          </w:p>
        </w:tc>
      </w:tr>
      <w:tr>
        <w:trPr>
          <w:trHeight w:val="20"/>
        </w:trPr>
        <w:tc>
          <w:tcPr>
            <w:tcW w:w="7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stock compensation has been recorded in cost of goods sold, research and development expenses and selling, general and administrative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 options activity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18. Stock-Based Compensation </w:t>
            </w:r>
            <w:r>
              <w:rPr>
                <w:rFonts w:ascii="Times New Roman" w:cs="Times New Roman" w:eastAsia="Times New Roman" w:hAnsi="Times New Roman"/>
                <w:sz w:val="14"/>
                <w:szCs w:val="14"/>
                <w:color w:val="auto"/>
              </w:rPr>
              <w:t>(cont.)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82"/>
        </w:trPr>
        <w:tc>
          <w:tcPr>
            <w:tcW w:w="4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0"/>
        </w:trPr>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0"/>
        </w:trPr>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Contractual Term</w:t>
            </w:r>
          </w:p>
        </w:tc>
      </w:tr>
      <w:tr>
        <w:trPr>
          <w:trHeight w:val="186"/>
        </w:trPr>
        <w:tc>
          <w:tcPr>
            <w:tcW w:w="4960" w:type="dxa"/>
            <w:vAlign w:val="bottom"/>
          </w:tcPr>
          <w:p>
            <w:pPr>
              <w:spacing w:after="0"/>
              <w:rPr>
                <w:sz w:val="16"/>
                <w:szCs w:val="16"/>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2"/>
        </w:trPr>
        <w:tc>
          <w:tcPr>
            <w:tcW w:w="4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December 31, 2022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4,344,812</w:t>
            </w:r>
          </w:p>
        </w:tc>
        <w:tc>
          <w:tcPr>
            <w:tcW w:w="1740" w:type="dxa"/>
            <w:vAlign w:val="bottom"/>
            <w:tcBorders>
              <w:bottom w:val="single" w:sz="8" w:color="CCEEFF"/>
            </w:tcBorders>
            <w:gridSpan w:val="2"/>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w:t>
            </w:r>
          </w:p>
        </w:tc>
        <w:tc>
          <w:tcPr>
            <w:tcW w:w="8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20" w:type="dxa"/>
            <w:vAlign w:val="bottom"/>
          </w:tcPr>
          <w:p>
            <w:pPr>
              <w:spacing w:after="0"/>
              <w:rPr>
                <w:sz w:val="15"/>
                <w:szCs w:val="15"/>
                <w:color w:val="auto"/>
              </w:rPr>
            </w:pPr>
          </w:p>
        </w:tc>
      </w:tr>
      <w:tr>
        <w:trPr>
          <w:trHeight w:val="1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649,865</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
        </w:trPr>
        <w:tc>
          <w:tcPr>
            <w:tcW w:w="4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Cancelled/Forfeited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(504,550)</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(262,500)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
        </w:trPr>
        <w:tc>
          <w:tcPr>
            <w:tcW w:w="4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December 31,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4,227,627</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w:t>
            </w:r>
          </w:p>
        </w:tc>
        <w:tc>
          <w:tcPr>
            <w:tcW w:w="8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20" w:type="dxa"/>
            <w:vAlign w:val="bottom"/>
          </w:tcPr>
          <w:p>
            <w:pPr>
              <w:spacing w:after="0"/>
              <w:rPr>
                <w:sz w:val="15"/>
                <w:szCs w:val="15"/>
                <w:color w:val="auto"/>
              </w:rPr>
            </w:pPr>
          </w:p>
        </w:tc>
      </w:tr>
      <w:tr>
        <w:trPr>
          <w:trHeight w:val="1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
        </w:trPr>
        <w:tc>
          <w:tcPr>
            <w:tcW w:w="4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Cancelled/Forfeited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
        </w:trPr>
        <w:tc>
          <w:tcPr>
            <w:tcW w:w="4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December 31, 2024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3,958,627</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4.68</w:t>
            </w:r>
          </w:p>
        </w:tc>
        <w:tc>
          <w:tcPr>
            <w:tcW w:w="8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20" w:type="dxa"/>
            <w:vAlign w:val="bottom"/>
          </w:tcPr>
          <w:p>
            <w:pPr>
              <w:spacing w:after="0"/>
              <w:rPr>
                <w:sz w:val="15"/>
                <w:szCs w:val="15"/>
                <w:color w:val="auto"/>
              </w:rPr>
            </w:pPr>
          </w:p>
        </w:tc>
      </w:tr>
      <w:tr>
        <w:trPr>
          <w:trHeight w:val="1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December 31,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3,958,627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20" w:type="dxa"/>
            <w:vAlign w:val="bottom"/>
          </w:tcPr>
          <w:p>
            <w:pPr>
              <w:spacing w:after="0"/>
              <w:rPr>
                <w:sz w:val="16"/>
                <w:szCs w:val="16"/>
                <w:color w:val="auto"/>
              </w:rPr>
            </w:pPr>
          </w:p>
        </w:tc>
      </w:tr>
      <w:tr>
        <w:trPr>
          <w:trHeight w:val="37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assumptions used to determine the fair value of stock options granted in 2023 are as follows: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2"/>
        </w:trPr>
        <w:tc>
          <w:tcPr>
            <w:tcW w:w="49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24"/>
                <w:szCs w:val="24"/>
                <w:color w:val="auto"/>
              </w:rPr>
            </w:pPr>
          </w:p>
        </w:tc>
      </w:tr>
      <w:tr>
        <w:trPr>
          <w:trHeight w:val="19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62.60 %</w:t>
            </w:r>
          </w:p>
        </w:tc>
      </w:tr>
      <w:tr>
        <w:trPr>
          <w:trHeight w:val="1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free interest rate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4.07 %</w:t>
            </w:r>
          </w:p>
        </w:tc>
      </w:tr>
      <w:tr>
        <w:trPr>
          <w:trHeight w:val="22"/>
        </w:trPr>
        <w:tc>
          <w:tcPr>
            <w:tcW w:w="6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(years)</w:t>
            </w: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0 %</w:t>
            </w: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 average grant date fair value of all stock options granted was $1.02 per option for the year ended December 31, 2023. There were no stock options granted for the year ended December 31,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 (“RSU”)</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RSU activity during the years ended December 31, 2024 and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86"/>
        </w:trPr>
        <w:tc>
          <w:tcPr>
            <w:tcW w:w="7040" w:type="dxa"/>
            <w:vAlign w:val="bottom"/>
          </w:tcPr>
          <w:p>
            <w:pPr>
              <w:spacing w:after="0"/>
              <w:rPr>
                <w:sz w:val="16"/>
                <w:szCs w:val="16"/>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Outstanding at December 31, 2022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2,995,890</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7.89</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4,804,057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22"/>
        </w:trPr>
        <w:tc>
          <w:tcPr>
            <w:tcW w:w="7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Cancelled/Forfeited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(898,525)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(1,453,964)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r>
      <w:tr>
        <w:trPr>
          <w:trHeight w:val="18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Outstanding at December 31, 2023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5,447,458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12,135,118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22"/>
        </w:trPr>
        <w:tc>
          <w:tcPr>
            <w:tcW w:w="7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Cancelled/Forfeited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(1,238,231)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(2,371,609)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Outstanding at 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13,972,736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$25,151 of unrecognized compensation expense attributable to unvested RSUs, expected to be recognized over a weighted-average remaining vesting period of 2.2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18. Stock-Based Compensation </w:t>
            </w:r>
            <w:r>
              <w:rPr>
                <w:rFonts w:ascii="Times New Roman" w:cs="Times New Roman" w:eastAsia="Times New Roman" w:hAnsi="Times New Roman"/>
                <w:sz w:val="14"/>
                <w:szCs w:val="14"/>
                <w:color w:val="auto"/>
              </w:rPr>
              <w:t>(cont.)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573"/>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Performance-Based Restricted Stock Units (“PRSU”)</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6"/>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PRSU activity during the year ended December 31, 2024:</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96"/>
        </w:trPr>
        <w:tc>
          <w:tcPr>
            <w:tcW w:w="7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86"/>
        </w:trPr>
        <w:tc>
          <w:tcPr>
            <w:tcW w:w="7040" w:type="dxa"/>
            <w:vAlign w:val="bottom"/>
          </w:tcPr>
          <w:p>
            <w:pPr>
              <w:spacing w:after="0"/>
              <w:rPr>
                <w:sz w:val="16"/>
                <w:szCs w:val="16"/>
                <w:color w:val="auto"/>
              </w:rPr>
            </w:pPr>
          </w:p>
        </w:tc>
        <w:tc>
          <w:tcPr>
            <w:tcW w:w="13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PRSUs Outstanding at December 31, 2023</w:t>
            </w:r>
          </w:p>
        </w:tc>
        <w:tc>
          <w:tcPr>
            <w:tcW w:w="10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9,192,500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2"/>
        </w:trPr>
        <w:tc>
          <w:tcPr>
            <w:tcW w:w="7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Cancelled/Forfeited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(387,500)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1"/>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r>
      <w:tr>
        <w:trPr>
          <w:trHeight w:val="22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PRSUs Outstanding at December 31,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third quarter of 2024, the Company granted contingent shares to select key executives that may be earned based on the Company’s total shareholder return (“TSR”) over a two and three-year period following the grant date. 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two and three-year period following the grant date. This peer group includes the entire Russell 2000 index as it existed at the beginning of the performance period, excluding any companies that were removed from the index during the performance period. The payment of awards following the two and three-year award period is based on performance achieved in accordance with the scale set forth in the plan agreement and may range from 0% to 200% of the initial grant. The fair value of the TSR awards is estimated using a Monte Carlo simulation in an option pricing framework.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key assumptions used to estimate the fair value of the TSR awards that were granted, and the resulting weighted average grant date fair value.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TSR awards</w:t>
            </w:r>
          </w:p>
        </w:tc>
      </w:tr>
      <w:tr>
        <w:trPr>
          <w:trHeight w:val="22"/>
        </w:trPr>
        <w:tc>
          <w:tcPr>
            <w:tcW w:w="8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share price</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1.74</w:t>
            </w: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volatility</w:t>
            </w:r>
          </w:p>
        </w:tc>
        <w:tc>
          <w:tcPr>
            <w:tcW w:w="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115.3 %</w:t>
            </w:r>
          </w:p>
        </w:tc>
      </w:tr>
      <w:tr>
        <w:trPr>
          <w:trHeight w:val="22"/>
        </w:trPr>
        <w:tc>
          <w:tcPr>
            <w:tcW w:w="8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correlation</w:t>
            </w:r>
          </w:p>
        </w:tc>
        <w:tc>
          <w:tcPr>
            <w:tcW w:w="46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36.1 %</w:t>
            </w: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dividend yield</w:t>
            </w:r>
          </w:p>
        </w:tc>
        <w:tc>
          <w:tcPr>
            <w:tcW w:w="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8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performance term</w:t>
            </w:r>
          </w:p>
        </w:tc>
        <w:tc>
          <w:tcPr>
            <w:tcW w:w="46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years</w:t>
            </w: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risk-free interest rate</w:t>
            </w:r>
          </w:p>
        </w:tc>
        <w:tc>
          <w:tcPr>
            <w:tcW w:w="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22"/>
        </w:trPr>
        <w:tc>
          <w:tcPr>
            <w:tcW w:w="8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2"/>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Peer group average volatility</w:t>
            </w:r>
          </w:p>
        </w:tc>
        <w:tc>
          <w:tcPr>
            <w:tcW w:w="46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54.3 %</w:t>
            </w: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Peer group average correlation</w:t>
            </w:r>
          </w:p>
        </w:tc>
        <w:tc>
          <w:tcPr>
            <w:tcW w:w="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r>
      <w:tr>
        <w:trPr>
          <w:trHeight w:val="22"/>
        </w:trPr>
        <w:tc>
          <w:tcPr>
            <w:tcW w:w="8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3.19</w:t>
            </w:r>
          </w:p>
        </w:tc>
      </w:tr>
      <w:tr>
        <w:trPr>
          <w:trHeight w:val="22"/>
        </w:trPr>
        <w:tc>
          <w:tcPr>
            <w:tcW w:w="89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third quarter of 2024, the Company also granted shares contingent upon the achievement of certain performance milestones related to the Credit Agreement that may be earned over the performance period following the grant date. The contingent share awards (“Milestone PRSU”) are paid out in stock at the end of the vesting period based on the Company’s achievement of the performance milestones.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$8,638 of unrecognized compensation expense attributable to unvested PRSUs, expected to be recognized over a weighted-average remaining vesting period of 0.9 years.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2024, the Company reserved an additional 19,000,000 shares for the Amended and Restated 2020 Incentive Plan. As of December 31, 2024 and 2023, 4,552,831 and 5,015,893 shares remain for future issuance,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18.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2023, the Company granted 40,000 RSUs with performance and service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achievement of sales and financing targets. In June 2023, the Company modified 550,000 performance-based stock options that were issued in June 2022 and December 2022 by extending the period to meet certain performance conditions. During the year ended December 31, 2023, all performance conditions were met for these 550,000 options, therefore accelerating the vesting and respective expense.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Income Taxes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U.S., Italy and India tax laws, regulations and policies. Changes to these laws or regulations may affect the Company’s tax liability, return on investments and business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before 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(losses) before income taxes for the years ended December 31, 2024 and 2023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1180" w:type="dxa"/>
            <w:vAlign w:val="bottom"/>
            <w:tcBorders>
              <w:bottom w:val="single" w:sz="8" w:color="CCEEFF"/>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(685,809)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Non-U.S.</w:t>
            </w:r>
          </w:p>
        </w:tc>
        <w:tc>
          <w:tcPr>
            <w:tcW w:w="1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before income tax</w:t>
            </w:r>
          </w:p>
        </w:tc>
        <w:tc>
          <w:tcPr>
            <w:tcW w:w="118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(685,849)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Income expense (benefit)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0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 was as follows: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0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expense (benefit):</w:t>
            </w:r>
          </w:p>
        </w:tc>
        <w:tc>
          <w:tcPr>
            <w:tcW w:w="1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federal</w:t>
            </w:r>
          </w:p>
        </w:tc>
        <w:tc>
          <w:tcPr>
            <w:tcW w:w="1180" w:type="dxa"/>
            <w:vAlign w:val="bottom"/>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state and local</w:t>
            </w:r>
          </w:p>
        </w:tc>
        <w:tc>
          <w:tcPr>
            <w:tcW w:w="1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Non-U.S.</w:t>
            </w:r>
          </w:p>
        </w:tc>
        <w:tc>
          <w:tcPr>
            <w:tcW w:w="1180" w:type="dxa"/>
            <w:vAlign w:val="bottom"/>
          </w:tcPr>
          <w:p>
            <w:pPr>
              <w:spacing w:after="0"/>
              <w:rPr>
                <w:sz w:val="16"/>
                <w:szCs w:val="16"/>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income tax provision</w:t>
            </w:r>
          </w:p>
        </w:tc>
        <w:tc>
          <w:tcPr>
            <w:tcW w:w="1180" w:type="dxa"/>
            <w:vAlign w:val="bottom"/>
            <w:tcBorders>
              <w:bottom w:val="single" w:sz="8" w:color="CCEEFF"/>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expense (benefit):</w:t>
            </w:r>
          </w:p>
        </w:tc>
        <w:tc>
          <w:tcPr>
            <w:tcW w:w="1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federal</w:t>
            </w:r>
          </w:p>
        </w:tc>
        <w:tc>
          <w:tcPr>
            <w:tcW w:w="1180" w:type="dxa"/>
            <w:vAlign w:val="bottom"/>
            <w:tcBorders>
              <w:bottom w:val="single" w:sz="8" w:color="CCEEFF"/>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state and local</w:t>
            </w:r>
          </w:p>
        </w:tc>
        <w:tc>
          <w:tcPr>
            <w:tcW w:w="1180" w:type="dxa"/>
            <w:vAlign w:val="bottom"/>
          </w:tcPr>
          <w:p>
            <w:pPr>
              <w:spacing w:after="0"/>
              <w:rPr>
                <w:sz w:val="16"/>
                <w:szCs w:val="16"/>
                <w:color w:val="auto"/>
              </w:rPr>
            </w:pPr>
          </w:p>
        </w:tc>
        <w:tc>
          <w:tcPr>
            <w:tcW w:w="96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Non-U.S.</w:t>
            </w:r>
          </w:p>
        </w:tc>
        <w:tc>
          <w:tcPr>
            <w:tcW w:w="1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income tax provision</w:t>
            </w:r>
          </w:p>
        </w:tc>
        <w:tc>
          <w:tcPr>
            <w:tcW w:w="1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118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tax provision of $21 and $31 for the years ended December 31, 2024 and 2023, respectively, due to foreign taxable income and the generation of U.S. taxable losses offset by a valuation allowance on the deferred tax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U.S. Federal Statutory income tax rate to actual income tax rate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from the statutory U.S. federal income tax rate to the effective tax rate is as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19. Income Taxes </w:t>
      </w:r>
      <w:r>
        <w:rPr>
          <w:rFonts w:ascii="Times New Roman" w:cs="Times New Roman" w:eastAsia="Times New Roman" w:hAnsi="Times New Roman"/>
          <w:sz w:val="14"/>
          <w:szCs w:val="14"/>
          <w:color w:val="auto"/>
        </w:rPr>
        <w:t>(cont.)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1180" w:type="dxa"/>
            <w:vAlign w:val="bottom"/>
            <w:tcBorders>
              <w:bottom w:val="single" w:sz="8" w:color="auto"/>
            </w:tcBorders>
          </w:tcPr>
          <w:p>
            <w:pPr>
              <w:spacing w:after="0"/>
              <w:rPr>
                <w:sz w:val="15"/>
                <w:szCs w:val="15"/>
                <w:color w:val="auto"/>
              </w:rPr>
            </w:pPr>
          </w:p>
        </w:tc>
      </w:tr>
      <w:tr>
        <w:trPr>
          <w:trHeight w:val="182"/>
        </w:trPr>
        <w:tc>
          <w:tcPr>
            <w:tcW w:w="70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9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18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(685,849)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(229,475)</w:t>
            </w:r>
          </w:p>
        </w:tc>
      </w:tr>
      <w:tr>
        <w:trPr>
          <w:trHeight w:val="212"/>
        </w:trPr>
        <w:tc>
          <w:tcPr>
            <w:tcW w:w="7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U.S. federal income tax (21%)</w:t>
            </w:r>
          </w:p>
        </w:tc>
        <w:tc>
          <w:tcPr>
            <w:tcW w:w="1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(144,029)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(48,190)</w:t>
            </w: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 income tax</w:t>
            </w:r>
          </w:p>
        </w:tc>
        <w:tc>
          <w:tcPr>
            <w:tcW w:w="1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2"/>
        </w:trPr>
        <w:tc>
          <w:tcPr>
            <w:tcW w:w="7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taxed at rates other than statutory</w:t>
            </w:r>
          </w:p>
        </w:tc>
        <w:tc>
          <w:tcPr>
            <w:tcW w:w="1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 debt</w:t>
            </w:r>
          </w:p>
        </w:tc>
        <w:tc>
          <w:tcPr>
            <w:tcW w:w="1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8,420</w:t>
            </w:r>
          </w:p>
        </w:tc>
      </w:tr>
      <w:tr>
        <w:trPr>
          <w:trHeight w:val="22"/>
        </w:trPr>
        <w:tc>
          <w:tcPr>
            <w:tcW w:w="7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 warrants</w:t>
            </w:r>
          </w:p>
        </w:tc>
        <w:tc>
          <w:tcPr>
            <w:tcW w:w="1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112,703</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Derecognition of loan commitment asset</w:t>
            </w:r>
          </w:p>
        </w:tc>
        <w:tc>
          <w:tcPr>
            <w:tcW w:w="1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officers compensation</w:t>
            </w:r>
          </w:p>
        </w:tc>
        <w:tc>
          <w:tcPr>
            <w:tcW w:w="1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22"/>
        </w:trPr>
        <w:tc>
          <w:tcPr>
            <w:tcW w:w="7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25,867</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34,821</w:t>
            </w: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expense</w:t>
            </w:r>
          </w:p>
        </w:tc>
        <w:tc>
          <w:tcPr>
            <w:tcW w:w="118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Effective tax rate</w:t>
            </w:r>
          </w:p>
        </w:tc>
        <w:tc>
          <w:tcPr>
            <w:tcW w:w="1180" w:type="dxa"/>
            <w:vAlign w:val="bottom"/>
          </w:tcPr>
          <w:p>
            <w:pPr>
              <w:spacing w:after="0"/>
              <w:rPr>
                <w:sz w:val="13"/>
                <w:szCs w:val="13"/>
                <w:color w:val="auto"/>
              </w:rPr>
            </w:pPr>
          </w:p>
        </w:tc>
        <w:tc>
          <w:tcPr>
            <w:tcW w:w="98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reported income tax provision differs from the amount computed by applying the statutory U.S. federal income tax rate of 21% to the income before income taxes primarily due to pretax losses in the U.S. for which no tax benefit has been provided, fair value adjustments - debt and warrants, derecognition of loan commitment asset, as well as stock-based compensation.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19. Income Taxes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records deferred income taxes to reflect the net tax effects of temporary differences, if any, between the carrying amounts of assets and liabilities for financial reporting and the amounts used for income tax purposes. The components of deferred tax assets and liabilities at December 31, 2024 and 2023 were as follows:</w:t>
      </w:r>
    </w:p>
    <w:tbl>
      <w:tblPr>
        <w:tblLayout w:type="fixed"/>
        <w:tblInd w:w="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60" w:type="dxa"/>
            <w:vAlign w:val="bottom"/>
            <w:tcBorders>
              <w:bottom w:val="single" w:sz="8" w:color="auto"/>
            </w:tcBorders>
          </w:tcPr>
          <w:p>
            <w:pPr>
              <w:spacing w:after="0"/>
              <w:rPr>
                <w:sz w:val="15"/>
                <w:szCs w:val="15"/>
                <w:color w:val="auto"/>
              </w:rPr>
            </w:pPr>
          </w:p>
        </w:tc>
      </w:tr>
      <w:tr>
        <w:trPr>
          <w:trHeight w:val="182"/>
        </w:trPr>
        <w:tc>
          <w:tcPr>
            <w:tcW w:w="70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340" w:type="dxa"/>
            <w:vAlign w:val="bottom"/>
          </w:tcPr>
          <w:p>
            <w:pPr>
              <w:jc w:val="right"/>
              <w:ind w:right="11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178,561</w:t>
            </w:r>
          </w:p>
        </w:tc>
        <w:tc>
          <w:tcPr>
            <w:tcW w:w="8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152,380</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loss carryforwards</w:t>
            </w:r>
          </w:p>
        </w:tc>
        <w:tc>
          <w:tcPr>
            <w:tcW w:w="1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9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credit carryforwards</w:t>
            </w:r>
          </w:p>
        </w:tc>
        <w:tc>
          <w:tcPr>
            <w:tcW w:w="13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6,735</w:t>
            </w:r>
          </w:p>
        </w:tc>
      </w:tr>
      <w:tr>
        <w:trPr>
          <w:trHeight w:val="19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Capitalized research &amp; experimental costs</w:t>
            </w:r>
          </w:p>
        </w:tc>
        <w:tc>
          <w:tcPr>
            <w:tcW w:w="1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9,737</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8,213</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w:t>
            </w:r>
          </w:p>
        </w:tc>
      </w:tr>
      <w:tr>
        <w:trPr>
          <w:trHeight w:val="19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Accruals and reserves</w:t>
            </w:r>
          </w:p>
        </w:tc>
        <w:tc>
          <w:tcPr>
            <w:tcW w:w="1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Organizational costs</w:t>
            </w:r>
          </w:p>
        </w:tc>
        <w:tc>
          <w:tcPr>
            <w:tcW w:w="1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liability</w:t>
            </w:r>
          </w:p>
        </w:tc>
        <w:tc>
          <w:tcPr>
            <w:tcW w:w="1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assets</w:t>
            </w:r>
          </w:p>
        </w:tc>
        <w:tc>
          <w:tcPr>
            <w:tcW w:w="1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9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1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1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9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instruments</w:t>
            </w:r>
          </w:p>
        </w:tc>
        <w:tc>
          <w:tcPr>
            <w:tcW w:w="1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8,508</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gross</w:t>
            </w:r>
          </w:p>
        </w:tc>
        <w:tc>
          <w:tcPr>
            <w:tcW w:w="1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223,017</w:t>
            </w: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176,872</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13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(222,122)</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(175,680)</w:t>
            </w:r>
          </w:p>
        </w:tc>
      </w:tr>
      <w:tr>
        <w:trPr>
          <w:trHeight w:val="20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 net</w:t>
            </w:r>
          </w:p>
        </w:tc>
        <w:tc>
          <w:tcPr>
            <w:tcW w:w="1340" w:type="dxa"/>
            <w:vAlign w:val="bottom"/>
            <w:tcBorders>
              <w:top w:val="single" w:sz="8" w:color="auto"/>
              <w:bottom w:val="single" w:sz="8" w:color="auto"/>
            </w:tcBorders>
          </w:tcPr>
          <w:p>
            <w:pPr>
              <w:jc w:val="right"/>
              <w:ind w:right="11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54"/>
        </w:trPr>
        <w:tc>
          <w:tcPr>
            <w:tcW w:w="70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Deferred tax liabilities:</w:t>
            </w:r>
          </w:p>
        </w:tc>
        <w:tc>
          <w:tcPr>
            <w:tcW w:w="13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r>
      <w:tr>
        <w:trPr>
          <w:trHeight w:val="191"/>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 of use asset</w:t>
            </w:r>
          </w:p>
        </w:tc>
        <w:tc>
          <w:tcPr>
            <w:tcW w:w="1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r>
      <w:tr>
        <w:trPr>
          <w:trHeight w:val="22"/>
        </w:trPr>
        <w:tc>
          <w:tcPr>
            <w:tcW w:w="7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Intangibles</w:t>
            </w:r>
          </w:p>
        </w:tc>
        <w:tc>
          <w:tcPr>
            <w:tcW w:w="13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1"/>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3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203"/>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deferred tax asset (liability)</w:t>
            </w:r>
          </w:p>
        </w:tc>
        <w:tc>
          <w:tcPr>
            <w:tcW w:w="1340" w:type="dxa"/>
            <w:vAlign w:val="bottom"/>
            <w:tcBorders>
              <w:top w:val="single" w:sz="8" w:color="auto"/>
              <w:bottom w:val="single" w:sz="8" w:color="auto"/>
            </w:tcBorders>
          </w:tcPr>
          <w:p>
            <w:pPr>
              <w:jc w:val="right"/>
              <w:ind w:right="119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Tax Cuts &amp; Jobs Act of 2017 ("TCJA") mandated that research and experimental ("R&amp;E") costs incurred in tax years beginning after December 31, 2021 must be capitalized and amortized over five years if the research is performed in the United States and over 15 years if performed outside the United States. As of December 31, 2024 and December 31, 2023, the Company has capitalized and will amortize these costs over the required periods.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a valuation allowance where it is more-likely-than-not that all or a portion of a deferred tax asset may not be realized. Changes in the valuation allowance are included in the Company’s income tax provision in the period of change. In determining whether a valuation allowance is required, the Company evaluates factors such as prior earnings history, expected future earnings, reversal of existing taxable temporary differences, carry back and carry forward periods and tax planning strategies that could potentially enhance the likelihood of the realization of a deferred tax asset. The Company has determined that it is more-likely-than-not that it will not be able to utilize its U.S. deferred tax assets at December 31, 2024 and 2023 due to a history of cumulative losses. As such, the Company has a valuation allowance against its net deferred tax assets.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19. Income Taxes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valuation allowance increased by $46,442 between December 31, 2024 and 2023. The increase was primarily attributable to an increase in net operating loss ("NOL") carryforwards and impact of the DDTL transaction. At December 31, 2024, the valuation allowance is $222,122, of which $11,006 would be allocated to equity if released. The remaining valuation allowance of $211,116 would be released through continuing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Operating Losses &amp; Tax Credits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and 2023, the Company has federal research and development tax credits (“R&amp;D credit”) of approximately $3,733 for both years, which begin to expire in varying amounts from 2031 – 2038, subject to the annual limitation described below. In addition, the Company has state R&amp;D credits of approximately $65 for the year ended December 31, 2023, which expired in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NOL carryforwards for tax purposes and other deferred tax assets that are available to offset future taxable income, subject to the annual limitation described below.</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of December 31, 2024 and 2023, the Company has gross federal NOL carryforwards of approximately $741,178 and $638,507, respectively. As of December 31, 2024 and 2023, the Company has state NOL carryforwards of $1,032,728 and $228,333, respectively. Regarding the federal NOL, for the year ended December 31, 2024, $89,051 begins to expire in varying amounts from 2032 through 2036, while $652,127 has an indefinite carryforward period. Regarding the state NOL carryforwards for the year ended December 31, 2024, $1,023,378 begins to expire in varying amounts from 2028 through 2044, while $9,350 has an indefinite carryforward period. The U.S. (federal and state) operating loss carryforwards and credits may be subject to an annual limitation due to the “change in ownership” provisions of the Internal Revenue Code, and similar state provisions. In 2020, the Company determined that the merger transaction constitutes a change of ownership as defined under Internal Revenue Code Section 382 and Section 383. The Company completed an ownership shift analysis through December 31, 2024 and determined that an ownership change occurred during the 2024 tax year within the meaning of Sections 382 and 383 of the Code. Based on our ownership change limitation study, the timing of the Company’s ability to utilize its pre-change federal NOLs and tax credits may be limited subject to the Section 382 limitation. However, we do not expect that the limitation due to the ownership change will result in any of the NOLs expiring unutilized as a significant amount have an indefinite life carryforward. Assuming there is sufficient projected taxable income, a majority of the Section 382 limited net operating losses will be available prior to the year ended December 31, 2029. Management believes such limitation will not have a material adverse effect on the financial statements as the Company is currently in a net loss position, and the deferred tax asset on the Company’s NOL carryforward is offset by a full valuation allowance. Based on management’s 2020 Section 383 limitation analysis, it is expected that as of December 31, 2024 and December 31, 2023, $3,733 of federal R&amp;D credits will expire unused.</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16, 2022, President Biden signed the Inflation Reduction Act of 2022 into law. There are two major corporate tax provisions included in the Act. In general, the IRA creates a 15% corporate alternative minimum tax (“CAMT”) on any corporation that has (or has had) average annual “adjusted financial statement income” for a three-year period preceding the tax year that exceeds $1 billion. The CAMT is effective for tax years beginning after December 31, 2022. The IRA also imposes on publicly traded U.S. corporations a 1% excise tax on certain repurchases of their stock. The excise tax is effective for stock repurchases after December 31, 2022. The Company does not expect the aforementioned provisions in the IRA to have any material impact on the Company’s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 addition to the CAMT discussed above, the IRA has production tax credits that are discussed in Note 11, </w:t>
      </w:r>
      <w:r>
        <w:rPr>
          <w:rFonts w:ascii="Times New Roman" w:cs="Times New Roman" w:eastAsia="Times New Roman" w:hAnsi="Times New Roman"/>
          <w:sz w:val="14"/>
          <w:szCs w:val="14"/>
          <w:i w:val="1"/>
          <w:iCs w:val="1"/>
          <w:color w:val="auto"/>
        </w:rPr>
        <w:t>Government Grants.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19. Income Taxes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subject to income taxes in the United States (federal and state), India, and Italy. Significant judgment is required in evaluating the Company’s tax positions and determining the Company’s provision for income taxes. During the ordinary course of business, there are transactions and calculations for which the ultimate tax determination is uncertain. The Company records a liability for uncertain tax positions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unrecognized tax benefits associated with uncertain tax positions as of December 31, 2024 and 2023 as follows: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w:t>
            </w:r>
          </w:p>
        </w:tc>
        <w:tc>
          <w:tcPr>
            <w:tcW w:w="1200" w:type="dxa"/>
            <w:vAlign w:val="bottom"/>
            <w:tcBorders>
              <w:bottom w:val="single" w:sz="8" w:color="auto"/>
            </w:tcBorders>
          </w:tcPr>
          <w:p>
            <w:pPr>
              <w:spacing w:after="0"/>
              <w:rPr>
                <w:sz w:val="15"/>
                <w:szCs w:val="15"/>
                <w:color w:val="auto"/>
              </w:rPr>
            </w:pPr>
          </w:p>
        </w:tc>
      </w:tr>
      <w:tr>
        <w:trPr>
          <w:trHeight w:val="182"/>
        </w:trPr>
        <w:tc>
          <w:tcPr>
            <w:tcW w:w="69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January 1</w:t>
            </w:r>
          </w:p>
        </w:tc>
        <w:tc>
          <w:tcPr>
            <w:tcW w:w="118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685</w:t>
            </w:r>
          </w:p>
        </w:tc>
      </w:tr>
      <w:tr>
        <w:trPr>
          <w:trHeight w:val="19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6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year tax positions</w:t>
            </w:r>
          </w:p>
        </w:tc>
        <w:tc>
          <w:tcPr>
            <w:tcW w:w="1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year tax positions</w:t>
            </w:r>
          </w:p>
        </w:tc>
        <w:tc>
          <w:tcPr>
            <w:tcW w:w="1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change</w:t>
            </w:r>
          </w:p>
        </w:tc>
        <w:tc>
          <w:tcPr>
            <w:tcW w:w="1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1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1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w:t>
            </w:r>
          </w:p>
        </w:tc>
        <w:tc>
          <w:tcPr>
            <w:tcW w:w="1180" w:type="dxa"/>
            <w:vAlign w:val="bottom"/>
            <w:tcBorders>
              <w:top w:val="single" w:sz="8" w:color="auto"/>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680</w:t>
            </w:r>
          </w:p>
        </w:tc>
      </w:tr>
      <w:tr>
        <w:trPr>
          <w:trHeight w:val="20"/>
        </w:trPr>
        <w:tc>
          <w:tcPr>
            <w:tcW w:w="6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total amount of gross unrecognized tax benefits was $1,571 and $680 for the years ended December 31, 2024 and 2023, respectively. The increase in gross unrecognized tax benefits in 2024 was related to an impermissible method of accounting for payroll costs.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Included in the balance of unrecognized tax benefits at December 31, 2024 are potential benefits of nil that, if recognized, would affect the effective tax rate on income from continuing operations. The open tax years for federal returns are 2021 and forward, and the open tax years for state returns are generally 2019 and forward. Net operating losses and R&amp;D credits generated in closed years and utilized in open years are subject to adjustment by the tax authorities. The Company is currently under examination by the IRS related to tax year 2022. The Company is not under examination by any other taxing jurisdictions.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regularly assesses the adequacy of its provision for income tax contingencies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As a result, the Company may adjust the reserves for unrecognized tax benefits for the impact of new facts and developments, such as changes to interpretation of relevant tax law, assessments from taxing authorities, settlements with tax authorities and lapses of statute of limitations.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Shareholders' Deficit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Shares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1,000,000 shares of preferred stock with such designations, voting and other rights and preferences as may be determined from time to time by the Company’s Board of Directors. The preferred stock has a par value of $0.0001. As of December 31, 2024 and 2023, there were no shares of preferred stock issued or outstanding.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20. Shareholders' Deficit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600,000,000 shares of common stock at $0.0001 par value. The holders of the Company’s common stock are entitled to one vote for each share held. At December 31, 2024 and 2023, there were 221,791,205 and 199,133,827 shares of common stock issued and outstanding,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Treasury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and 2023, the Company recorded treasury stock of $1,228 and $633 for shares withheld from employees to cover the payroll tax liability of RSUs vested, respectively. The treasury stock was immediately retired.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for the years ended December 31, 2024 and 2023. As of December 31, 2024 and 2023, there were 7,052,254 public warrants outstanding for both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Standby Equity Purchase Agreement</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On April 28, 2022, the Company entered into the </w:t>
      </w:r>
      <w:r>
        <w:rPr>
          <w:rFonts w:ascii="Times New Roman" w:cs="Times New Roman" w:eastAsia="Times New Roman" w:hAnsi="Times New Roman"/>
          <w:sz w:val="14"/>
          <w:szCs w:val="14"/>
          <w:i w:val="1"/>
          <w:iCs w:val="1"/>
          <w:color w:val="auto"/>
        </w:rPr>
        <w:t>Standby Equity Purchase Agreement (“</w:t>
      </w:r>
      <w:r>
        <w:rPr>
          <w:rFonts w:ascii="Times New Roman" w:cs="Times New Roman" w:eastAsia="Times New Roman" w:hAnsi="Times New Roman"/>
          <w:sz w:val="14"/>
          <w:szCs w:val="14"/>
          <w:color w:val="auto"/>
        </w:rPr>
        <w:t>SEPA”). Pursuant to the SEPA, the Company had the right, but not the obligation, to sell to Yorkville shares of its common stock at the Company’s request. For the year ended December 31, 2023, total funds raised under the SEPA, inclusive of proceeds received from the 2023 Promissory Notes, were $35,550. Total shares issued under the SEPA for the year ended December 31, 2023 were 23,630,937.</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Offering Program</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sold 16,627,523 shares raising proceeds of $14,089, net of fees paid to Cowen, at an average selling price of $0.87 per share, included in the Consolidated Statement of Shareholders' Equity.</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sold 37,126,137 shares raising proceeds of $92,916, net of fees paid to Cowen, at an average selling price of $2.58 per share, included in the Consolidated Statement of Shareholders'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Earnings Per Share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Generally, basic earnings per share (“EPS”) is computed by dividing earnings available to common shareholders by the weighted average number of shares of common stock outstanding during the period. The SPA Warrant and Preferred Series B are participating securities that do not have the obligation to share in the losses of the Company. Therefore, the more dilutive of the “if-converted” and “two-class” method must be applied when calculating EPS for the common shares.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has elected to recognize changes in the redemption value of the Series B Preferred Stock. At each balance sheet date, the redemption value of the Series B Preferred Stock will be calculated, and if the redemption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 Earnings Per Share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value is greater than the carrying value, the carrying value will be accreted to the redemption value. The accretion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Since the Company incurred a net loss for the year ended December 31, 2024, as well as the year ended December 31, 2023,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year ended December 31, 2024, as well as the year ended December 31, 2023. The following potentially dilutive shares were excluded from the calculation of diluted net loss per share because their effect would have been anti-dilutive for the year ended December 31, 2024, as well as the year ended December 31, 2023:</w:t>
      </w:r>
    </w:p>
    <w:p>
      <w:pPr>
        <w:spacing w:after="0" w:line="18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20955</wp:posOffset>
            </wp:positionV>
            <wp:extent cx="35839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780" w:type="dxa"/>
            <w:vAlign w:val="bottom"/>
            <w:tcBorders>
              <w:bottom w:val="single" w:sz="8" w:color="auto"/>
            </w:tcBorders>
          </w:tcPr>
          <w:p>
            <w:pPr>
              <w:jc w:val="right"/>
              <w:ind w:right="119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RSUs, PRSUs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26,736,363</w:t>
            </w:r>
          </w:p>
        </w:tc>
        <w:tc>
          <w:tcPr>
            <w:tcW w:w="8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9,675,085</w:t>
            </w:r>
          </w:p>
        </w:tc>
      </w:tr>
      <w:tr>
        <w:trPr>
          <w:trHeight w:val="191"/>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and private placement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100,004,820</w:t>
            </w:r>
          </w:p>
        </w:tc>
        <w:tc>
          <w:tcPr>
            <w:tcW w:w="80" w:type="dxa"/>
            <w:vAlign w:val="bottom"/>
          </w:tcPr>
          <w:p>
            <w:pPr>
              <w:spacing w:after="0"/>
              <w:rPr>
                <w:sz w:val="16"/>
                <w:szCs w:val="16"/>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61,411,393</w:t>
            </w:r>
          </w:p>
        </w:tc>
      </w:tr>
      <w:tr>
        <w:trPr>
          <w:trHeight w:val="22"/>
        </w:trPr>
        <w:tc>
          <w:tcPr>
            <w:tcW w:w="5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2"/>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Notes (if converted)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19,527,599</w:t>
            </w:r>
          </w:p>
        </w:tc>
        <w:tc>
          <w:tcPr>
            <w:tcW w:w="8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16,226,124</w:t>
            </w:r>
          </w:p>
        </w:tc>
      </w:tr>
      <w:tr>
        <w:trPr>
          <w:trHeight w:val="191"/>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99,006,390</w:t>
            </w:r>
          </w:p>
        </w:tc>
        <w:tc>
          <w:tcPr>
            <w:tcW w:w="80" w:type="dxa"/>
            <w:vAlign w:val="bottom"/>
          </w:tcPr>
          <w:p>
            <w:pPr>
              <w:spacing w:after="0"/>
              <w:rPr>
                <w:sz w:val="16"/>
                <w:szCs w:val="16"/>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Segment Reporting</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designs, develops, manufactures, and markets innovative zinc-based energy storage solutions for utility-scale, microgrid and commercial &amp; industrial (C&amp;I) applications. The Company operates and holds long-lived assets in a single geographical region, with nearly all of its revenue coming from customers in the United States.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CODM reviews financial information on a consolidated basis and uses Gross profit (loss) and Net income (loss) to assess financial performance considering budget-to-actual variances when making key decisions on how to allocate company resources.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22. Segment Reporting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segment information is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700" w:type="dxa"/>
            <w:vAlign w:val="bottom"/>
            <w:tcBorders>
              <w:bottom w:val="single" w:sz="8" w:color="auto"/>
            </w:tcBorders>
          </w:tcPr>
          <w:p>
            <w:pPr>
              <w:spacing w:after="0"/>
              <w:rPr>
                <w:sz w:val="15"/>
                <w:szCs w:val="15"/>
                <w:color w:val="auto"/>
              </w:rPr>
            </w:pPr>
          </w:p>
        </w:tc>
      </w:tr>
      <w:tr>
        <w:trPr>
          <w:trHeight w:val="182"/>
        </w:trPr>
        <w:tc>
          <w:tcPr>
            <w:tcW w:w="56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 revenue</w:t>
            </w:r>
          </w:p>
        </w:tc>
        <w:tc>
          <w:tcPr>
            <w:tcW w:w="1700" w:type="dxa"/>
            <w:vAlign w:val="bottom"/>
            <w:tcBorders>
              <w:bottom w:val="single" w:sz="8" w:color="CCEEFF"/>
            </w:tcBorders>
            <w:shd w:val="clear" w:color="auto" w:fill="CCEEFF"/>
          </w:tcPr>
          <w:p>
            <w:pPr>
              <w:jc w:val="right"/>
              <w:ind w:right="15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16,151</w:t>
            </w:r>
          </w:p>
        </w:tc>
      </w:tr>
      <w:tr>
        <w:trPr>
          <w:trHeight w:val="191"/>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revenue</w:t>
            </w:r>
          </w:p>
        </w:tc>
        <w:tc>
          <w:tcPr>
            <w:tcW w:w="1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2"/>
        </w:trPr>
        <w:tc>
          <w:tcPr>
            <w:tcW w:w="56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7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15,606</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16,378</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
        </w:trPr>
        <w:tc>
          <w:tcPr>
            <w:tcW w:w="5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2"/>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goods sold</w:t>
            </w:r>
          </w:p>
        </w:tc>
        <w:tc>
          <w:tcPr>
            <w:tcW w:w="17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98,867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89,798</w:t>
            </w:r>
          </w:p>
        </w:tc>
      </w:tr>
      <w:tr>
        <w:trPr>
          <w:trHeight w:val="181"/>
        </w:trPr>
        <w:tc>
          <w:tcPr>
            <w:tcW w:w="56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17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(83,261)</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(73,420)</w:t>
            </w:r>
          </w:p>
        </w:tc>
      </w:tr>
      <w:tr>
        <w:trPr>
          <w:trHeight w:val="22"/>
        </w:trPr>
        <w:tc>
          <w:tcPr>
            <w:tcW w:w="5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7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r>
      <w:tr>
        <w:trPr>
          <w:trHeight w:val="191"/>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22,758</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18,708</w:t>
            </w:r>
          </w:p>
        </w:tc>
      </w:tr>
      <w:tr>
        <w:trPr>
          <w:trHeight w:val="22"/>
        </w:trPr>
        <w:tc>
          <w:tcPr>
            <w:tcW w:w="5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7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60,047</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53,650</w:t>
            </w:r>
          </w:p>
        </w:tc>
      </w:tr>
      <w:tr>
        <w:trPr>
          <w:trHeight w:val="212"/>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(a)</w:t>
            </w:r>
          </w:p>
        </w:tc>
        <w:tc>
          <w:tcPr>
            <w:tcW w:w="1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519,804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83,728</w:t>
            </w:r>
          </w:p>
        </w:tc>
      </w:tr>
      <w:tr>
        <w:trPr>
          <w:trHeight w:val="22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700" w:type="dxa"/>
            <w:vAlign w:val="bottom"/>
            <w:tcBorders>
              <w:bottom w:val="single" w:sz="8" w:color="auto"/>
            </w:tcBorders>
            <w:shd w:val="clear" w:color="auto" w:fill="CCEEFF"/>
          </w:tcPr>
          <w:p>
            <w:pPr>
              <w:jc w:val="right"/>
              <w:ind w:right="15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(685,870)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firstLine="5"/>
        <w:spacing w:after="0" w:line="280" w:lineRule="auto"/>
        <w:tabs>
          <w:tab w:leader="none" w:pos="154"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items include loss from write-down of property, plant and equipment, interest expense, net, change in fair value of debt, change in fair value of warrants, change in fair value of derivatives, gain and loss on debt extinguishment and costs related to the credit and securities purchase transaction.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segment financial information is summarized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700" w:type="dxa"/>
            <w:vAlign w:val="bottom"/>
            <w:tcBorders>
              <w:bottom w:val="single" w:sz="8" w:color="auto"/>
            </w:tcBorders>
          </w:tcPr>
          <w:p>
            <w:pPr>
              <w:spacing w:after="0"/>
              <w:rPr>
                <w:sz w:val="15"/>
                <w:szCs w:val="15"/>
                <w:color w:val="auto"/>
              </w:rPr>
            </w:pPr>
          </w:p>
        </w:tc>
      </w:tr>
      <w:tr>
        <w:trPr>
          <w:trHeight w:val="182"/>
        </w:trPr>
        <w:tc>
          <w:tcPr>
            <w:tcW w:w="56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1700" w:type="dxa"/>
            <w:vAlign w:val="bottom"/>
            <w:tcBorders>
              <w:bottom w:val="single" w:sz="8" w:color="CCEEFF"/>
            </w:tcBorders>
            <w:shd w:val="clear" w:color="auto" w:fill="CCEEFF"/>
          </w:tcPr>
          <w:p>
            <w:pPr>
              <w:jc w:val="right"/>
              <w:ind w:right="15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260,318</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186,492</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700" w:type="dxa"/>
            <w:vAlign w:val="bottom"/>
          </w:tcPr>
          <w:p>
            <w:pPr>
              <w:jc w:val="right"/>
              <w:ind w:right="15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tcPr>
          <w:p>
            <w:pPr>
              <w:spacing w:after="0"/>
              <w:rPr>
                <w:sz w:val="16"/>
                <w:szCs w:val="16"/>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w:t>
            </w:r>
          </w:p>
        </w:tc>
      </w:tr>
      <w:tr>
        <w:trPr>
          <w:trHeight w:val="22"/>
        </w:trPr>
        <w:tc>
          <w:tcPr>
            <w:tcW w:w="5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700" w:type="dxa"/>
            <w:vAlign w:val="bottom"/>
            <w:tcBorders>
              <w:bottom w:val="single" w:sz="8" w:color="CCEEFF"/>
            </w:tcBorders>
            <w:shd w:val="clear" w:color="auto" w:fill="CCEEFF"/>
          </w:tcPr>
          <w:p>
            <w:pPr>
              <w:jc w:val="right"/>
              <w:ind w:right="15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700" w:type="dxa"/>
            <w:vAlign w:val="bottom"/>
          </w:tcPr>
          <w:p>
            <w:pPr>
              <w:jc w:val="right"/>
              <w:ind w:right="15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28,840</w:t>
            </w:r>
          </w:p>
        </w:tc>
        <w:tc>
          <w:tcPr>
            <w:tcW w:w="100" w:type="dxa"/>
            <w:vAlign w:val="bottom"/>
          </w:tcPr>
          <w:p>
            <w:pPr>
              <w:spacing w:after="0"/>
              <w:rPr>
                <w:sz w:val="16"/>
                <w:szCs w:val="16"/>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56,738</w:t>
            </w:r>
          </w:p>
        </w:tc>
      </w:tr>
      <w:tr>
        <w:trPr>
          <w:trHeight w:val="22"/>
        </w:trPr>
        <w:tc>
          <w:tcPr>
            <w:tcW w:w="5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70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29,323</w:t>
            </w:r>
          </w:p>
        </w:tc>
      </w:tr>
      <w:tr>
        <w:trPr>
          <w:trHeight w:val="22"/>
        </w:trPr>
        <w:tc>
          <w:tcPr>
            <w:tcW w:w="56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Subsequent Events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24, 2025, the Company announced the achievement of all four of the third performance milestones previously agreed upon between Eos and Cerberus pursuant to the Credit Agreement. Achieving these performance milestones enabled the Company to draw an additional $40,500 from the Delayed Draw Term Loan. On January 24, 2025, Cerberus funded the full amount of the scheduled $40,500 draw under the Delayed Draw Term Loan, completing the scheduled fundings under the Delayed Draw Term Loan.</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final scheduled draw and pursuant to the terms and conditions of the SPA, the Applicable Percentage increased by 2.1%, and the Company issued to Cerberus 16.150528 shares of a newly designated non-voting Series B-4 Convertible Preferred Stock, par value $0.0001 per share (the “Series B-4 Preferred Stock”), which are convertible into an aggregate of 16,150,528 shares of common stock. Collectively, the SPA Warrant, the Series B Preferred Stock, and the newly created Series B-4 Preferred Stock are exercisable or convertible into, as applicable, an aggregate of 158,433,112 shares of common stock, or an Applicable Percentage of 33.0% as of the issuance date.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terms of the Series B-4 Certificate of Designation, each share of Series B-4 Preferred Stock has an original issue price of $5,990.</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meeting the third performance milestones, if the Company fails to achieve the remaining milestones as of the final milestone measurement date, the applicable percentage will be subject to up to a 4.0% increase for the missed milestones or an increase of the overall applicable percentage of up to 37.0%.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ind w:right="3260"/>
        <w:spacing w:after="0" w:line="464"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our Chief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Exchange Act Rules 13a-15(f) and 15d-15(f). Our internal control over financial reporting is designed under the supervision of our Chief Executive Officer and Chief Financial Officer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including the CEO and CFO, assessed the effectiveness of our internal control over financial reporting based on the framework set forth by the Committee of Sponsoring Organizations of the Treadway Commission (“COSO”) in Internal Control—Integrated Framework (2013 Framework). Based on our assessment, we concluded that our internal control over financial reporting was effective as of December 31,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Remediation of Previously Identified Material Weaknesses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disclosed in our Annual Report on Form 10-K filed with the SEC on February 25, 2021, our management identified material weaknesses in our internal control over financial reporting related to: a lack of a formalized internal control framework in accordance with COSO, inadequate segregation of duties within the financial reporting process, lack of review and approval of journal entries, and a lack of management review controls. To address these material weaknesses, management, with oversight of the Audit Committee, implemented the following steps to remediate the material weaknesses:</w:t>
      </w:r>
    </w:p>
    <w:p>
      <w:pPr>
        <w:spacing w:after="0" w:line="24"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engaged external experts to complement internal resources and to provide support related to more complex applications of GAAP, tax, and internal controls.</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designed and implemented a comprehensive internal control framework that includes a formal risk assessment process to identify and design our control activities to address all risks of material misstatement whether due to error or fraud.</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designed and implemented systematic manual journal entry review workflows.</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designed and implemented IT general controls over the review of user access rights and privileges and implemented more robust review procedures over change management and segregation of duties.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Times New Roman" w:cs="Times New Roman" w:eastAsia="Times New Roman" w:hAnsi="Times New Roman"/>
          <w:sz w:val="14"/>
          <w:szCs w:val="14"/>
          <w:color w:val="auto"/>
        </w:rPr>
        <w:t>We developed a formalized process and control documentation for all relevant areas of financial reporting, including IT general and automated controls that support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379095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line="287"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designed and implemented a comprehensive segregation of duties framework and implemented relevant segregation of duties controls, including restricting the ability for one individual to both (i) create and post a journal entry in the general ledger and (ii) prepare and review account reconciliations.</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designed and implemented management review controls over each significant class of transaction, including areas considered highly complex, judgmental, and subject to management estimation.</w:t>
      </w:r>
    </w:p>
    <w:p>
      <w:pPr>
        <w:spacing w:after="0" w:line="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designed procedures to validate underlying source data used in our financial reporting controls and the necessary IT general and automated controls to rely on the IT environment supporting our financial reporting.</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designed and implemented controls to identify any significant and unusual transactions, and analyze, record, report, and disclose such matters.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our testing of both the design and operating effectiveness of our internal controls was completed, and management has concluded that the previously identified material weaknesses have been fully remediated.</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than the changes described above related to our remediation of the previously identified material weaknesses, there were no changes to our internal control over financial reporting which were identified in connection with the evaluation required by Rules 13a-15(d) or 15d-15(d) under the Exchange Act during the fourth quarter of 2024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379730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December 31,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Codes of Business Conduct and Ethics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board of directors has adopted a Code of Business Conduct and Ethics that applies to all officers, directors and employees, which is available on our website at https://investors.eose.com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including Securities Authorized for Issuance Under Equity Plans, is incorporated by reference to our Proxy Statement relating to our 2024 Annual Meeting of Stockholders. The Proxy Statement will be filed with the Securities and Exchange Commission within 120 days of the fiscal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December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25" w:lineRule="exact"/>
        <w:rPr>
          <w:sz w:val="20"/>
          <w:szCs w:val="20"/>
          <w:color w:val="auto"/>
        </w:rPr>
      </w:pPr>
    </w:p>
    <w:p>
      <w:pPr>
        <w:ind w:firstLine="5"/>
        <w:spacing w:after="0" w:line="290" w:lineRule="auto"/>
        <w:tabs>
          <w:tab w:leader="none" w:pos="207"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Financial Statements. </w:t>
      </w:r>
      <w:r>
        <w:rPr>
          <w:rFonts w:ascii="Times New Roman" w:cs="Times New Roman" w:eastAsia="Times New Roman" w:hAnsi="Times New Roman"/>
          <w:sz w:val="14"/>
          <w:szCs w:val="14"/>
          <w:color w:val="auto"/>
        </w:rPr>
        <w:t>The Consolidated Financial Statements and Report of Independent Registered Accounting Firm are listed under Part II, Item 8. Financial Statements and Supplementary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Data of this Annual Report.</w:t>
      </w:r>
    </w:p>
    <w:p>
      <w:pPr>
        <w:spacing w:after="0" w:line="67" w:lineRule="exact"/>
        <w:rPr>
          <w:rFonts w:ascii="Times New Roman" w:cs="Times New Roman" w:eastAsia="Times New Roman" w:hAnsi="Times New Roman"/>
          <w:sz w:val="14"/>
          <w:szCs w:val="14"/>
          <w:b w:val="1"/>
          <w:bCs w:val="1"/>
          <w:color w:val="auto"/>
        </w:rPr>
      </w:pPr>
    </w:p>
    <w:p>
      <w:pPr>
        <w:ind w:firstLine="5"/>
        <w:spacing w:after="0" w:line="290" w:lineRule="auto"/>
        <w:tabs>
          <w:tab w:leader="none" w:pos="205"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Financial Statement Schedules and Other Financial Information. </w:t>
      </w:r>
      <w:r>
        <w:rPr>
          <w:rFonts w:ascii="Times New Roman" w:cs="Times New Roman" w:eastAsia="Times New Roman" w:hAnsi="Times New Roman"/>
          <w:sz w:val="14"/>
          <w:szCs w:val="14"/>
          <w:color w:val="auto"/>
        </w:rPr>
        <w:t>No financial statement schedules are submitted because either they are not applicable or because the required information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included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667385</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hanging="195"/>
        <w:spacing w:after="0"/>
        <w:tabs>
          <w:tab w:leader="none" w:pos="20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Exhibits. </w:t>
      </w:r>
      <w:r>
        <w:rPr>
          <w:rFonts w:ascii="Times New Roman" w:cs="Times New Roman" w:eastAsia="Times New Roman" w:hAnsi="Times New Roman"/>
          <w:sz w:val="14"/>
          <w:szCs w:val="14"/>
          <w:color w:val="auto"/>
        </w:rPr>
        <w:t>Filed as part of this Annual Report are the following exhibits: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20" w:type="dxa"/>
            <w:vAlign w:val="bottom"/>
          </w:tcPr>
          <w:p>
            <w:pPr>
              <w:spacing w:after="0"/>
              <w:rPr>
                <w:sz w:val="18"/>
                <w:szCs w:val="18"/>
                <w:color w:val="auto"/>
              </w:rPr>
            </w:pPr>
          </w:p>
        </w:tc>
        <w:tc>
          <w:tcPr>
            <w:tcW w:w="2920" w:type="dxa"/>
            <w:vAlign w:val="bottom"/>
            <w:gridSpan w:val="18"/>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0"/>
        </w:trPr>
        <w:tc>
          <w:tcPr>
            <w:tcW w:w="11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3"/>
                <w:szCs w:val="13"/>
                <w:color w:val="auto"/>
              </w:rPr>
            </w:pPr>
          </w:p>
        </w:tc>
        <w:tc>
          <w:tcPr>
            <w:tcW w:w="384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Agreement and Plan of Merger, dated as of September 7, 2020,</w:t>
              </w:r>
            </w:hyperlink>
          </w:p>
        </w:tc>
        <w:tc>
          <w:tcPr>
            <w:tcW w:w="1580" w:type="dxa"/>
            <w:vAlign w:val="bottom"/>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0"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29"/>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September 8, 2020</w:t>
            </w:r>
          </w:p>
        </w:tc>
      </w:tr>
      <w:tr>
        <w:trPr>
          <w:trHeight w:val="139"/>
        </w:trPr>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580" w:type="dxa"/>
            <w:vAlign w:val="bottom"/>
            <w:tcBorders>
              <w:top w:val="single" w:sz="8" w:color="0000FF"/>
              <w:bottom w:val="single" w:sz="8" w:color="0000FF"/>
            </w:tcBorders>
            <w:gridSpan w:val="12"/>
            <w:shd w:val="clear" w:color="auto" w:fill="CCEEFF"/>
          </w:tcPr>
          <w:p>
            <w:pPr>
              <w:spacing w:after="0" w:line="139" w:lineRule="exact"/>
              <w:rPr>
                <w:rFonts w:ascii="Times New Roman" w:cs="Times New Roman" w:eastAsia="Times New Roman" w:hAnsi="Times New Roman"/>
                <w:sz w:val="14"/>
                <w:szCs w:val="14"/>
                <w:color w:val="0000FF"/>
                <w:w w:val="99"/>
              </w:rPr>
            </w:pPr>
            <w:hyperlink r:id="rId183">
              <w:r>
                <w:rPr>
                  <w:rFonts w:ascii="Times New Roman" w:cs="Times New Roman" w:eastAsia="Times New Roman" w:hAnsi="Times New Roman"/>
                  <w:sz w:val="14"/>
                  <w:szCs w:val="14"/>
                  <w:color w:val="0000FF"/>
                  <w:w w:val="99"/>
                </w:rPr>
                <w:t>by and among the Company, BMRG Merger Sub, LLC, BMRG</w:t>
              </w:r>
            </w:hyperlink>
          </w:p>
        </w:tc>
        <w:tc>
          <w:tcPr>
            <w:tcW w:w="4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9"/>
        </w:trPr>
        <w:tc>
          <w:tcPr>
            <w:tcW w:w="1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620" w:type="dxa"/>
            <w:vAlign w:val="bottom"/>
            <w:tcBorders>
              <w:bottom w:val="single" w:sz="8" w:color="0000FF"/>
            </w:tcBorders>
            <w:gridSpan w:val="13"/>
            <w:shd w:val="clear" w:color="auto" w:fill="CCEEFF"/>
          </w:tcPr>
          <w:p>
            <w:pPr>
              <w:spacing w:after="0" w:line="139" w:lineRule="exact"/>
              <w:rPr>
                <w:rFonts w:ascii="Times New Roman" w:cs="Times New Roman" w:eastAsia="Times New Roman" w:hAnsi="Times New Roman"/>
                <w:sz w:val="14"/>
                <w:szCs w:val="14"/>
                <w:color w:val="0000FF"/>
                <w:w w:val="99"/>
              </w:rPr>
            </w:pPr>
            <w:hyperlink r:id="rId183">
              <w:r>
                <w:rPr>
                  <w:rFonts w:ascii="Times New Roman" w:cs="Times New Roman" w:eastAsia="Times New Roman" w:hAnsi="Times New Roman"/>
                  <w:sz w:val="14"/>
                  <w:szCs w:val="14"/>
                  <w:color w:val="0000FF"/>
                  <w:w w:val="99"/>
                </w:rPr>
                <w:t>Merger Sub II, LLC, Eos Energy Storage LLC, New Eos Energy</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r>
      <w:tr>
        <w:trPr>
          <w:trHeight w:val="150"/>
        </w:trPr>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4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LLC and AltEnergy Storage VI, LLC (incorporated by reference</w:t>
              </w:r>
            </w:hyperlink>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39"/>
        </w:trPr>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60" w:type="dxa"/>
            <w:vAlign w:val="bottom"/>
            <w:tcBorders>
              <w:top w:val="single" w:sz="8" w:color="0000FF"/>
            </w:tcBorders>
            <w:gridSpan w:val="15"/>
            <w:shd w:val="clear" w:color="auto" w:fill="CCEEFF"/>
          </w:tcPr>
          <w:p>
            <w:pPr>
              <w:spacing w:after="0" w:line="13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to Exhibit 2.1 of the Registrant’s Current Report on Form 8-K</w:t>
              </w:r>
            </w:hyperlink>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3"/>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r>
      <w:tr>
        <w:trPr>
          <w:trHeight w:val="172"/>
        </w:trPr>
        <w:tc>
          <w:tcPr>
            <w:tcW w:w="1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520" w:type="dxa"/>
            <w:vAlign w:val="bottom"/>
            <w:tcBorders>
              <w:top w:val="single" w:sz="8" w:color="0000FF"/>
            </w:tcBorders>
            <w:gridSpan w:val="10"/>
            <w:shd w:val="clear" w:color="auto" w:fill="CCEEFF"/>
          </w:tcPr>
          <w:p>
            <w:pPr>
              <w:spacing w:after="0" w:line="13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filed with the SEC on September 8,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gridSpan w:val="3"/>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r>
      <w:tr>
        <w:trPr>
          <w:trHeight w:val="170"/>
        </w:trPr>
        <w:tc>
          <w:tcPr>
            <w:tcW w:w="1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3640" w:type="dxa"/>
            <w:vAlign w:val="bottom"/>
            <w:tcBorders>
              <w:bottom w:val="single" w:sz="8" w:color="0000FF"/>
            </w:tcBorders>
            <w:gridSpan w:val="14"/>
            <w:shd w:val="clear" w:color="auto" w:fill="CCEEFF"/>
          </w:tcPr>
          <w:p>
            <w:pPr>
              <w:spacing w:after="0" w:line="15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Third Amended and Restated Certificate of Incorporation of the</w:t>
              </w:r>
            </w:hyperlink>
          </w:p>
        </w:tc>
        <w:tc>
          <w:tcPr>
            <w:tcW w:w="200" w:type="dxa"/>
            <w:vAlign w:val="bottom"/>
            <w:tcBorders>
              <w:bottom w:val="single" w:sz="8" w:color="CCEEFF"/>
            </w:tcBorders>
            <w:gridSpan w:val="5"/>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February 28, 2023</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Company, as amended</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0"/>
        </w:trPr>
        <w:tc>
          <w:tcPr>
            <w:tcW w:w="1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6"/>
                <w:szCs w:val="16"/>
                <w:color w:val="auto"/>
              </w:rPr>
            </w:pPr>
          </w:p>
        </w:tc>
        <w:tc>
          <w:tcPr>
            <w:tcW w:w="384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Second Amended and Restated Bylaws of the Company</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19, 2022</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3"/>
                <w:szCs w:val="13"/>
                <w:color w:val="auto"/>
              </w:rPr>
            </w:pPr>
          </w:p>
        </w:tc>
        <w:tc>
          <w:tcPr>
            <w:tcW w:w="384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Certificate of Amendment to the Third Amended and Restated</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14, 2024</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0000FF"/>
            </w:tcBorders>
            <w:gridSpan w:val="11"/>
            <w:shd w:val="clear" w:color="auto" w:fill="CCEEFF"/>
          </w:tcPr>
          <w:p>
            <w:pPr>
              <w:spacing w:after="0" w:line="150"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Certificate of Incorporation of the Company, as amended</w:t>
              </w:r>
            </w:hyperlink>
          </w:p>
        </w:tc>
        <w:tc>
          <w:tcPr>
            <w:tcW w:w="300" w:type="dxa"/>
            <w:vAlign w:val="bottom"/>
            <w:tcBorders>
              <w:top w:val="single" w:sz="8" w:color="CCEEFF"/>
            </w:tcBorders>
            <w:gridSpan w:val="8"/>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6"/>
                <w:szCs w:val="16"/>
                <w:color w:val="auto"/>
              </w:rPr>
            </w:pPr>
          </w:p>
        </w:tc>
        <w:tc>
          <w:tcPr>
            <w:tcW w:w="384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Series A-1 Preferred Stock Certificate of Designation</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24, 2024</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6"/>
                <w:szCs w:val="16"/>
                <w:color w:val="auto"/>
              </w:rPr>
            </w:pPr>
          </w:p>
        </w:tc>
        <w:tc>
          <w:tcPr>
            <w:tcW w:w="384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Series A-2 Preferred Stock Certificate of Designation.</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30, 2024</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3"/>
                <w:szCs w:val="13"/>
                <w:color w:val="auto"/>
              </w:rPr>
            </w:pPr>
          </w:p>
        </w:tc>
        <w:tc>
          <w:tcPr>
            <w:tcW w:w="3680" w:type="dxa"/>
            <w:vAlign w:val="bottom"/>
            <w:tcBorders>
              <w:bottom w:val="single" w:sz="8" w:color="0000FF"/>
            </w:tcBorders>
            <w:gridSpan w:val="16"/>
            <w:shd w:val="clear" w:color="auto" w:fill="CCEEFF"/>
          </w:tcPr>
          <w:p>
            <w:pPr>
              <w:spacing w:after="0" w:line="159"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Certificate of Designation of Series B-1 Non-Voting Convertible</w:t>
              </w:r>
            </w:hyperlink>
          </w:p>
        </w:tc>
        <w:tc>
          <w:tcPr>
            <w:tcW w:w="160" w:type="dxa"/>
            <w:vAlign w:val="bottom"/>
            <w:tcBorders>
              <w:bottom w:val="single" w:sz="8" w:color="CCEEFF"/>
            </w:tcBorders>
            <w:gridSpan w:val="3"/>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September 12,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Preferred Stock.</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3"/>
                <w:szCs w:val="13"/>
                <w:color w:val="auto"/>
              </w:rPr>
            </w:pPr>
          </w:p>
        </w:tc>
        <w:tc>
          <w:tcPr>
            <w:tcW w:w="3680" w:type="dxa"/>
            <w:vAlign w:val="bottom"/>
            <w:tcBorders>
              <w:bottom w:val="single" w:sz="8" w:color="0000FF"/>
            </w:tcBorders>
            <w:gridSpan w:val="16"/>
            <w:shd w:val="clear" w:color="auto" w:fill="CCEEFF"/>
          </w:tcPr>
          <w:p>
            <w:pPr>
              <w:spacing w:after="0" w:line="159"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Certificate of Designation of Series B-2 Non-Voting Convertible</w:t>
              </w:r>
            </w:hyperlink>
          </w:p>
        </w:tc>
        <w:tc>
          <w:tcPr>
            <w:tcW w:w="160" w:type="dxa"/>
            <w:vAlign w:val="bottom"/>
            <w:tcBorders>
              <w:bottom w:val="single" w:sz="8" w:color="CCEEFF"/>
            </w:tcBorders>
            <w:gridSpan w:val="3"/>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September 12,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Preferred Stock.</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6"/>
                <w:szCs w:val="16"/>
                <w:color w:val="auto"/>
              </w:rPr>
            </w:pPr>
          </w:p>
        </w:tc>
        <w:tc>
          <w:tcPr>
            <w:tcW w:w="384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Specimen Common Stock Certificate</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November 20, 2020</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6"/>
                <w:szCs w:val="16"/>
                <w:color w:val="auto"/>
              </w:rPr>
            </w:pPr>
          </w:p>
        </w:tc>
        <w:tc>
          <w:tcPr>
            <w:tcW w:w="384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Specimen Warrant Certificate</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29"/>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November 20, 2020</w:t>
            </w:r>
          </w:p>
        </w:tc>
      </w:tr>
      <w:tr>
        <w:trPr>
          <w:trHeight w:val="1327"/>
        </w:trPr>
        <w:tc>
          <w:tcPr>
            <w:tcW w:w="11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19"/>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0"/>
        </w:trPr>
        <w:tc>
          <w:tcPr>
            <w:tcW w:w="11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3"/>
                <w:szCs w:val="13"/>
                <w:color w:val="auto"/>
              </w:rPr>
            </w:pPr>
          </w:p>
        </w:tc>
        <w:tc>
          <w:tcPr>
            <w:tcW w:w="3840" w:type="dxa"/>
            <w:vAlign w:val="bottom"/>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Eos Energy Enterprises, Inc. 5%/6% Convertible Senior PIK</w:t>
              </w:r>
            </w:hyperlink>
          </w:p>
        </w:tc>
        <w:tc>
          <w:tcPr>
            <w:tcW w:w="1580" w:type="dxa"/>
            <w:vAlign w:val="bottom"/>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0"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July 7, 2021</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40" w:type="dxa"/>
            <w:vAlign w:val="bottom"/>
            <w:tcBorders>
              <w:top w:val="single" w:sz="8" w:color="0000FF"/>
            </w:tcBorders>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Toggle Note due 2026</w:t>
              </w:r>
            </w:hyperlink>
          </w:p>
        </w:tc>
        <w:tc>
          <w:tcPr>
            <w:tcW w:w="400" w:type="dxa"/>
            <w:vAlign w:val="bottom"/>
            <w:tcBorders>
              <w:top w:val="single" w:sz="8" w:color="CCEEFF"/>
            </w:tcBorders>
            <w:gridSpan w:val="8"/>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59"/>
        </w:trPr>
        <w:tc>
          <w:tcPr>
            <w:tcW w:w="1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3"/>
                <w:szCs w:val="13"/>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Warrant Agreement, dated May 19, 2020, by and between the</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22, 2020</w:t>
            </w:r>
          </w:p>
        </w:tc>
      </w:tr>
      <w:tr>
        <w:trPr>
          <w:trHeight w:val="172"/>
        </w:trPr>
        <w:tc>
          <w:tcPr>
            <w:tcW w:w="1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500" w:type="dxa"/>
            <w:vAlign w:val="bottom"/>
            <w:tcBorders>
              <w:top w:val="single" w:sz="8" w:color="0000FF"/>
            </w:tcBorders>
            <w:gridSpan w:val="15"/>
            <w:shd w:val="clear" w:color="auto" w:fill="CCEEFF"/>
          </w:tcPr>
          <w:p>
            <w:pPr>
              <w:spacing w:after="0" w:line="13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Registrant and Continental Stock Transfer &amp; Trust Company</w:t>
              </w:r>
            </w:hyperlink>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6"/>
                <w:szCs w:val="16"/>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Description of Securities</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February 25, 2022</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3"/>
                <w:szCs w:val="13"/>
                <w:color w:val="auto"/>
              </w:rPr>
            </w:pPr>
          </w:p>
        </w:tc>
        <w:tc>
          <w:tcPr>
            <w:tcW w:w="3300" w:type="dxa"/>
            <w:vAlign w:val="bottom"/>
            <w:tcBorders>
              <w:bottom w:val="single" w:sz="8" w:color="0000FF"/>
            </w:tcBorders>
            <w:gridSpan w:val="11"/>
            <w:shd w:val="clear" w:color="auto" w:fill="CCEEFF"/>
          </w:tcPr>
          <w:p>
            <w:pPr>
              <w:spacing w:after="0" w:line="159"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Indenture, dated April 7, 2022, between the Company and</w:t>
              </w:r>
            </w:hyperlink>
          </w:p>
        </w:tc>
        <w:tc>
          <w:tcPr>
            <w:tcW w:w="540" w:type="dxa"/>
            <w:vAlign w:val="bottom"/>
            <w:tcBorders>
              <w:bottom w:val="single" w:sz="8" w:color="CCEEFF"/>
            </w:tcBorders>
            <w:gridSpan w:val="10"/>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April 13, 2022</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80" w:type="dxa"/>
            <w:vAlign w:val="bottom"/>
            <w:tcBorders>
              <w:bottom w:val="single" w:sz="8" w:color="0000FF"/>
            </w:tcBorders>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Wilmington Trust, National Association, as trustee (incorporated</w:t>
              </w:r>
            </w:hyperlink>
          </w:p>
        </w:tc>
        <w:tc>
          <w:tcPr>
            <w:tcW w:w="160" w:type="dxa"/>
            <w:vAlign w:val="bottom"/>
            <w:tcBorders>
              <w:bottom w:val="single" w:sz="8" w:color="CCEEFF"/>
            </w:tcBorders>
            <w:gridSpan w:val="3"/>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50"/>
        </w:trPr>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40" w:type="dxa"/>
            <w:vAlign w:val="bottom"/>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by reference to Exhibit 10.1 of the Registrant’s Current Report on</w:t>
              </w:r>
            </w:hyperlink>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0000FF"/>
            </w:tcBorders>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Form 8-K filed with the SEC on April 13, 2022)</w:t>
              </w:r>
            </w:hyperlink>
          </w:p>
        </w:tc>
        <w:tc>
          <w:tcPr>
            <w:tcW w:w="120" w:type="dxa"/>
            <w:vAlign w:val="bottom"/>
            <w:tcBorders>
              <w:top w:val="single" w:sz="8" w:color="CCEEFF"/>
            </w:tcBorders>
            <w:gridSpan w:val="2"/>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3"/>
                <w:szCs w:val="13"/>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Form of Note (including Indenture incorporated by reference</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January 19,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0000FF"/>
            </w:tcBorders>
            <w:gridSpan w:val="14"/>
            <w:shd w:val="clear" w:color="auto" w:fill="CCEEFF"/>
          </w:tcPr>
          <w:p>
            <w:pPr>
              <w:spacing w:after="0" w:line="150"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therein)</w:t>
              </w:r>
            </w:hyperlink>
          </w:p>
        </w:tc>
        <w:tc>
          <w:tcPr>
            <w:tcW w:w="380" w:type="dxa"/>
            <w:vAlign w:val="bottom"/>
            <w:tcBorders>
              <w:top w:val="single" w:sz="8" w:color="CCEEFF"/>
            </w:tcBorders>
            <w:gridSpan w:val="7"/>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3"/>
                <w:szCs w:val="13"/>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Form of Common Stock Purchase Warrant, dated as of April 12,</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April 14,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2023</w:t>
              </w:r>
            </w:hyperlink>
          </w:p>
        </w:tc>
        <w:tc>
          <w:tcPr>
            <w:tcW w:w="8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8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3"/>
                <w:szCs w:val="13"/>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Form of Common Stock Purchase Warrant, dated as of May 15,</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17,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2023</w:t>
              </w:r>
            </w:hyperlink>
          </w:p>
        </w:tc>
        <w:tc>
          <w:tcPr>
            <w:tcW w:w="8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8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3"/>
                <w:szCs w:val="13"/>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Indenture, dated May 25, 2023, between the Company and</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25,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Wilmington Trust, National Association, as trustee</w:t>
              </w:r>
            </w:hyperlink>
          </w:p>
        </w:tc>
        <w:tc>
          <w:tcPr>
            <w:tcW w:w="520" w:type="dxa"/>
            <w:vAlign w:val="bottom"/>
            <w:tcBorders>
              <w:top w:val="single" w:sz="8" w:color="CCEEFF"/>
            </w:tcBorders>
            <w:gridSpan w:val="9"/>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4.11</w:t>
            </w:r>
          </w:p>
        </w:tc>
        <w:tc>
          <w:tcPr>
            <w:tcW w:w="80" w:type="dxa"/>
            <w:vAlign w:val="bottom"/>
            <w:shd w:val="clear" w:color="auto" w:fill="CCEEFF"/>
          </w:tcPr>
          <w:p>
            <w:pPr>
              <w:spacing w:after="0"/>
              <w:rPr>
                <w:sz w:val="16"/>
                <w:szCs w:val="16"/>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Form of Note, dated as of May 25, 2023</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25, 2023</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CEEFF"/>
          </w:tcPr>
          <w:p>
            <w:pPr>
              <w:spacing w:after="0"/>
              <w:rPr>
                <w:sz w:val="16"/>
                <w:szCs w:val="16"/>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Form of Common Stock Purchase Warrant</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December 15, 2023</w:t>
            </w:r>
          </w:p>
        </w:tc>
      </w:tr>
      <w:tr>
        <w:trPr>
          <w:trHeight w:val="127"/>
        </w:trPr>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5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5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spacing w:after="0"/>
              <w:rPr>
                <w:sz w:val="11"/>
                <w:szCs w:val="11"/>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6"/>
                <w:szCs w:val="16"/>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Sponsor Earnout Letter</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November 20, 2020</w:t>
            </w:r>
          </w:p>
        </w:tc>
      </w:tr>
      <w:tr>
        <w:trPr>
          <w:trHeight w:val="159"/>
        </w:trPr>
        <w:tc>
          <w:tcPr>
            <w:tcW w:w="1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6"/>
                <w:szCs w:val="16"/>
                <w:color w:val="auto"/>
              </w:rPr>
            </w:pPr>
          </w:p>
        </w:tc>
        <w:tc>
          <w:tcPr>
            <w:tcW w:w="384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Eos Energy Enterprises, Inc. 2020 Incentive Plan</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10.10</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November 20, 2020</w:t>
            </w:r>
          </w:p>
        </w:tc>
      </w:tr>
      <w:tr>
        <w:trPr>
          <w:trHeight w:val="1380"/>
        </w:trPr>
        <w:tc>
          <w:tcPr>
            <w:tcW w:w="11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gridSpan w:val="18"/>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11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Form of Indemnity Agreement</w:t>
              </w:r>
            </w:hyperlink>
          </w:p>
        </w:tc>
        <w:tc>
          <w:tcPr>
            <w:tcW w:w="1580" w:type="dxa"/>
            <w:vAlign w:val="bottom"/>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0"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10.13</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November 20, 2020</w:t>
            </w:r>
          </w:p>
        </w:tc>
      </w:tr>
      <w:tr>
        <w:trPr>
          <w:trHeight w:val="170"/>
        </w:trPr>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Employment Agreement, dated February 24, 2021, by and</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March 2, 2021</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280" w:type="dxa"/>
            <w:vAlign w:val="bottom"/>
            <w:tcBorders>
              <w:top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between the Company and Joseph Mastrangelo</w:t>
              </w:r>
            </w:hyperlink>
          </w:p>
        </w:tc>
        <w:tc>
          <w:tcPr>
            <w:tcW w:w="540" w:type="dxa"/>
            <w:vAlign w:val="bottom"/>
            <w:tcBorders>
              <w:top w:val="single" w:sz="8" w:color="CCEEFF"/>
            </w:tcBorders>
            <w:gridSpan w:val="9"/>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70"/>
        </w:trPr>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r>
      <w:tr>
        <w:trPr>
          <w:trHeight w:val="149"/>
        </w:trPr>
        <w:tc>
          <w:tcPr>
            <w:tcW w:w="11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3500" w:type="dxa"/>
            <w:vAlign w:val="bottom"/>
            <w:tcBorders>
              <w:bottom w:val="single" w:sz="8" w:color="0000FF"/>
            </w:tcBorders>
            <w:gridSpan w:val="17"/>
            <w:shd w:val="clear" w:color="auto" w:fill="CCEEFF"/>
          </w:tcPr>
          <w:p>
            <w:pPr>
              <w:spacing w:after="0" w:line="12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Amended and Restated Registration Rights Agreement, dated</w:t>
              </w:r>
            </w:hyperlink>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May 10, 2021</w:t>
            </w:r>
          </w:p>
        </w:tc>
      </w:tr>
      <w:tr>
        <w:trPr>
          <w:trHeight w:val="139"/>
        </w:trPr>
        <w:tc>
          <w:tcPr>
            <w:tcW w:w="1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3820" w:type="dxa"/>
            <w:vAlign w:val="bottom"/>
            <w:gridSpan w:val="21"/>
            <w:shd w:val="clear" w:color="auto" w:fill="CCEEFF"/>
          </w:tcPr>
          <w:p>
            <w:pPr>
              <w:spacing w:after="0" w:line="13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May 10, 2021, by and between the Registrant, B. Riley Principal</w:t>
              </w:r>
            </w:hyperlink>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72"/>
        </w:trPr>
        <w:tc>
          <w:tcPr>
            <w:tcW w:w="1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3740" w:type="dxa"/>
            <w:vAlign w:val="bottom"/>
            <w:tcBorders>
              <w:top w:val="single" w:sz="8" w:color="0000FF"/>
              <w:right w:val="single" w:sz="8" w:color="CCEEFF"/>
            </w:tcBorders>
            <w:gridSpan w:val="20"/>
            <w:shd w:val="clear" w:color="auto" w:fill="CCEEFF"/>
          </w:tcPr>
          <w:p>
            <w:pPr>
              <w:spacing w:after="0" w:line="13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Sponsor Co. II, LLC and the other parties thereto</w:t>
              </w:r>
            </w:hyperlink>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r>
      <w:tr>
        <w:trPr>
          <w:trHeight w:val="170"/>
        </w:trPr>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r>
      <w:tr>
        <w:trPr>
          <w:trHeight w:val="149"/>
        </w:trPr>
        <w:tc>
          <w:tcPr>
            <w:tcW w:w="11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3480" w:type="dxa"/>
            <w:vAlign w:val="bottom"/>
            <w:tcBorders>
              <w:bottom w:val="single" w:sz="8" w:color="0000FF"/>
            </w:tcBorders>
            <w:gridSpan w:val="16"/>
            <w:shd w:val="clear" w:color="auto" w:fill="CCEEFF"/>
          </w:tcPr>
          <w:p>
            <w:pPr>
              <w:spacing w:after="0" w:line="12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Amended and Restated Registration Rights Agreement, dated</w:t>
              </w:r>
            </w:hyperlink>
          </w:p>
        </w:tc>
        <w:tc>
          <w:tcPr>
            <w:tcW w:w="6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May 10, 2021</w:t>
            </w:r>
          </w:p>
        </w:tc>
      </w:tr>
      <w:tr>
        <w:trPr>
          <w:trHeight w:val="139"/>
        </w:trPr>
        <w:tc>
          <w:tcPr>
            <w:tcW w:w="1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3480" w:type="dxa"/>
            <w:vAlign w:val="bottom"/>
            <w:gridSpan w:val="16"/>
            <w:shd w:val="clear" w:color="auto" w:fill="CCEEFF"/>
          </w:tcPr>
          <w:p>
            <w:pPr>
              <w:spacing w:after="0" w:line="13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May 10, 2021, by and among the Company and the security</w:t>
              </w:r>
            </w:hyperlink>
          </w:p>
        </w:tc>
        <w:tc>
          <w:tcPr>
            <w:tcW w:w="6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72"/>
        </w:trPr>
        <w:tc>
          <w:tcPr>
            <w:tcW w:w="1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3380" w:type="dxa"/>
            <w:vAlign w:val="bottom"/>
            <w:tcBorders>
              <w:top w:val="single" w:sz="8" w:color="0000FF"/>
            </w:tcBorders>
            <w:gridSpan w:val="13"/>
            <w:shd w:val="clear" w:color="auto" w:fill="CCEEFF"/>
          </w:tcPr>
          <w:p>
            <w:pPr>
              <w:spacing w:after="0" w:line="13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holders party thereto</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49"/>
        </w:trPr>
        <w:tc>
          <w:tcPr>
            <w:tcW w:w="11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3740" w:type="dxa"/>
            <w:vAlign w:val="bottom"/>
            <w:tcBorders>
              <w:bottom w:val="single" w:sz="8" w:color="0000FF"/>
              <w:right w:val="single" w:sz="8" w:color="CCEEFF"/>
            </w:tcBorders>
            <w:gridSpan w:val="20"/>
            <w:shd w:val="clear" w:color="auto" w:fill="CCEEFF"/>
          </w:tcPr>
          <w:p>
            <w:pPr>
              <w:spacing w:after="0" w:line="12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Investment Agreement, dated as of July 6, 2021, by and among</w:t>
              </w:r>
            </w:hyperlink>
          </w:p>
        </w:tc>
        <w:tc>
          <w:tcPr>
            <w:tcW w:w="8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July 7, 2021</w:t>
            </w:r>
          </w:p>
        </w:tc>
      </w:tr>
      <w:tr>
        <w:trPr>
          <w:trHeight w:val="172"/>
        </w:trPr>
        <w:tc>
          <w:tcPr>
            <w:tcW w:w="1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740" w:type="dxa"/>
            <w:vAlign w:val="bottom"/>
            <w:tcBorders>
              <w:right w:val="single" w:sz="8" w:color="CCEEFF"/>
            </w:tcBorders>
            <w:gridSpan w:val="20"/>
            <w:shd w:val="clear" w:color="auto" w:fill="CCEEFF"/>
          </w:tcPr>
          <w:p>
            <w:pPr>
              <w:spacing w:after="0" w:line="13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Eos Energy Enterprises, Inc. and Spring Creek Capital, LLC</w:t>
              </w:r>
            </w:hyperlink>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49"/>
        </w:trPr>
        <w:tc>
          <w:tcPr>
            <w:tcW w:w="1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right w:val="single" w:sz="8" w:color="CCEEFF"/>
            </w:tcBorders>
            <w:shd w:val="clear" w:color="auto" w:fill="CCEEFF"/>
          </w:tcPr>
          <w:p>
            <w:pPr>
              <w:spacing w:after="0"/>
              <w:rPr>
                <w:sz w:val="12"/>
                <w:szCs w:val="12"/>
                <w:color w:val="auto"/>
              </w:rPr>
            </w:pPr>
          </w:p>
        </w:tc>
        <w:tc>
          <w:tcPr>
            <w:tcW w:w="3820" w:type="dxa"/>
            <w:vAlign w:val="bottom"/>
            <w:gridSpan w:val="21"/>
            <w:shd w:val="clear" w:color="auto" w:fill="CCEEFF"/>
          </w:tcPr>
          <w:p>
            <w:pPr>
              <w:spacing w:after="0" w:line="12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Master Equipment Financing Agreement, dated September 30,</w:t>
              </w:r>
            </w:hyperlink>
          </w:p>
        </w:tc>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2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October 5, 2021</w:t>
            </w:r>
          </w:p>
        </w:tc>
      </w:tr>
      <w:tr>
        <w:trPr>
          <w:trHeight w:val="172"/>
        </w:trPr>
        <w:tc>
          <w:tcPr>
            <w:tcW w:w="1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420" w:type="dxa"/>
            <w:vAlign w:val="bottom"/>
            <w:tcBorders>
              <w:top w:val="single" w:sz="8" w:color="0000FF"/>
            </w:tcBorders>
            <w:gridSpan w:val="2"/>
            <w:shd w:val="clear" w:color="auto" w:fill="CCEEFF"/>
          </w:tcPr>
          <w:p>
            <w:pPr>
              <w:spacing w:after="0" w:line="13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2021</w:t>
              </w:r>
            </w:hyperlink>
          </w:p>
        </w:tc>
        <w:tc>
          <w:tcPr>
            <w:tcW w:w="6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r>
      <w:tr>
        <w:trPr>
          <w:trHeight w:val="170"/>
        </w:trPr>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right w:val="single" w:sz="8" w:color="CCEEFF"/>
            </w:tcBorders>
            <w:shd w:val="clear" w:color="auto" w:fill="CCEEFF"/>
          </w:tcPr>
          <w:p>
            <w:pPr>
              <w:spacing w:after="0"/>
              <w:rPr>
                <w:sz w:val="16"/>
                <w:szCs w:val="16"/>
                <w:color w:val="auto"/>
              </w:rPr>
            </w:pPr>
          </w:p>
        </w:tc>
        <w:tc>
          <w:tcPr>
            <w:tcW w:w="382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Guaranty Agreement, dated September 30, 2021</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October 5, 2021</w:t>
            </w: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10.10</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3240" w:type="dxa"/>
            <w:vAlign w:val="bottom"/>
            <w:tcBorders>
              <w:bottom w:val="single" w:sz="8" w:color="0000FF"/>
            </w:tcBorders>
            <w:gridSpan w:val="11"/>
            <w:shd w:val="clear" w:color="auto" w:fill="CCEEFF"/>
          </w:tcPr>
          <w:p>
            <w:pPr>
              <w:spacing w:after="0" w:line="15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Separation Agreement, dated December 13, 2021, by and</w:t>
              </w:r>
            </w:hyperlink>
          </w:p>
        </w:tc>
        <w:tc>
          <w:tcPr>
            <w:tcW w:w="580" w:type="dxa"/>
            <w:vAlign w:val="bottom"/>
            <w:tcBorders>
              <w:bottom w:val="single" w:sz="8" w:color="CCEEFF"/>
            </w:tcBorders>
            <w:gridSpan w:val="10"/>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December 14, 2021</w:t>
            </w: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between the Company and Sagar Kurada</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10.11</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3740" w:type="dxa"/>
            <w:vAlign w:val="bottom"/>
            <w:tcBorders>
              <w:bottom w:val="single" w:sz="8" w:color="0000FF"/>
              <w:right w:val="single" w:sz="8" w:color="CCEEFF"/>
            </w:tcBorders>
            <w:gridSpan w:val="20"/>
            <w:shd w:val="clear" w:color="auto" w:fill="CCEEFF"/>
          </w:tcPr>
          <w:p>
            <w:pPr>
              <w:spacing w:after="0" w:line="15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Joinder to Investment Agreement, dated May 1, 2022 among Eos</w:t>
              </w:r>
            </w:hyperlink>
          </w:p>
        </w:tc>
        <w:tc>
          <w:tcPr>
            <w:tcW w:w="8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9, 2022</w:t>
            </w:r>
          </w:p>
        </w:tc>
      </w:tr>
      <w:tr>
        <w:trPr>
          <w:trHeight w:val="150"/>
        </w:trPr>
        <w:tc>
          <w:tcPr>
            <w:tcW w:w="11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Energy Enterprises, Inc., Spring Creek Capital, LLC and Wood</w:t>
              </w:r>
            </w:hyperlink>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560" w:type="dxa"/>
            <w:vAlign w:val="bottom"/>
            <w:tcBorders>
              <w:top w:val="single" w:sz="8" w:color="0000FF"/>
            </w:tcBorders>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River Capital, LLC</w:t>
              </w:r>
            </w:hyperlink>
          </w:p>
        </w:tc>
        <w:tc>
          <w:tcPr>
            <w:tcW w:w="260" w:type="dxa"/>
            <w:vAlign w:val="bottom"/>
            <w:tcBorders>
              <w:top w:val="single" w:sz="8" w:color="CCEEFF"/>
            </w:tcBorders>
            <w:gridSpan w:val="2"/>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10.12</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3440" w:type="dxa"/>
            <w:vAlign w:val="bottom"/>
            <w:tcBorders>
              <w:bottom w:val="single" w:sz="8" w:color="0000FF"/>
            </w:tcBorders>
            <w:gridSpan w:val="15"/>
            <w:shd w:val="clear" w:color="auto" w:fill="CCEEFF"/>
          </w:tcPr>
          <w:p>
            <w:pPr>
              <w:spacing w:after="0" w:line="159" w:lineRule="exact"/>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Sales Agreement, dated August 5, 2022, by and between Eos</w:t>
              </w:r>
            </w:hyperlink>
          </w:p>
        </w:tc>
        <w:tc>
          <w:tcPr>
            <w:tcW w:w="380" w:type="dxa"/>
            <w:vAlign w:val="bottom"/>
            <w:tcBorders>
              <w:bottom w:val="single" w:sz="8" w:color="CCEEFF"/>
            </w:tcBorders>
            <w:gridSpan w:val="6"/>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5, 2022</w:t>
            </w: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Energy Enterprises, Inc. and Cowen and Company, LLC</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Amended Director Compensation Policy, dated as of September</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September 9, 2022</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80" w:type="dxa"/>
            <w:vAlign w:val="bottom"/>
            <w:gridSpan w:val="3"/>
            <w:shd w:val="clear" w:color="auto" w:fill="CCEEFF"/>
          </w:tcPr>
          <w:p>
            <w:pPr>
              <w:spacing w:after="0" w:line="150"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7, 2022</w:t>
              </w:r>
            </w:hyperlink>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380"/>
        </w:trPr>
        <w:tc>
          <w:tcPr>
            <w:tcW w:w="11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00" w:type="dxa"/>
            <w:vAlign w:val="bottom"/>
          </w:tcPr>
          <w:p>
            <w:pPr>
              <w:spacing w:after="0"/>
              <w:rPr>
                <w:sz w:val="18"/>
                <w:szCs w:val="18"/>
                <w:color w:val="auto"/>
              </w:rPr>
            </w:pPr>
          </w:p>
        </w:tc>
        <w:tc>
          <w:tcPr>
            <w:tcW w:w="3540" w:type="dxa"/>
            <w:vAlign w:val="bottom"/>
            <w:gridSpan w:val="17"/>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0"/>
        </w:trPr>
        <w:tc>
          <w:tcPr>
            <w:tcW w:w="116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10.14</w:t>
            </w:r>
          </w:p>
        </w:tc>
        <w:tc>
          <w:tcPr>
            <w:tcW w:w="80" w:type="dxa"/>
            <w:vAlign w:val="bottom"/>
            <w:tcBorders>
              <w:bottom w:val="single" w:sz="8" w:color="CCEEFF"/>
            </w:tcBorders>
            <w:shd w:val="clear" w:color="auto" w:fill="CCEEFF"/>
          </w:tcPr>
          <w:p>
            <w:pPr>
              <w:spacing w:after="0"/>
              <w:rPr>
                <w:sz w:val="13"/>
                <w:szCs w:val="13"/>
                <w:color w:val="auto"/>
              </w:rPr>
            </w:pPr>
          </w:p>
        </w:tc>
        <w:tc>
          <w:tcPr>
            <w:tcW w:w="3620" w:type="dxa"/>
            <w:vAlign w:val="bottom"/>
            <w:tcBorders>
              <w:bottom w:val="single" w:sz="8" w:color="0000FF"/>
            </w:tcBorders>
            <w:gridSpan w:val="14"/>
            <w:shd w:val="clear" w:color="auto" w:fill="CCEEFF"/>
          </w:tcPr>
          <w:p>
            <w:pPr>
              <w:spacing w:after="0" w:line="150" w:lineRule="exact"/>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Separation Agreement, dated January 20, 2023, by and between</w:t>
              </w:r>
            </w:hyperlink>
          </w:p>
        </w:tc>
        <w:tc>
          <w:tcPr>
            <w:tcW w:w="220" w:type="dxa"/>
            <w:vAlign w:val="bottom"/>
            <w:tcBorders>
              <w:bottom w:val="single" w:sz="8" w:color="CCEEFF"/>
            </w:tcBorders>
            <w:gridSpan w:val="4"/>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0"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January 20, 2023</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the Company and Randall Gonzales</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10.15</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Employment Agreement, dated January 20, 2023, by and between</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January 20,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the Company and Nathan Kroeker</w:t>
              </w:r>
            </w:hyperlink>
          </w:p>
        </w:tc>
        <w:tc>
          <w:tcPr>
            <w:tcW w:w="100" w:type="dxa"/>
            <w:vAlign w:val="bottom"/>
            <w:tcBorders>
              <w:top w:val="single" w:sz="8" w:color="CCEEFF"/>
            </w:tcBorders>
            <w:gridSpan w:val="2"/>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10.16</w:t>
            </w:r>
          </w:p>
        </w:tc>
        <w:tc>
          <w:tcPr>
            <w:tcW w:w="80" w:type="dxa"/>
            <w:vAlign w:val="bottom"/>
            <w:tcBorders>
              <w:bottom w:val="single" w:sz="8" w:color="CCEEFF"/>
            </w:tcBorders>
            <w:shd w:val="clear" w:color="auto" w:fill="CCEEFF"/>
          </w:tcPr>
          <w:p>
            <w:pPr>
              <w:spacing w:after="0"/>
              <w:rPr>
                <w:sz w:val="13"/>
                <w:szCs w:val="13"/>
                <w:color w:val="auto"/>
              </w:rPr>
            </w:pPr>
          </w:p>
        </w:tc>
        <w:tc>
          <w:tcPr>
            <w:tcW w:w="3580" w:type="dxa"/>
            <w:vAlign w:val="bottom"/>
            <w:tcBorders>
              <w:bottom w:val="single" w:sz="8" w:color="0000FF"/>
            </w:tcBorders>
            <w:gridSpan w:val="13"/>
            <w:shd w:val="clear" w:color="auto" w:fill="CCEEFF"/>
          </w:tcPr>
          <w:p>
            <w:pPr>
              <w:spacing w:after="0" w:line="159"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Investment Agreement, dated January 18, 2023, by and among</w:t>
              </w:r>
            </w:hyperlink>
          </w:p>
        </w:tc>
        <w:tc>
          <w:tcPr>
            <w:tcW w:w="260" w:type="dxa"/>
            <w:vAlign w:val="bottom"/>
            <w:tcBorders>
              <w:bottom w:val="single" w:sz="8" w:color="CCEEFF"/>
            </w:tcBorders>
            <w:gridSpan w:val="5"/>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January 19, 2023</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Eos Energy Enterprises, LLC and the purchasers listed therein</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10.17</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Limited Consent Agreement, dated as of January 17, 2023,</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January 19, 2023</w:t>
            </w:r>
          </w:p>
        </w:tc>
      </w:tr>
      <w:tr>
        <w:trPr>
          <w:trHeight w:val="20"/>
        </w:trPr>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580" w:type="dxa"/>
            <w:vAlign w:val="bottom"/>
            <w:tcBorders>
              <w:bottom w:val="single" w:sz="8" w:color="0000FF"/>
            </w:tcBorders>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among Eos Energy Enterprises, LLC, the lenders party thereto,</w:t>
              </w:r>
            </w:hyperlink>
          </w:p>
        </w:tc>
        <w:tc>
          <w:tcPr>
            <w:tcW w:w="260" w:type="dxa"/>
            <w:vAlign w:val="bottom"/>
            <w:tcBorders>
              <w:bottom w:val="single" w:sz="8" w:color="CCEEFF"/>
            </w:tcBorders>
            <w:gridSpan w:val="5"/>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and ACP Post Oak Credit I LLC, as administrative agent</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10.18</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Form of Securities Purchase Agreement, dated as of April 12,</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April 14,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2023</w:t>
              </w:r>
            </w:hyperlink>
          </w:p>
        </w:tc>
        <w:tc>
          <w:tcPr>
            <w:tcW w:w="6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18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right w:val="single" w:sz="8" w:color="CCEE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10.19</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Form of Securities Purchase Agreement, dated as of May 15,</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17,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2023</w:t>
              </w:r>
            </w:hyperlink>
          </w:p>
        </w:tc>
        <w:tc>
          <w:tcPr>
            <w:tcW w:w="6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18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right w:val="single" w:sz="8" w:color="CCEE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10.20</w:t>
            </w:r>
          </w:p>
        </w:tc>
        <w:tc>
          <w:tcPr>
            <w:tcW w:w="80" w:type="dxa"/>
            <w:vAlign w:val="bottom"/>
            <w:tcBorders>
              <w:bottom w:val="single" w:sz="8" w:color="CCEEFF"/>
            </w:tcBorders>
            <w:shd w:val="clear" w:color="auto" w:fill="CCEEFF"/>
          </w:tcPr>
          <w:p>
            <w:pPr>
              <w:spacing w:after="0"/>
              <w:rPr>
                <w:sz w:val="13"/>
                <w:szCs w:val="13"/>
                <w:color w:val="auto"/>
              </w:rPr>
            </w:pPr>
          </w:p>
        </w:tc>
        <w:tc>
          <w:tcPr>
            <w:tcW w:w="3500" w:type="dxa"/>
            <w:vAlign w:val="bottom"/>
            <w:tcBorders>
              <w:bottom w:val="single" w:sz="8" w:color="0000FF"/>
            </w:tcBorders>
            <w:gridSpan w:val="10"/>
            <w:shd w:val="clear" w:color="auto" w:fill="CCEEFF"/>
          </w:tcPr>
          <w:p>
            <w:pPr>
              <w:spacing w:after="0" w:line="159"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Amendment No. 1 to Common Stock Sales Agreement, dated</w:t>
              </w:r>
            </w:hyperlink>
          </w:p>
        </w:tc>
        <w:tc>
          <w:tcPr>
            <w:tcW w:w="340" w:type="dxa"/>
            <w:vAlign w:val="bottom"/>
            <w:tcBorders>
              <w:bottom w:val="single" w:sz="8" w:color="CCEEFF"/>
            </w:tcBorders>
            <w:gridSpan w:val="8"/>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23, 2023</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560" w:type="dxa"/>
            <w:vAlign w:val="bottom"/>
            <w:tcBorders>
              <w:bottom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August 23, 2023, by and between Eos Energy Enterprises, Inc.</w:t>
              </w:r>
            </w:hyperlink>
          </w:p>
        </w:tc>
        <w:tc>
          <w:tcPr>
            <w:tcW w:w="280" w:type="dxa"/>
            <w:vAlign w:val="bottom"/>
            <w:tcBorders>
              <w:bottom w:val="single" w:sz="8" w:color="CCEEFF"/>
            </w:tcBorders>
            <w:gridSpan w:val="6"/>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and Cowen and Company, LLC</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Master Supply Agreement, dated August 23, 2023, by and</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23, 2023</w:t>
            </w:r>
          </w:p>
        </w:tc>
      </w:tr>
      <w:tr>
        <w:trPr>
          <w:trHeight w:val="20"/>
        </w:trPr>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CCEEFF"/>
            </w:tcBorders>
            <w:gridSpan w:val="4"/>
            <w:shd w:val="clear" w:color="auto" w:fill="0000FF"/>
          </w:tcPr>
          <w:p>
            <w:pPr>
              <w:spacing w:after="0" w:line="20" w:lineRule="exact"/>
              <w:rPr>
                <w:sz w:val="1"/>
                <w:szCs w:val="1"/>
                <w:color w:val="auto"/>
              </w:rPr>
            </w:pPr>
          </w:p>
        </w:tc>
        <w:tc>
          <w:tcPr>
            <w:tcW w:w="380" w:type="dxa"/>
            <w:vAlign w:val="bottom"/>
            <w:gridSpan w:val="7"/>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between HI-POWER, LLC and ACRO Automation Systems, Inc.</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10.22</w:t>
            </w:r>
          </w:p>
        </w:tc>
        <w:tc>
          <w:tcPr>
            <w:tcW w:w="80" w:type="dxa"/>
            <w:vAlign w:val="bottom"/>
            <w:tcBorders>
              <w:bottom w:val="single" w:sz="8" w:color="CCEEFF"/>
            </w:tcBorders>
            <w:shd w:val="clear" w:color="auto" w:fill="CCEEFF"/>
          </w:tcPr>
          <w:p>
            <w:pPr>
              <w:spacing w:after="0"/>
              <w:rPr>
                <w:sz w:val="13"/>
                <w:szCs w:val="13"/>
                <w:color w:val="auto"/>
              </w:rPr>
            </w:pPr>
          </w:p>
        </w:tc>
        <w:tc>
          <w:tcPr>
            <w:tcW w:w="3720" w:type="dxa"/>
            <w:vAlign w:val="bottom"/>
            <w:tcBorders>
              <w:bottom w:val="single" w:sz="8" w:color="0000FF"/>
            </w:tcBorders>
            <w:gridSpan w:val="15"/>
            <w:shd w:val="clear" w:color="auto" w:fill="CCEEFF"/>
          </w:tcPr>
          <w:p>
            <w:pPr>
              <w:spacing w:after="0" w:line="159"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Employment Agreement, dated August 27, 2023, by and between</w:t>
              </w:r>
            </w:hyperlink>
          </w:p>
        </w:tc>
        <w:tc>
          <w:tcPr>
            <w:tcW w:w="120" w:type="dxa"/>
            <w:vAlign w:val="bottom"/>
            <w:tcBorders>
              <w:bottom w:val="single" w:sz="8" w:color="CCEEFF"/>
            </w:tcBorders>
            <w:gridSpan w:val="3"/>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28, 2023</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the Company and Sumeet Puri</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10.23</w:t>
            </w:r>
          </w:p>
        </w:tc>
        <w:tc>
          <w:tcPr>
            <w:tcW w:w="80" w:type="dxa"/>
            <w:vAlign w:val="bottom"/>
            <w:tcBorders>
              <w:bottom w:val="single" w:sz="8" w:color="CCEEFF"/>
            </w:tcBorders>
            <w:shd w:val="clear" w:color="auto" w:fill="CCEEFF"/>
          </w:tcPr>
          <w:p>
            <w:pPr>
              <w:spacing w:after="0"/>
              <w:rPr>
                <w:sz w:val="13"/>
                <w:szCs w:val="13"/>
                <w:color w:val="auto"/>
              </w:rPr>
            </w:pPr>
          </w:p>
        </w:tc>
        <w:tc>
          <w:tcPr>
            <w:tcW w:w="3620" w:type="dxa"/>
            <w:vAlign w:val="bottom"/>
            <w:tcBorders>
              <w:bottom w:val="single" w:sz="8" w:color="0000FF"/>
            </w:tcBorders>
            <w:gridSpan w:val="14"/>
            <w:shd w:val="clear" w:color="auto" w:fill="CCEEFF"/>
          </w:tcPr>
          <w:p>
            <w:pPr>
              <w:spacing w:after="0" w:line="159"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Separation Agreement, dated January 19, 2024, by and between</w:t>
              </w:r>
            </w:hyperlink>
          </w:p>
        </w:tc>
        <w:tc>
          <w:tcPr>
            <w:tcW w:w="220" w:type="dxa"/>
            <w:vAlign w:val="bottom"/>
            <w:tcBorders>
              <w:bottom w:val="single" w:sz="8" w:color="CCEEFF"/>
            </w:tcBorders>
            <w:gridSpan w:val="4"/>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10.43</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March 4,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the Company and Melissa Berube</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380"/>
        </w:trPr>
        <w:tc>
          <w:tcPr>
            <w:tcW w:w="11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4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gridSpan w:val="17"/>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0"/>
        </w:trPr>
        <w:tc>
          <w:tcPr>
            <w:tcW w:w="116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10.24</w:t>
            </w:r>
          </w:p>
        </w:tc>
        <w:tc>
          <w:tcPr>
            <w:tcW w:w="80" w:type="dxa"/>
            <w:vAlign w:val="bottom"/>
            <w:tcBorders>
              <w:bottom w:val="single" w:sz="8" w:color="CCEEFF"/>
            </w:tcBorders>
            <w:shd w:val="clear" w:color="auto" w:fill="CCEEFF"/>
          </w:tcPr>
          <w:p>
            <w:pPr>
              <w:spacing w:after="0"/>
              <w:rPr>
                <w:sz w:val="13"/>
                <w:szCs w:val="13"/>
                <w:color w:val="auto"/>
              </w:rPr>
            </w:pPr>
          </w:p>
        </w:tc>
        <w:tc>
          <w:tcPr>
            <w:tcW w:w="3760" w:type="dxa"/>
            <w:vAlign w:val="bottom"/>
            <w:tcBorders>
              <w:bottom w:val="single" w:sz="8" w:color="0000FF"/>
            </w:tcBorders>
            <w:gridSpan w:val="20"/>
            <w:shd w:val="clear" w:color="auto" w:fill="CCEEFF"/>
          </w:tcPr>
          <w:p>
            <w:pPr>
              <w:spacing w:after="0" w:line="150"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Employment Agreement, dated January 17, 2024, by and between</w:t>
              </w:r>
            </w:hyperlink>
          </w:p>
        </w:tc>
        <w:tc>
          <w:tcPr>
            <w:tcW w:w="80" w:type="dxa"/>
            <w:vAlign w:val="bottom"/>
            <w:tcBorders>
              <w:bottom w:val="single" w:sz="8" w:color="CCEEFF"/>
            </w:tcBorders>
            <w:gridSpan w:val="2"/>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Form 10-K</w:t>
            </w:r>
          </w:p>
        </w:tc>
        <w:tc>
          <w:tcPr>
            <w:tcW w:w="1560" w:type="dxa"/>
            <w:vAlign w:val="bottom"/>
            <w:tcBorders>
              <w:bottom w:val="single" w:sz="8" w:color="CCEEFF"/>
            </w:tcBorders>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10.44</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March 4,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the Company and Michael Silberman</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10.25</w:t>
            </w:r>
          </w:p>
        </w:tc>
        <w:tc>
          <w:tcPr>
            <w:tcW w:w="80" w:type="dxa"/>
            <w:vAlign w:val="bottom"/>
            <w:shd w:val="clear" w:color="auto" w:fill="CCEEFF"/>
          </w:tcPr>
          <w:p>
            <w:pPr>
              <w:spacing w:after="0"/>
              <w:rPr>
                <w:sz w:val="13"/>
                <w:szCs w:val="13"/>
                <w:color w:val="auto"/>
              </w:rPr>
            </w:pPr>
          </w:p>
        </w:tc>
        <w:tc>
          <w:tcPr>
            <w:tcW w:w="3840" w:type="dxa"/>
            <w:vAlign w:val="bottom"/>
            <w:gridSpan w:val="22"/>
            <w:shd w:val="clear" w:color="auto" w:fill="CCEEFF"/>
          </w:tcPr>
          <w:p>
            <w:pPr>
              <w:spacing w:after="0" w:line="159"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First Amendment to the Amended and Restated 2020 Incentive</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S-8</w:t>
            </w:r>
          </w:p>
        </w:tc>
        <w:tc>
          <w:tcPr>
            <w:tcW w:w="15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333-265708</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99.2</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17, 2022</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580" w:type="dxa"/>
            <w:vAlign w:val="bottom"/>
            <w:tcBorders>
              <w:top w:val="single" w:sz="8" w:color="0000FF"/>
            </w:tcBorders>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Plan</w:t>
              </w:r>
            </w:hyperlink>
          </w:p>
        </w:tc>
        <w:tc>
          <w:tcPr>
            <w:tcW w:w="260" w:type="dxa"/>
            <w:vAlign w:val="bottom"/>
            <w:tcBorders>
              <w:top w:val="single" w:sz="8" w:color="CCEEFF"/>
            </w:tcBorders>
            <w:gridSpan w:val="9"/>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10.26</w:t>
            </w:r>
          </w:p>
        </w:tc>
        <w:tc>
          <w:tcPr>
            <w:tcW w:w="80" w:type="dxa"/>
            <w:vAlign w:val="bottom"/>
            <w:shd w:val="clear" w:color="auto" w:fill="CCEEFF"/>
          </w:tcPr>
          <w:p>
            <w:pPr>
              <w:spacing w:after="0"/>
              <w:rPr>
                <w:sz w:val="13"/>
                <w:szCs w:val="13"/>
                <w:color w:val="auto"/>
              </w:rPr>
            </w:pPr>
          </w:p>
        </w:tc>
        <w:tc>
          <w:tcPr>
            <w:tcW w:w="3840" w:type="dxa"/>
            <w:vAlign w:val="bottom"/>
            <w:gridSpan w:val="22"/>
            <w:shd w:val="clear" w:color="auto" w:fill="CCEEFF"/>
          </w:tcPr>
          <w:p>
            <w:pPr>
              <w:spacing w:after="0" w:line="159"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Second Amendment to the Amended and Restated 2020 Incentive</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S-8</w:t>
            </w:r>
          </w:p>
        </w:tc>
        <w:tc>
          <w:tcPr>
            <w:tcW w:w="15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333-272848</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99.3</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23, 2023</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0000FF"/>
            </w:tcBorders>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Plan</w:t>
              </w:r>
            </w:hyperlink>
          </w:p>
        </w:tc>
        <w:tc>
          <w:tcPr>
            <w:tcW w:w="100" w:type="dxa"/>
            <w:vAlign w:val="bottom"/>
            <w:tcBorders>
              <w:top w:val="single" w:sz="8" w:color="CCEEFF"/>
            </w:tcBorders>
            <w:gridSpan w:val="3"/>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24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10.27†</w:t>
            </w:r>
          </w:p>
        </w:tc>
        <w:tc>
          <w:tcPr>
            <w:tcW w:w="3420" w:type="dxa"/>
            <w:vAlign w:val="bottom"/>
            <w:tcBorders>
              <w:bottom w:val="single" w:sz="8" w:color="0000FF"/>
            </w:tcBorders>
            <w:gridSpan w:val="10"/>
            <w:shd w:val="clear" w:color="auto" w:fill="CCEEFF"/>
          </w:tcPr>
          <w:p>
            <w:pPr>
              <w:spacing w:after="0" w:line="159"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Amended and Restated Manufacturing Purchase and Supply</w:t>
              </w:r>
            </w:hyperlink>
          </w:p>
        </w:tc>
        <w:tc>
          <w:tcPr>
            <w:tcW w:w="420" w:type="dxa"/>
            <w:vAlign w:val="bottom"/>
            <w:tcBorders>
              <w:bottom w:val="single" w:sz="8" w:color="CCEEFF"/>
            </w:tcBorders>
            <w:gridSpan w:val="12"/>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January 9, 2024</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40" w:type="dxa"/>
            <w:vAlign w:val="bottom"/>
            <w:tcBorders>
              <w:bottom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Agreement dated January 8, 2024, by and between HI-POWER,</w:t>
              </w:r>
            </w:hyperlink>
          </w:p>
        </w:tc>
        <w:tc>
          <w:tcPr>
            <w:tcW w:w="200" w:type="dxa"/>
            <w:vAlign w:val="bottom"/>
            <w:tcBorders>
              <w:bottom w:val="single" w:sz="8" w:color="CCEEFF"/>
            </w:tcBorders>
            <w:gridSpan w:val="6"/>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LLC and TETRA Technologies, Inc.</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24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10.28†</w:t>
            </w:r>
          </w:p>
        </w:tc>
        <w:tc>
          <w:tcPr>
            <w:tcW w:w="3620" w:type="dxa"/>
            <w:vAlign w:val="bottom"/>
            <w:tcBorders>
              <w:bottom w:val="single" w:sz="8" w:color="0000FF"/>
            </w:tcBorders>
            <w:gridSpan w:val="15"/>
            <w:shd w:val="clear" w:color="auto" w:fill="CCEEFF"/>
          </w:tcPr>
          <w:p>
            <w:pPr>
              <w:spacing w:after="0" w:line="159"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Pricing Agreement dated January 31, 2024, by and between HI-</w:t>
              </w:r>
            </w:hyperlink>
          </w:p>
        </w:tc>
        <w:tc>
          <w:tcPr>
            <w:tcW w:w="220" w:type="dxa"/>
            <w:vAlign w:val="bottom"/>
            <w:tcBorders>
              <w:bottom w:val="single" w:sz="8" w:color="CCEEFF"/>
            </w:tcBorders>
            <w:gridSpan w:val="7"/>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February 1,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POWER, LLC and SHP US LLC</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10.29</w:t>
            </w:r>
          </w:p>
        </w:tc>
        <w:tc>
          <w:tcPr>
            <w:tcW w:w="80" w:type="dxa"/>
            <w:vAlign w:val="bottom"/>
            <w:tcBorders>
              <w:bottom w:val="single" w:sz="8" w:color="CCEEFF"/>
            </w:tcBorders>
            <w:shd w:val="clear" w:color="auto" w:fill="CCEEFF"/>
          </w:tcPr>
          <w:p>
            <w:pPr>
              <w:spacing w:after="0"/>
              <w:rPr>
                <w:sz w:val="13"/>
                <w:szCs w:val="13"/>
                <w:color w:val="auto"/>
              </w:rPr>
            </w:pPr>
          </w:p>
        </w:tc>
        <w:tc>
          <w:tcPr>
            <w:tcW w:w="3640" w:type="dxa"/>
            <w:vAlign w:val="bottom"/>
            <w:tcBorders>
              <w:bottom w:val="single" w:sz="8" w:color="0000FF"/>
            </w:tcBorders>
            <w:gridSpan w:val="16"/>
            <w:shd w:val="clear" w:color="auto" w:fill="CCEEFF"/>
          </w:tcPr>
          <w:p>
            <w:pPr>
              <w:spacing w:after="0" w:line="15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Third Amendment to the Amended and Restated 2020 Incentive</w:t>
              </w:r>
            </w:hyperlink>
          </w:p>
        </w:tc>
        <w:tc>
          <w:tcPr>
            <w:tcW w:w="200" w:type="dxa"/>
            <w:vAlign w:val="bottom"/>
            <w:tcBorders>
              <w:bottom w:val="single" w:sz="8" w:color="CCEEFF"/>
            </w:tcBorders>
            <w:gridSpan w:val="6"/>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May 14,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Plan</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10.30</w:t>
            </w:r>
          </w:p>
        </w:tc>
        <w:tc>
          <w:tcPr>
            <w:tcW w:w="80" w:type="dxa"/>
            <w:vAlign w:val="bottom"/>
            <w:tcBorders>
              <w:bottom w:val="single" w:sz="8" w:color="CCEEFF"/>
            </w:tcBorders>
            <w:shd w:val="clear" w:color="auto" w:fill="CCEEFF"/>
          </w:tcPr>
          <w:p>
            <w:pPr>
              <w:spacing w:after="0"/>
              <w:rPr>
                <w:sz w:val="13"/>
                <w:szCs w:val="13"/>
                <w:color w:val="auto"/>
              </w:rPr>
            </w:pPr>
          </w:p>
        </w:tc>
        <w:tc>
          <w:tcPr>
            <w:tcW w:w="3460" w:type="dxa"/>
            <w:vAlign w:val="bottom"/>
            <w:tcBorders>
              <w:bottom w:val="single" w:sz="8" w:color="0000FF"/>
            </w:tcBorders>
            <w:gridSpan w:val="12"/>
            <w:shd w:val="clear" w:color="auto" w:fill="CCEEFF"/>
          </w:tcPr>
          <w:p>
            <w:pPr>
              <w:spacing w:after="0" w:line="159"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Credit Agreement, dated June 21, 2024, by and between Eos</w:t>
              </w:r>
            </w:hyperlink>
          </w:p>
        </w:tc>
        <w:tc>
          <w:tcPr>
            <w:tcW w:w="380" w:type="dxa"/>
            <w:vAlign w:val="bottom"/>
            <w:tcBorders>
              <w:bottom w:val="single" w:sz="8" w:color="CCEEFF"/>
            </w:tcBorders>
            <w:gridSpan w:val="10"/>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24,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Energy Enterprises, Inc. and Cerberus Capital Management L.P.</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10.31</w:t>
            </w:r>
          </w:p>
        </w:tc>
        <w:tc>
          <w:tcPr>
            <w:tcW w:w="80" w:type="dxa"/>
            <w:vAlign w:val="bottom"/>
            <w:tcBorders>
              <w:bottom w:val="single" w:sz="8" w:color="CCEEFF"/>
            </w:tcBorders>
            <w:shd w:val="clear" w:color="auto" w:fill="CCEEFF"/>
          </w:tcPr>
          <w:p>
            <w:pPr>
              <w:spacing w:after="0"/>
              <w:rPr>
                <w:sz w:val="13"/>
                <w:szCs w:val="13"/>
                <w:color w:val="auto"/>
              </w:rPr>
            </w:pPr>
          </w:p>
        </w:tc>
        <w:tc>
          <w:tcPr>
            <w:tcW w:w="3440" w:type="dxa"/>
            <w:vAlign w:val="bottom"/>
            <w:tcBorders>
              <w:bottom w:val="single" w:sz="8" w:color="0000FF"/>
            </w:tcBorders>
            <w:gridSpan w:val="11"/>
            <w:shd w:val="clear" w:color="auto" w:fill="CCEEFF"/>
          </w:tcPr>
          <w:p>
            <w:pPr>
              <w:spacing w:after="0" w:line="15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Securities Purchase Agreement, dated June 21, 2024, by and</w:t>
              </w:r>
            </w:hyperlink>
          </w:p>
        </w:tc>
        <w:tc>
          <w:tcPr>
            <w:tcW w:w="400" w:type="dxa"/>
            <w:vAlign w:val="bottom"/>
            <w:tcBorders>
              <w:bottom w:val="single" w:sz="8" w:color="CCEEFF"/>
            </w:tcBorders>
            <w:gridSpan w:val="11"/>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24, 2024</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360" w:type="dxa"/>
            <w:vAlign w:val="bottom"/>
            <w:tcBorders>
              <w:bottom w:val="single" w:sz="8" w:color="0000FF"/>
            </w:tcBorders>
            <w:gridSpan w:val="9"/>
            <w:shd w:val="clear" w:color="auto" w:fill="CCEEFF"/>
          </w:tcPr>
          <w:p>
            <w:pPr>
              <w:spacing w:after="0" w:line="150"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between Eos Energy Enterprises, Inc. and Cerberus Capital</w:t>
              </w:r>
            </w:hyperlink>
          </w:p>
        </w:tc>
        <w:tc>
          <w:tcPr>
            <w:tcW w:w="480" w:type="dxa"/>
            <w:vAlign w:val="bottom"/>
            <w:tcBorders>
              <w:bottom w:val="single" w:sz="8" w:color="CCEEFF"/>
            </w:tcBorders>
            <w:gridSpan w:val="13"/>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Management L.P.</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10.32</w:t>
            </w:r>
          </w:p>
        </w:tc>
        <w:tc>
          <w:tcPr>
            <w:tcW w:w="80" w:type="dxa"/>
            <w:vAlign w:val="bottom"/>
            <w:shd w:val="clear" w:color="auto" w:fill="CCEEFF"/>
          </w:tcPr>
          <w:p>
            <w:pPr>
              <w:spacing w:after="0"/>
              <w:rPr>
                <w:sz w:val="16"/>
                <w:szCs w:val="16"/>
                <w:color w:val="auto"/>
              </w:rPr>
            </w:pPr>
          </w:p>
        </w:tc>
        <w:tc>
          <w:tcPr>
            <w:tcW w:w="3840" w:type="dxa"/>
            <w:vAlign w:val="bottom"/>
            <w:gridSpan w:val="22"/>
            <w:shd w:val="clear" w:color="auto" w:fill="CCEEFF"/>
          </w:tcPr>
          <w:p>
            <w:pPr>
              <w:spacing w:after="0" w:line="159"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Form of Warrant</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24, 2024</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10.33</w:t>
            </w:r>
          </w:p>
        </w:tc>
        <w:tc>
          <w:tcPr>
            <w:tcW w:w="80" w:type="dxa"/>
            <w:vAlign w:val="bottom"/>
            <w:shd w:val="clear" w:color="auto" w:fill="CCEEFF"/>
          </w:tcPr>
          <w:p>
            <w:pPr>
              <w:spacing w:after="0"/>
              <w:rPr>
                <w:sz w:val="13"/>
                <w:szCs w:val="13"/>
                <w:color w:val="auto"/>
              </w:rPr>
            </w:pPr>
          </w:p>
        </w:tc>
        <w:tc>
          <w:tcPr>
            <w:tcW w:w="3840" w:type="dxa"/>
            <w:vAlign w:val="bottom"/>
            <w:gridSpan w:val="22"/>
            <w:shd w:val="clear" w:color="auto" w:fill="CCEEFF"/>
          </w:tcPr>
          <w:p>
            <w:pPr>
              <w:spacing w:after="0" w:line="159"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Form of Atlas Payoff Letter Agreement, dated June 21, 2024, by</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24, 2024</w:t>
            </w:r>
          </w:p>
        </w:tc>
      </w:tr>
      <w:tr>
        <w:trPr>
          <w:trHeight w:val="150"/>
        </w:trPr>
        <w:tc>
          <w:tcPr>
            <w:tcW w:w="1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0000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and between Eos Energy Enterprises, Inc. and ACP Post Oak</w:t>
              </w:r>
            </w:hyperlink>
          </w:p>
        </w:tc>
        <w:tc>
          <w:tcPr>
            <w:tcW w:w="180" w:type="dxa"/>
            <w:vAlign w:val="bottom"/>
            <w:tcBorders>
              <w:top w:val="single" w:sz="8" w:color="CCEEFF"/>
            </w:tcBorders>
            <w:gridSpan w:val="5"/>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Credit I LLC</w:t>
              </w:r>
            </w:hyperlink>
          </w:p>
        </w:tc>
        <w:tc>
          <w:tcPr>
            <w:tcW w:w="380" w:type="dxa"/>
            <w:vAlign w:val="bottom"/>
            <w:tcBorders>
              <w:top w:val="single" w:sz="8" w:color="CCEEFF"/>
            </w:tcBorders>
            <w:gridSpan w:val="10"/>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10.34</w:t>
            </w:r>
          </w:p>
        </w:tc>
        <w:tc>
          <w:tcPr>
            <w:tcW w:w="80" w:type="dxa"/>
            <w:vAlign w:val="bottom"/>
            <w:tcBorders>
              <w:bottom w:val="single" w:sz="8" w:color="CCEEFF"/>
            </w:tcBorders>
            <w:shd w:val="clear" w:color="auto" w:fill="CCEEFF"/>
          </w:tcPr>
          <w:p>
            <w:pPr>
              <w:spacing w:after="0"/>
              <w:rPr>
                <w:sz w:val="13"/>
                <w:szCs w:val="13"/>
                <w:color w:val="auto"/>
              </w:rPr>
            </w:pPr>
          </w:p>
        </w:tc>
        <w:tc>
          <w:tcPr>
            <w:tcW w:w="3600" w:type="dxa"/>
            <w:vAlign w:val="bottom"/>
            <w:tcBorders>
              <w:bottom w:val="single" w:sz="8" w:color="0000FF"/>
            </w:tcBorders>
            <w:gridSpan w:val="14"/>
            <w:shd w:val="clear" w:color="auto" w:fill="CCEEFF"/>
          </w:tcPr>
          <w:p>
            <w:pPr>
              <w:spacing w:after="0" w:line="159"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Form of Insurer Letter Agreement, dated June 21, 2024, by and</w:t>
              </w:r>
            </w:hyperlink>
          </w:p>
        </w:tc>
        <w:tc>
          <w:tcPr>
            <w:tcW w:w="240" w:type="dxa"/>
            <w:vAlign w:val="bottom"/>
            <w:tcBorders>
              <w:bottom w:val="single" w:sz="8" w:color="CCEEFF"/>
            </w:tcBorders>
            <w:gridSpan w:val="8"/>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24, 2024</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700" w:type="dxa"/>
            <w:vAlign w:val="bottom"/>
            <w:tcBorders>
              <w:bottom w:val="single" w:sz="8" w:color="0000FF"/>
            </w:tcBorders>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between Eos Energy Enterprises, Inc. and ACP Post Oak Credit I</w:t>
              </w:r>
            </w:hyperlink>
          </w:p>
        </w:tc>
        <w:tc>
          <w:tcPr>
            <w:tcW w:w="140" w:type="dxa"/>
            <w:vAlign w:val="bottom"/>
            <w:tcBorders>
              <w:bottom w:val="single" w:sz="8" w:color="CCEEFF"/>
            </w:tcBorders>
            <w:gridSpan w:val="4"/>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LLC</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179"/>
        </w:trPr>
        <w:tc>
          <w:tcPr>
            <w:tcW w:w="11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20" w:type="dxa"/>
            <w:vAlign w:val="bottom"/>
          </w:tcPr>
          <w:p>
            <w:pPr>
              <w:spacing w:after="0"/>
              <w:rPr>
                <w:sz w:val="18"/>
                <w:szCs w:val="18"/>
                <w:color w:val="auto"/>
              </w:rPr>
            </w:pPr>
          </w:p>
        </w:tc>
        <w:tc>
          <w:tcPr>
            <w:tcW w:w="3020" w:type="dxa"/>
            <w:vAlign w:val="bottom"/>
            <w:gridSpan w:val="17"/>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2"/>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10.35</w:t>
            </w:r>
          </w:p>
        </w:tc>
        <w:tc>
          <w:tcPr>
            <w:tcW w:w="80" w:type="dxa"/>
            <w:vAlign w:val="bottom"/>
            <w:shd w:val="clear" w:color="auto" w:fill="CCEEFF"/>
          </w:tcPr>
          <w:p>
            <w:pPr>
              <w:spacing w:after="0"/>
              <w:rPr>
                <w:sz w:val="16"/>
                <w:szCs w:val="16"/>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Form of Indemnification Agreement for Preferred Stock directors</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June 24, 2024</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10.36</w:t>
            </w:r>
          </w:p>
        </w:tc>
        <w:tc>
          <w:tcPr>
            <w:tcW w:w="80" w:type="dxa"/>
            <w:vAlign w:val="bottom"/>
            <w:shd w:val="clear" w:color="auto" w:fill="CCEEFF"/>
          </w:tcPr>
          <w:p>
            <w:pPr>
              <w:spacing w:after="0"/>
              <w:rPr>
                <w:sz w:val="16"/>
                <w:szCs w:val="16"/>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Second Amended and Restated 2020 Incentive Plan</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July 30, 2024</w:t>
            </w: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10.37</w:t>
            </w:r>
          </w:p>
        </w:tc>
        <w:tc>
          <w:tcPr>
            <w:tcW w:w="80" w:type="dxa"/>
            <w:vAlign w:val="bottom"/>
            <w:tcBorders>
              <w:bottom w:val="single" w:sz="8" w:color="CCEEFF"/>
            </w:tcBorders>
            <w:shd w:val="clear" w:color="auto" w:fill="CCEEFF"/>
          </w:tcPr>
          <w:p>
            <w:pPr>
              <w:spacing w:after="0"/>
              <w:rPr>
                <w:sz w:val="13"/>
                <w:szCs w:val="13"/>
                <w:color w:val="auto"/>
              </w:rPr>
            </w:pPr>
          </w:p>
        </w:tc>
        <w:tc>
          <w:tcPr>
            <w:tcW w:w="3460" w:type="dxa"/>
            <w:vAlign w:val="bottom"/>
            <w:tcBorders>
              <w:bottom w:val="single" w:sz="8" w:color="0000FF"/>
            </w:tcBorders>
            <w:gridSpan w:val="11"/>
            <w:shd w:val="clear" w:color="auto" w:fill="CCEEFF"/>
          </w:tcPr>
          <w:p>
            <w:pPr>
              <w:spacing w:after="0" w:line="159"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Form of Employee Time-Based Restricted Stock Unit Award</w:t>
              </w:r>
            </w:hyperlink>
          </w:p>
        </w:tc>
        <w:tc>
          <w:tcPr>
            <w:tcW w:w="380" w:type="dxa"/>
            <w:vAlign w:val="bottom"/>
            <w:tcBorders>
              <w:bottom w:val="single" w:sz="8" w:color="CCEEFF"/>
            </w:tcBorders>
            <w:gridSpan w:val="7"/>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10.12</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6, 2024</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80" w:type="dxa"/>
            <w:vAlign w:val="bottom"/>
            <w:tcBorders>
              <w:bottom w:val="single" w:sz="8" w:color="0000FF"/>
            </w:tcBorders>
            <w:gridSpan w:val="15"/>
            <w:shd w:val="clear" w:color="auto" w:fill="CCEEFF"/>
          </w:tcPr>
          <w:p>
            <w:pPr>
              <w:spacing w:after="0" w:line="150"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Agreement under the Eos Energy Enterprises, Inc. Amended and</w:t>
              </w:r>
            </w:hyperlink>
          </w:p>
        </w:tc>
        <w:tc>
          <w:tcPr>
            <w:tcW w:w="160" w:type="dxa"/>
            <w:vAlign w:val="bottom"/>
            <w:tcBorders>
              <w:bottom w:val="single" w:sz="8" w:color="CCEEFF"/>
            </w:tcBorders>
            <w:gridSpan w:val="3"/>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Restated 2020 Incentive Plan</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10.38</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Form of Employee Performance-Based Restricted Stock Unit</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10.13</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6, 2024</w:t>
            </w:r>
          </w:p>
        </w:tc>
      </w:tr>
      <w:tr>
        <w:trPr>
          <w:trHeight w:val="150"/>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60" w:type="dxa"/>
            <w:vAlign w:val="bottom"/>
            <w:tcBorders>
              <w:top w:val="single" w:sz="8" w:color="0000FF"/>
              <w:bottom w:val="single" w:sz="8" w:color="0000FF"/>
            </w:tcBorders>
            <w:gridSpan w:val="7"/>
            <w:shd w:val="clear" w:color="auto" w:fill="CCEEFF"/>
          </w:tcPr>
          <w:p>
            <w:pPr>
              <w:spacing w:after="0" w:line="150"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Award Agreement under the Eos Energy Enterprises, Inc.</w:t>
              </w:r>
            </w:hyperlink>
          </w:p>
        </w:tc>
        <w:tc>
          <w:tcPr>
            <w:tcW w:w="22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36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Amended and Restated 2020 Incentive Plan</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10.39</w:t>
            </w:r>
          </w:p>
        </w:tc>
        <w:tc>
          <w:tcPr>
            <w:tcW w:w="80" w:type="dxa"/>
            <w:vAlign w:val="bottom"/>
            <w:tcBorders>
              <w:bottom w:val="single" w:sz="8" w:color="CCEEFF"/>
            </w:tcBorders>
            <w:shd w:val="clear" w:color="auto" w:fill="CCEEFF"/>
          </w:tcPr>
          <w:p>
            <w:pPr>
              <w:spacing w:after="0"/>
              <w:rPr>
                <w:sz w:val="13"/>
                <w:szCs w:val="13"/>
                <w:color w:val="auto"/>
              </w:rPr>
            </w:pPr>
          </w:p>
        </w:tc>
        <w:tc>
          <w:tcPr>
            <w:tcW w:w="3660" w:type="dxa"/>
            <w:vAlign w:val="bottom"/>
            <w:tcBorders>
              <w:bottom w:val="single" w:sz="8" w:color="0000FF"/>
            </w:tcBorders>
            <w:gridSpan w:val="14"/>
            <w:shd w:val="clear" w:color="auto" w:fill="CCEEFF"/>
          </w:tcPr>
          <w:p>
            <w:pPr>
              <w:spacing w:after="0" w:line="159"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Form of Director Restricted Stock Unit Award Agreement under</w:t>
              </w:r>
            </w:hyperlink>
          </w:p>
        </w:tc>
        <w:tc>
          <w:tcPr>
            <w:tcW w:w="180" w:type="dxa"/>
            <w:vAlign w:val="bottom"/>
            <w:tcBorders>
              <w:bottom w:val="single" w:sz="8" w:color="CCEEFF"/>
            </w:tcBorders>
            <w:gridSpan w:val="4"/>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10.14</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6, 2024</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500" w:type="dxa"/>
            <w:vAlign w:val="bottom"/>
            <w:tcBorders>
              <w:bottom w:val="single" w:sz="8" w:color="0000FF"/>
            </w:tcBorders>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the Eos Energy Enterprises, Inc. Amended and Restated 2020</w:t>
              </w:r>
            </w:hyperlink>
          </w:p>
        </w:tc>
        <w:tc>
          <w:tcPr>
            <w:tcW w:w="340" w:type="dxa"/>
            <w:vAlign w:val="bottom"/>
            <w:tcBorders>
              <w:bottom w:val="single" w:sz="8" w:color="CCEEFF"/>
            </w:tcBorders>
            <w:gridSpan w:val="5"/>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Incentive Plan</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10.40</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Form of Director Option Award Agreement under the Eos Energy</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10.15</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6, 2024</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Enterprises, Inc. 2020 Incentive Plan</w:t>
              </w:r>
            </w:hyperlink>
          </w:p>
        </w:tc>
        <w:tc>
          <w:tcPr>
            <w:tcW w:w="120" w:type="dxa"/>
            <w:vAlign w:val="bottom"/>
            <w:tcBorders>
              <w:top w:val="single" w:sz="8" w:color="CCEEFF"/>
            </w:tcBorders>
            <w:gridSpan w:val="2"/>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10.41</w:t>
            </w:r>
          </w:p>
        </w:tc>
        <w:tc>
          <w:tcPr>
            <w:tcW w:w="80" w:type="dxa"/>
            <w:vAlign w:val="bottom"/>
            <w:tcBorders>
              <w:bottom w:val="single" w:sz="8" w:color="CCEEFF"/>
            </w:tcBorders>
            <w:shd w:val="clear" w:color="auto" w:fill="CCEEFF"/>
          </w:tcPr>
          <w:p>
            <w:pPr>
              <w:spacing w:after="0"/>
              <w:rPr>
                <w:sz w:val="13"/>
                <w:szCs w:val="13"/>
                <w:color w:val="auto"/>
              </w:rPr>
            </w:pPr>
          </w:p>
        </w:tc>
        <w:tc>
          <w:tcPr>
            <w:tcW w:w="3400" w:type="dxa"/>
            <w:vAlign w:val="bottom"/>
            <w:tcBorders>
              <w:bottom w:val="single" w:sz="8" w:color="0000FF"/>
            </w:tcBorders>
            <w:gridSpan w:val="9"/>
            <w:shd w:val="clear" w:color="auto" w:fill="CCEEFF"/>
          </w:tcPr>
          <w:p>
            <w:pPr>
              <w:spacing w:after="0" w:line="159"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Form of Executive Restricted Stock Unit Award Agreement</w:t>
              </w:r>
            </w:hyperlink>
          </w:p>
        </w:tc>
        <w:tc>
          <w:tcPr>
            <w:tcW w:w="440" w:type="dxa"/>
            <w:vAlign w:val="bottom"/>
            <w:tcBorders>
              <w:bottom w:val="single" w:sz="8" w:color="CCEEFF"/>
            </w:tcBorders>
            <w:gridSpan w:val="9"/>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10.16</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6, 2024</w:t>
            </w:r>
          </w:p>
        </w:tc>
      </w:tr>
      <w:tr>
        <w:trPr>
          <w:trHeight w:val="183"/>
        </w:trPr>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40" w:type="dxa"/>
            <w:vAlign w:val="bottom"/>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under the Eos Energy Enterprises, Inc. 2020 Incentive Plan</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10.42</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Form of Employee Restricted Stock Unit Award Agreement</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10-Q</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10.17</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August 6, 2024</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0" w:type="dxa"/>
            <w:vAlign w:val="bottom"/>
            <w:tcBorders>
              <w:top w:val="single" w:sz="8" w:color="0000FF"/>
            </w:tcBorders>
            <w:gridSpan w:val="9"/>
            <w:shd w:val="clear" w:color="auto" w:fill="CCEEFF"/>
          </w:tcPr>
          <w:p>
            <w:pPr>
              <w:spacing w:after="0" w:line="150" w:lineRule="exact"/>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under the Eos Energy Enterprises, Inc. 2020 Incentive Plan</w:t>
              </w:r>
            </w:hyperlink>
          </w:p>
        </w:tc>
        <w:tc>
          <w:tcPr>
            <w:tcW w:w="440" w:type="dxa"/>
            <w:vAlign w:val="bottom"/>
            <w:tcBorders>
              <w:top w:val="single" w:sz="8" w:color="CCEEFF"/>
            </w:tcBorders>
            <w:gridSpan w:val="9"/>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10.43</w:t>
            </w:r>
          </w:p>
        </w:tc>
        <w:tc>
          <w:tcPr>
            <w:tcW w:w="80" w:type="dxa"/>
            <w:vAlign w:val="bottom"/>
            <w:shd w:val="clear" w:color="auto" w:fill="CCEEFF"/>
          </w:tcPr>
          <w:p>
            <w:pPr>
              <w:spacing w:after="0"/>
              <w:rPr>
                <w:sz w:val="13"/>
                <w:szCs w:val="13"/>
                <w:color w:val="auto"/>
              </w:rPr>
            </w:pPr>
          </w:p>
        </w:tc>
        <w:tc>
          <w:tcPr>
            <w:tcW w:w="384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Note Purchase Agreement, dated November 26, 2024, by and</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December 3, 2024</w:t>
            </w:r>
          </w:p>
        </w:tc>
      </w:tr>
      <w:tr>
        <w:trPr>
          <w:trHeight w:val="150"/>
        </w:trPr>
        <w:tc>
          <w:tcPr>
            <w:tcW w:w="1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80" w:type="dxa"/>
            <w:vAlign w:val="bottom"/>
            <w:tcBorders>
              <w:top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among Eos Energy Enterprises, Inc., the U.S. Department of</w:t>
              </w:r>
            </w:hyperlink>
          </w:p>
        </w:tc>
        <w:tc>
          <w:tcPr>
            <w:tcW w:w="360" w:type="dxa"/>
            <w:vAlign w:val="bottom"/>
            <w:tcBorders>
              <w:top w:val="single" w:sz="8" w:color="CCEEFF"/>
            </w:tcBorders>
            <w:gridSpan w:val="6"/>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20" w:type="dxa"/>
            <w:vAlign w:val="bottom"/>
            <w:tcBorders>
              <w:top w:val="single" w:sz="8" w:color="0000FF"/>
            </w:tcBorders>
            <w:gridSpan w:val="10"/>
            <w:shd w:val="clear" w:color="auto" w:fill="CCEEFF"/>
          </w:tcPr>
          <w:p>
            <w:pPr>
              <w:spacing w:after="0" w:line="150"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Energy and the Federal Financing Bank</w:t>
              </w:r>
            </w:hyperlink>
          </w:p>
        </w:tc>
        <w:tc>
          <w:tcPr>
            <w:tcW w:w="420" w:type="dxa"/>
            <w:vAlign w:val="bottom"/>
            <w:tcBorders>
              <w:top w:val="single" w:sz="8" w:color="CCEEFF"/>
            </w:tcBorders>
            <w:gridSpan w:val="8"/>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380"/>
        </w:trPr>
        <w:tc>
          <w:tcPr>
            <w:tcW w:w="11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20" w:type="dxa"/>
            <w:vAlign w:val="bottom"/>
            <w:gridSpan w:val="17"/>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0"/>
        </w:trPr>
        <w:tc>
          <w:tcPr>
            <w:tcW w:w="11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10.44</w:t>
            </w: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Future Advance Promissory Note of Eos Energy Enterprises,</w:t>
              </w:r>
            </w:hyperlink>
          </w:p>
        </w:tc>
        <w:tc>
          <w:tcPr>
            <w:tcW w:w="1580" w:type="dxa"/>
            <w:vAlign w:val="bottom"/>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0"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169"/>
              <w:spacing w:after="0" w:line="150" w:lineRule="exact"/>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December 3, 2024</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440" w:type="dxa"/>
            <w:vAlign w:val="bottom"/>
            <w:tcBorders>
              <w:top w:val="single" w:sz="8" w:color="0000FF"/>
            </w:tcBorders>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Inc., dated November 26, 2024</w:t>
              </w:r>
            </w:hyperlink>
          </w:p>
        </w:tc>
        <w:tc>
          <w:tcPr>
            <w:tcW w:w="380" w:type="dxa"/>
            <w:vAlign w:val="bottom"/>
            <w:tcBorders>
              <w:top w:val="single" w:sz="8" w:color="CCEEFF"/>
            </w:tcBorders>
            <w:gridSpan w:val="6"/>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260" w:type="dxa"/>
            <w:vAlign w:val="bottom"/>
            <w:tcBorders>
              <w:right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10.45†</w:t>
            </w:r>
          </w:p>
        </w:tc>
        <w:tc>
          <w:tcPr>
            <w:tcW w:w="382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Loan Guarantee Agreement, dated November 26, 2024, by and</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169"/>
              <w:spacing w:after="0" w:line="159" w:lineRule="exact"/>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December 3, 2024</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50"/>
        </w:trPr>
        <w:tc>
          <w:tcPr>
            <w:tcW w:w="11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between Eos Energy Enterprises, Inc. and the U.S. Department of</w:t>
              </w:r>
            </w:hyperlink>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700" w:type="dxa"/>
            <w:vAlign w:val="bottom"/>
            <w:tcBorders>
              <w:top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Energy</w:t>
              </w:r>
            </w:hyperlink>
          </w:p>
        </w:tc>
        <w:tc>
          <w:tcPr>
            <w:tcW w:w="120" w:type="dxa"/>
            <w:vAlign w:val="bottom"/>
            <w:tcBorders>
              <w:top w:val="single" w:sz="8" w:color="CCEEFF"/>
            </w:tcBorders>
            <w:gridSpan w:val="3"/>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260" w:type="dxa"/>
            <w:vAlign w:val="bottom"/>
            <w:tcBorders>
              <w:bottom w:val="single" w:sz="8" w:color="CCEEFF"/>
              <w:right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10.46†</w:t>
            </w:r>
          </w:p>
        </w:tc>
        <w:tc>
          <w:tcPr>
            <w:tcW w:w="3560" w:type="dxa"/>
            <w:vAlign w:val="bottom"/>
            <w:tcBorders>
              <w:bottom w:val="single" w:sz="8" w:color="0000FF"/>
            </w:tcBorders>
            <w:gridSpan w:val="14"/>
            <w:shd w:val="clear" w:color="auto" w:fill="CCEEFF"/>
          </w:tcPr>
          <w:p>
            <w:pPr>
              <w:spacing w:after="0" w:line="159"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Amendment to Credit Agreement, dated June 21, 2024, by and</w:t>
              </w:r>
            </w:hyperlink>
          </w:p>
        </w:tc>
        <w:tc>
          <w:tcPr>
            <w:tcW w:w="260" w:type="dxa"/>
            <w:vAlign w:val="bottom"/>
            <w:tcBorders>
              <w:bottom w:val="single" w:sz="8" w:color="CCEEFF"/>
            </w:tcBorders>
            <w:gridSpan w:val="5"/>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8-K</w:t>
            </w:r>
          </w:p>
        </w:tc>
        <w:tc>
          <w:tcPr>
            <w:tcW w:w="1560" w:type="dxa"/>
            <w:vAlign w:val="bottom"/>
            <w:tcBorders>
              <w:bottom w:val="single" w:sz="8" w:color="CCEEFF"/>
            </w:tcBorders>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tcBorders>
              <w:bottom w:val="single" w:sz="8" w:color="CCEEFF"/>
            </w:tcBorders>
            <w:shd w:val="clear" w:color="auto" w:fill="CCEEFF"/>
          </w:tcPr>
          <w:p>
            <w:pPr>
              <w:jc w:val="right"/>
              <w:ind w:right="1169"/>
              <w:spacing w:after="0" w:line="159" w:lineRule="exact"/>
              <w:rPr>
                <w:sz w:val="20"/>
                <w:szCs w:val="20"/>
                <w:color w:val="auto"/>
              </w:rPr>
            </w:pPr>
            <w:r>
              <w:rPr>
                <w:rFonts w:ascii="Times New Roman" w:cs="Times New Roman" w:eastAsia="Times New Roman" w:hAnsi="Times New Roman"/>
                <w:sz w:val="14"/>
                <w:szCs w:val="14"/>
                <w:color w:val="auto"/>
                <w:w w:val="97"/>
              </w:rPr>
              <w:t>10.4</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December 3, 2024</w:t>
            </w:r>
          </w:p>
        </w:tc>
      </w:tr>
      <w:tr>
        <w:trPr>
          <w:trHeight w:val="150"/>
        </w:trPr>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3360" w:type="dxa"/>
            <w:vAlign w:val="bottom"/>
            <w:tcBorders>
              <w:bottom w:val="single" w:sz="8" w:color="0000FF"/>
            </w:tcBorders>
            <w:gridSpan w:val="11"/>
            <w:shd w:val="clear" w:color="auto" w:fill="CCEEFF"/>
          </w:tcPr>
          <w:p>
            <w:pPr>
              <w:spacing w:after="0" w:line="150"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between Eos Energy Enterprises, Inc. and Cerberus Capital</w:t>
              </w:r>
            </w:hyperlink>
          </w:p>
        </w:tc>
        <w:tc>
          <w:tcPr>
            <w:tcW w:w="460" w:type="dxa"/>
            <w:vAlign w:val="bottom"/>
            <w:tcBorders>
              <w:bottom w:val="single" w:sz="8" w:color="CCEEFF"/>
            </w:tcBorders>
            <w:gridSpan w:val="8"/>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Management L.P.</w:t>
              </w:r>
            </w:hyperlink>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right w:val="single" w:sz="8" w:color="CCEEFF"/>
            </w:tcBorders>
            <w:shd w:val="clear" w:color="auto" w:fill="CCEEFF"/>
          </w:tcPr>
          <w:p>
            <w:pPr>
              <w:spacing w:after="0"/>
              <w:rPr>
                <w:sz w:val="16"/>
                <w:szCs w:val="16"/>
                <w:color w:val="auto"/>
              </w:rPr>
            </w:pPr>
          </w:p>
        </w:tc>
        <w:tc>
          <w:tcPr>
            <w:tcW w:w="382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Insider Trading Policy</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right w:val="single" w:sz="8" w:color="CCEEFF"/>
            </w:tcBorders>
            <w:shd w:val="clear" w:color="auto" w:fill="CCEEFF"/>
          </w:tcPr>
          <w:p>
            <w:pPr>
              <w:spacing w:after="0"/>
              <w:rPr>
                <w:sz w:val="16"/>
                <w:szCs w:val="16"/>
                <w:color w:val="auto"/>
              </w:rPr>
            </w:pPr>
          </w:p>
        </w:tc>
        <w:tc>
          <w:tcPr>
            <w:tcW w:w="3820" w:type="dxa"/>
            <w:vAlign w:val="bottom"/>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Subsidiaries of the Company</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169"/>
              <w:spacing w:after="0" w:line="159" w:lineRule="exact"/>
              <w:rPr>
                <w:sz w:val="20"/>
                <w:szCs w:val="20"/>
                <w:color w:val="auto"/>
              </w:rPr>
            </w:pPr>
            <w:r>
              <w:rPr>
                <w:rFonts w:ascii="Times New Roman" w:cs="Times New Roman" w:eastAsia="Times New Roman" w:hAnsi="Times New Roman"/>
                <w:sz w:val="14"/>
                <w:szCs w:val="14"/>
                <w:color w:val="auto"/>
                <w:w w:val="97"/>
              </w:rPr>
              <w:t>21.1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February 28, 2023</w:t>
            </w: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right w:val="single" w:sz="8" w:color="CCEEFF"/>
            </w:tcBorders>
            <w:shd w:val="clear" w:color="auto" w:fill="CCEEFF"/>
          </w:tcPr>
          <w:p>
            <w:pPr>
              <w:spacing w:after="0"/>
              <w:rPr>
                <w:sz w:val="16"/>
                <w:szCs w:val="16"/>
                <w:color w:val="auto"/>
              </w:rPr>
            </w:pPr>
          </w:p>
        </w:tc>
        <w:tc>
          <w:tcPr>
            <w:tcW w:w="382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9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of Attorney (included on the signature page herein)</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02"/>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Certification of the Chief Executive Officer pursuant to Exchange</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39"/>
        </w:trPr>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340" w:type="dxa"/>
            <w:vAlign w:val="bottom"/>
            <w:tcBorders>
              <w:top w:val="single" w:sz="8" w:color="0000FF"/>
              <w:bottom w:val="single" w:sz="8" w:color="0000FF"/>
            </w:tcBorders>
            <w:gridSpan w:val="10"/>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Act Rules 13a-14(a) and 15d-14(a), as adopted pursuant to</w:t>
            </w:r>
          </w:p>
        </w:tc>
        <w:tc>
          <w:tcPr>
            <w:tcW w:w="380" w:type="dxa"/>
            <w:vAlign w:val="bottom"/>
            <w:tcBorders>
              <w:top w:val="single" w:sz="8" w:color="0000FF"/>
              <w:bottom w:val="single" w:sz="8" w:color="CCEEFF"/>
            </w:tcBorders>
            <w:gridSpan w:val="7"/>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2"/>
        </w:trPr>
        <w:tc>
          <w:tcPr>
            <w:tcW w:w="1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82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2"/>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Certification of the Chief Financial Officer pursuant to Exchange</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0"/>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340" w:type="dxa"/>
            <w:vAlign w:val="bottom"/>
            <w:tcBorders>
              <w:top w:val="single" w:sz="8" w:color="0000FF"/>
              <w:bottom w:val="single" w:sz="8" w:color="0000FF"/>
            </w:tcBorders>
            <w:gridSpan w:val="10"/>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Act Rules 13a-14(a) and 15d-14(a), as adopted pursuant to</w:t>
            </w:r>
          </w:p>
        </w:tc>
        <w:tc>
          <w:tcPr>
            <w:tcW w:w="34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2"/>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59"/>
        </w:trPr>
        <w:tc>
          <w:tcPr>
            <w:tcW w:w="1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3320" w:type="dxa"/>
            <w:vAlign w:val="bottom"/>
            <w:tcBorders>
              <w:bottom w:val="single" w:sz="8" w:color="0000FF"/>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Certification of the Chief Executive Officer pursuant to 18</w:t>
            </w:r>
          </w:p>
        </w:tc>
        <w:tc>
          <w:tcPr>
            <w:tcW w:w="500" w:type="dxa"/>
            <w:vAlign w:val="bottom"/>
            <w:tcBorders>
              <w:bottom w:val="single" w:sz="8" w:color="CCEEFF"/>
            </w:tcBorders>
            <w:gridSpan w:val="10"/>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50"/>
        </w:trPr>
        <w:tc>
          <w:tcPr>
            <w:tcW w:w="11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U.S.C. Section 1350, as adopted pursuant to Section 906 of the</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560" w:type="dxa"/>
            <w:vAlign w:val="bottom"/>
            <w:tcBorders>
              <w:top w:val="single" w:sz="8" w:color="0000FF"/>
            </w:tcBorders>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60" w:type="dxa"/>
            <w:vAlign w:val="bottom"/>
            <w:tcBorders>
              <w:top w:val="single" w:sz="8" w:color="CCEEFF"/>
            </w:tcBorders>
            <w:gridSpan w:val="5"/>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70"/>
        </w:trPr>
        <w:tc>
          <w:tcPr>
            <w:tcW w:w="1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r>
      <w:tr>
        <w:trPr>
          <w:trHeight w:val="159"/>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right w:val="single" w:sz="8" w:color="CCEEFF"/>
            </w:tcBorders>
            <w:shd w:val="clear" w:color="auto" w:fill="CCEEFF"/>
          </w:tcPr>
          <w:p>
            <w:pPr>
              <w:spacing w:after="0"/>
              <w:rPr>
                <w:sz w:val="13"/>
                <w:szCs w:val="13"/>
                <w:color w:val="auto"/>
              </w:rPr>
            </w:pPr>
          </w:p>
        </w:tc>
        <w:tc>
          <w:tcPr>
            <w:tcW w:w="382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Certification of the Chief Financial Officer pursuant to 18 U.S.C.</w:t>
            </w: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0"/>
        </w:trPr>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3680" w:type="dxa"/>
            <w:vAlign w:val="bottom"/>
            <w:tcBorders>
              <w:top w:val="single" w:sz="8" w:color="0000FF"/>
            </w:tcBorders>
            <w:gridSpan w:val="15"/>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140" w:type="dxa"/>
            <w:vAlign w:val="bottom"/>
            <w:tcBorders>
              <w:top w:val="single" w:sz="8" w:color="CCEEFF"/>
            </w:tcBorders>
            <w:gridSpan w:val="4"/>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spacing w:after="0"/>
              <w:rPr>
                <w:sz w:val="13"/>
                <w:szCs w:val="13"/>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140" w:type="dxa"/>
            <w:vAlign w:val="bottom"/>
            <w:tcBorders>
              <w:top w:val="single" w:sz="8" w:color="0000FF"/>
            </w:tcBorders>
            <w:gridSpan w:val="8"/>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680" w:type="dxa"/>
            <w:vAlign w:val="bottom"/>
            <w:tcBorders>
              <w:top w:val="single" w:sz="8" w:color="CCEEFF"/>
            </w:tcBorders>
            <w:gridSpan w:val="11"/>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179"/>
        </w:trPr>
        <w:tc>
          <w:tcPr>
            <w:tcW w:w="11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2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8"/>
                <w:szCs w:val="18"/>
                <w:color w:val="auto"/>
              </w:rPr>
            </w:pPr>
          </w:p>
        </w:tc>
        <w:tc>
          <w:tcPr>
            <w:tcW w:w="382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92"/>
        </w:trPr>
        <w:tc>
          <w:tcPr>
            <w:tcW w:w="1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20" w:type="dxa"/>
            <w:vAlign w:val="bottom"/>
            <w:gridSpan w:val="3"/>
            <w:shd w:val="clear" w:color="auto" w:fill="CCEEFF"/>
          </w:tcPr>
          <w:p>
            <w:pPr>
              <w:spacing w:after="0" w:line="159"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Policy relating to recovery of compensation</w:t>
              </w:r>
            </w:hyperlink>
          </w:p>
        </w:tc>
        <w:tc>
          <w:tcPr>
            <w:tcW w:w="15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Form 10-K</w:t>
            </w:r>
          </w:p>
        </w:tc>
        <w:tc>
          <w:tcPr>
            <w:tcW w:w="1560" w:type="dxa"/>
            <w:vAlign w:val="bottom"/>
            <w:gridSpan w:val="2"/>
            <w:shd w:val="clear" w:color="auto" w:fill="CCEEFF"/>
          </w:tcPr>
          <w:p>
            <w:pPr>
              <w:jc w:val="right"/>
              <w:ind w:right="440"/>
              <w:spacing w:after="0" w:line="159" w:lineRule="exact"/>
              <w:rPr>
                <w:sz w:val="20"/>
                <w:szCs w:val="20"/>
                <w:color w:val="auto"/>
              </w:rPr>
            </w:pPr>
            <w:r>
              <w:rPr>
                <w:rFonts w:ascii="Times New Roman" w:cs="Times New Roman" w:eastAsia="Times New Roman" w:hAnsi="Times New Roman"/>
                <w:sz w:val="14"/>
                <w:szCs w:val="14"/>
                <w:color w:val="auto"/>
                <w:w w:val="99"/>
              </w:rPr>
              <w:t>File No. 001-39291</w:t>
            </w:r>
          </w:p>
        </w:tc>
        <w:tc>
          <w:tcPr>
            <w:tcW w:w="1500" w:type="dxa"/>
            <w:vAlign w:val="bottom"/>
            <w:shd w:val="clear" w:color="auto" w:fill="CCEEFF"/>
          </w:tcPr>
          <w:p>
            <w:pPr>
              <w:jc w:val="right"/>
              <w:ind w:right="1269"/>
              <w:spacing w:after="0" w:line="159" w:lineRule="exact"/>
              <w:rPr>
                <w:sz w:val="20"/>
                <w:szCs w:val="20"/>
                <w:color w:val="auto"/>
              </w:rPr>
            </w:pPr>
            <w:r>
              <w:rPr>
                <w:rFonts w:ascii="Times New Roman" w:cs="Times New Roman" w:eastAsia="Times New Roman" w:hAnsi="Times New Roman"/>
                <w:sz w:val="14"/>
                <w:szCs w:val="14"/>
                <w:color w:val="auto"/>
                <w:w w:val="99"/>
              </w:rPr>
              <w:t>97</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March 4, 2024</w:t>
            </w:r>
          </w:p>
        </w:tc>
      </w:tr>
      <w:tr>
        <w:trPr>
          <w:trHeight w:val="159"/>
        </w:trPr>
        <w:tc>
          <w:tcPr>
            <w:tcW w:w="1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480" w:type="dxa"/>
            <w:vAlign w:val="bottom"/>
            <w:tcBorders>
              <w:top w:val="single" w:sz="8" w:color="0000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r>
      <w:tr>
        <w:trPr>
          <w:trHeight w:val="192"/>
        </w:trPr>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59"/>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92"/>
        </w:trPr>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70"/>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70"/>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70"/>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27"/>
        </w:trPr>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7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for the cover page of this Annual Report on Form</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4"/>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10-K, included in the Exhibit 101 Inline XBRL Document Set</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
        </w:trPr>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1260" w:right="40" w:hanging="1241"/>
        <w:spacing w:after="0" w:line="284" w:lineRule="auto"/>
        <w:tabs>
          <w:tab w:leader="none" w:pos="1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1260" w:hanging="1241"/>
        <w:spacing w:after="0"/>
        <w:tabs>
          <w:tab w:leader="none" w:pos="1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51" w:lineRule="exact"/>
        <w:rPr>
          <w:sz w:val="20"/>
          <w:szCs w:val="20"/>
          <w:color w:val="auto"/>
        </w:rPr>
      </w:pPr>
    </w:p>
    <w:p>
      <w:pPr>
        <w:ind w:left="1260" w:right="100" w:hanging="1241"/>
        <w:spacing w:after="0" w:line="287" w:lineRule="auto"/>
        <w:tabs>
          <w:tab w:leader="none" w:pos="1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702945</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 in the City of Edison, State of New Jersey, on March 4, 2025.</w:t>
      </w:r>
    </w:p>
    <w:p>
      <w:pPr>
        <w:ind w:left="880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p>
      <w:pPr>
        <w:spacing w:after="0" w:line="265"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Nathan Kroeker</w:t>
      </w:r>
    </w:p>
    <w:p>
      <w:pPr>
        <w:spacing w:after="0" w:line="45"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Joseph Mastrangelo and Nathan Kroeker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78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81"/>
        </w:trPr>
        <w:tc>
          <w:tcPr>
            <w:tcW w:w="1560" w:type="dxa"/>
            <w:vAlign w:val="bottom"/>
          </w:tcPr>
          <w:p>
            <w:pPr>
              <w:spacing w:after="0"/>
              <w:rPr>
                <w:sz w:val="15"/>
                <w:szCs w:val="15"/>
                <w:color w:val="auto"/>
              </w:rPr>
            </w:pPr>
          </w:p>
        </w:tc>
        <w:tc>
          <w:tcPr>
            <w:tcW w:w="130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color w:val="auto"/>
              </w:rPr>
              <w:t>/s/ Joseph Mastrangelo</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color w:val="auto"/>
              </w:rPr>
              <w:t>Joseph Mastrangelo</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color w:val="auto"/>
                <w:w w:val="99"/>
              </w:rPr>
              <w:t>/s/ Nathan Kroeker</w:t>
            </w:r>
          </w:p>
        </w:tc>
        <w:tc>
          <w:tcPr>
            <w:tcW w:w="5640" w:type="dxa"/>
            <w:vAlign w:val="bottom"/>
          </w:tcPr>
          <w:p>
            <w:pPr>
              <w:jc w:val="center"/>
              <w:ind w:left="1369"/>
              <w:spacing w:after="0"/>
              <w:rPr>
                <w:sz w:val="20"/>
                <w:szCs w:val="20"/>
                <w:color w:val="auto"/>
              </w:rPr>
            </w:pPr>
            <w:r>
              <w:rPr>
                <w:rFonts w:ascii="Times New Roman" w:cs="Times New Roman" w:eastAsia="Times New Roman" w:hAnsi="Times New Roman"/>
                <w:sz w:val="14"/>
                <w:szCs w:val="14"/>
                <w:color w:val="auto"/>
              </w:rPr>
              <w:t>Chief Financial Officer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Nathan Kroeker</w:t>
            </w:r>
          </w:p>
        </w:tc>
        <w:tc>
          <w:tcPr>
            <w:tcW w:w="120" w:type="dxa"/>
            <w:vAlign w:val="bottom"/>
            <w:gridSpan w:val="3"/>
          </w:tcPr>
          <w:p>
            <w:pPr>
              <w:spacing w:after="0"/>
              <w:rPr>
                <w:sz w:val="19"/>
                <w:szCs w:val="19"/>
                <w:color w:val="auto"/>
              </w:rPr>
            </w:pP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color w:val="auto"/>
              </w:rPr>
              <w:t>/s/ Sumeet Puri</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Chief Accounting Officer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Sumeet Puri</w:t>
            </w:r>
          </w:p>
        </w:tc>
        <w:tc>
          <w:tcPr>
            <w:tcW w:w="220" w:type="dxa"/>
            <w:vAlign w:val="bottom"/>
            <w:gridSpan w:val="6"/>
          </w:tcPr>
          <w:p>
            <w:pPr>
              <w:spacing w:after="0"/>
              <w:rPr>
                <w:sz w:val="19"/>
                <w:szCs w:val="19"/>
                <w:color w:val="auto"/>
              </w:rPr>
            </w:pP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1300" w:type="dxa"/>
            <w:vAlign w:val="bottom"/>
            <w:gridSpan w:val="12"/>
          </w:tcPr>
          <w:p>
            <w:pPr>
              <w:jc w:val="center"/>
              <w:spacing w:after="0"/>
              <w:rPr>
                <w:sz w:val="20"/>
                <w:szCs w:val="20"/>
                <w:color w:val="auto"/>
              </w:rPr>
            </w:pPr>
            <w:r>
              <w:rPr>
                <w:rFonts w:ascii="Times New Roman" w:cs="Times New Roman" w:eastAsia="Times New Roman" w:hAnsi="Times New Roman"/>
                <w:sz w:val="14"/>
                <w:szCs w:val="14"/>
                <w:color w:val="auto"/>
              </w:rPr>
              <w:t>/s/ Jeffrey Bornstein</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color w:val="auto"/>
              </w:rPr>
              <w:t>Jeffrey Bornstein</w:t>
            </w:r>
          </w:p>
        </w:tc>
        <w:tc>
          <w:tcPr>
            <w:tcW w:w="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Alex Dimitrief</w:t>
            </w:r>
          </w:p>
        </w:tc>
        <w:tc>
          <w:tcPr>
            <w:tcW w:w="140" w:type="dxa"/>
            <w:vAlign w:val="bottom"/>
            <w:gridSpan w:val="5"/>
          </w:tcPr>
          <w:p>
            <w:pPr>
              <w:spacing w:after="0"/>
              <w:rPr>
                <w:sz w:val="15"/>
                <w:szCs w:val="15"/>
                <w:color w:val="auto"/>
              </w:rPr>
            </w:pP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color w:val="auto"/>
                <w:w w:val="98"/>
              </w:rPr>
              <w:t>Alex Dimitrief</w:t>
            </w:r>
          </w:p>
        </w:tc>
        <w:tc>
          <w:tcPr>
            <w:tcW w:w="56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color w:val="auto"/>
              </w:rPr>
              <w:t>/s/ Claude Demby</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Claude Demby</w:t>
            </w:r>
          </w:p>
        </w:tc>
        <w:tc>
          <w:tcPr>
            <w:tcW w:w="140" w:type="dxa"/>
            <w:vAlign w:val="bottom"/>
            <w:gridSpan w:val="5"/>
          </w:tcPr>
          <w:p>
            <w:pPr>
              <w:spacing w:after="0"/>
              <w:rPr>
                <w:sz w:val="19"/>
                <w:szCs w:val="19"/>
                <w:color w:val="auto"/>
              </w:rPr>
            </w:pPr>
          </w:p>
        </w:tc>
        <w:tc>
          <w:tcPr>
            <w:tcW w:w="56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color w:val="auto"/>
              </w:rPr>
              <w:t>/s/ Gregory Nixon</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Gregory Nixon</w:t>
            </w:r>
          </w:p>
        </w:tc>
        <w:tc>
          <w:tcPr>
            <w:tcW w:w="140" w:type="dxa"/>
            <w:vAlign w:val="bottom"/>
            <w:gridSpan w:val="4"/>
          </w:tcPr>
          <w:p>
            <w:pPr>
              <w:spacing w:after="0"/>
              <w:rPr>
                <w:sz w:val="19"/>
                <w:szCs w:val="19"/>
                <w:color w:val="auto"/>
              </w:rPr>
            </w:pPr>
          </w:p>
        </w:tc>
        <w:tc>
          <w:tcPr>
            <w:tcW w:w="56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color w:val="auto"/>
              </w:rPr>
              <w:t>/s/ Jeffrey McNeil</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Jeffrey McNeil</w:t>
            </w:r>
          </w:p>
        </w:tc>
        <w:tc>
          <w:tcPr>
            <w:tcW w:w="140" w:type="dxa"/>
            <w:vAlign w:val="bottom"/>
            <w:gridSpan w:val="4"/>
          </w:tcPr>
          <w:p>
            <w:pPr>
              <w:spacing w:after="0"/>
              <w:rPr>
                <w:sz w:val="19"/>
                <w:szCs w:val="19"/>
                <w:color w:val="auto"/>
              </w:rPr>
            </w:pPr>
          </w:p>
        </w:tc>
        <w:tc>
          <w:tcPr>
            <w:tcW w:w="56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color w:val="auto"/>
              </w:rPr>
              <w:t>/s/ Nick Robinson</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Nick Robinson</w:t>
            </w:r>
          </w:p>
        </w:tc>
        <w:tc>
          <w:tcPr>
            <w:tcW w:w="140" w:type="dxa"/>
            <w:vAlign w:val="bottom"/>
            <w:gridSpan w:val="5"/>
          </w:tcPr>
          <w:p>
            <w:pPr>
              <w:spacing w:after="0"/>
              <w:rPr>
                <w:sz w:val="19"/>
                <w:szCs w:val="19"/>
                <w:color w:val="auto"/>
              </w:rPr>
            </w:pPr>
          </w:p>
        </w:tc>
        <w:tc>
          <w:tcPr>
            <w:tcW w:w="56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81"/>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color w:val="auto"/>
              </w:rPr>
              <w:t>/s/ Russell Stidolph</w:t>
            </w:r>
          </w:p>
        </w:tc>
        <w:tc>
          <w:tcPr>
            <w:tcW w:w="56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Director</w:t>
            </w:r>
          </w:p>
        </w:tc>
        <w:tc>
          <w:tcPr>
            <w:tcW w:w="27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color w:val="auto"/>
              </w:rPr>
              <w:t>Russell Stidolph</w:t>
            </w:r>
          </w:p>
        </w:tc>
        <w:tc>
          <w:tcPr>
            <w:tcW w:w="100" w:type="dxa"/>
            <w:vAlign w:val="bottom"/>
            <w:gridSpan w:val="2"/>
          </w:tcPr>
          <w:p>
            <w:pPr>
              <w:spacing w:after="0"/>
              <w:rPr>
                <w:sz w:val="19"/>
                <w:szCs w:val="19"/>
                <w:color w:val="auto"/>
              </w:rPr>
            </w:pPr>
          </w:p>
        </w:tc>
        <w:tc>
          <w:tcPr>
            <w:tcW w:w="564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201"/>
        </w:trPr>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4" w:right="319" w:bottom="1440" w:gutter="0" w:footer="0" w:header="0"/>
        </w:sectPr>
      </w:pPr>
    </w:p>
    <w:bookmarkStart w:id="123" w:name="page124"/>
    <w:bookmarkEnd w:id="123"/>
    <w:tbl>
      <w:tblPr>
        <w:tblLayout w:type="fixed"/>
        <w:tblInd w:w="32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8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80" w:type="dxa"/>
            <w:vAlign w:val="bottom"/>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81"/>
        </w:trPr>
        <w:tc>
          <w:tcPr>
            <w:tcW w:w="3100" w:type="dxa"/>
            <w:vAlign w:val="bottom"/>
            <w:gridSpan w:val="4"/>
          </w:tcPr>
          <w:p>
            <w:pPr>
              <w:jc w:val="center"/>
              <w:ind w:right="1600"/>
              <w:spacing w:after="0"/>
              <w:rPr>
                <w:sz w:val="20"/>
                <w:szCs w:val="20"/>
                <w:color w:val="auto"/>
              </w:rPr>
            </w:pPr>
            <w:r>
              <w:rPr>
                <w:rFonts w:ascii="Times New Roman" w:cs="Times New Roman" w:eastAsia="Times New Roman" w:hAnsi="Times New Roman"/>
                <w:sz w:val="14"/>
                <w:szCs w:val="14"/>
                <w:color w:val="auto"/>
              </w:rPr>
              <w:t>/s/ David Urban</w:t>
            </w:r>
          </w:p>
        </w:tc>
        <w:tc>
          <w:tcPr>
            <w:tcW w:w="35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30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David Urban</w:t>
            </w:r>
          </w:p>
        </w:tc>
        <w:tc>
          <w:tcPr>
            <w:tcW w:w="1900" w:type="dxa"/>
            <w:vAlign w:val="bottom"/>
            <w:gridSpan w:val="2"/>
          </w:tcPr>
          <w:p>
            <w:pPr>
              <w:spacing w:after="0"/>
              <w:rPr>
                <w:sz w:val="19"/>
                <w:szCs w:val="19"/>
                <w:color w:val="auto"/>
              </w:rPr>
            </w:pPr>
          </w:p>
        </w:tc>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81"/>
        </w:trPr>
        <w:tc>
          <w:tcPr>
            <w:tcW w:w="3100" w:type="dxa"/>
            <w:vAlign w:val="bottom"/>
            <w:gridSpan w:val="4"/>
          </w:tcPr>
          <w:p>
            <w:pPr>
              <w:jc w:val="center"/>
              <w:ind w:right="1600"/>
              <w:spacing w:after="0"/>
              <w:rPr>
                <w:sz w:val="20"/>
                <w:szCs w:val="20"/>
                <w:color w:val="auto"/>
              </w:rPr>
            </w:pPr>
            <w:r>
              <w:rPr>
                <w:rFonts w:ascii="Times New Roman" w:cs="Times New Roman" w:eastAsia="Times New Roman" w:hAnsi="Times New Roman"/>
                <w:sz w:val="14"/>
                <w:szCs w:val="14"/>
                <w:color w:val="auto"/>
                <w:w w:val="99"/>
              </w:rPr>
              <w:t>/s/ Marian "Mimi" Walters</w:t>
            </w:r>
          </w:p>
        </w:tc>
        <w:tc>
          <w:tcPr>
            <w:tcW w:w="354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Director</w:t>
            </w:r>
          </w:p>
        </w:tc>
        <w:tc>
          <w:tcPr>
            <w:tcW w:w="228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9"/>
              </w:rPr>
              <w:t>March 4, 2025</w:t>
            </w:r>
          </w:p>
        </w:tc>
      </w:tr>
      <w:tr>
        <w:trPr>
          <w:trHeight w:val="224"/>
        </w:trPr>
        <w:tc>
          <w:tcPr>
            <w:tcW w:w="15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Marian "Mimi" Walters</w:t>
            </w:r>
          </w:p>
        </w:tc>
        <w:tc>
          <w:tcPr>
            <w:tcW w:w="16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9240"/>
          </w:cols>
          <w:pgMar w:left="1440" w:top="1184" w:right="1219" w:bottom="1440"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333-275863, 333-272754, and 333-263298 on Form S-3 and Registration Statement Nos. 333-280506, 333-272848, 333-265708, and 333-256766 on Form S-8 of our report dated March 4, 2025, relating to the financial statements of Eos Energy Enterprises, Inc. appearing in this Annual Report on Form 10-K for the year ended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4, 2025</w:t>
      </w:r>
    </w:p>
    <w:p>
      <w:pPr>
        <w:sectPr>
          <w:pgSz w:w="11900" w:h="16838" w:orient="portrait"/>
          <w:cols w:equalWidth="0" w:num="1">
            <w:col w:w="11280"/>
          </w:cols>
          <w:pgMar w:left="300" w:top="1143"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Joseph Mastrangelo, certify that:</w:t>
      </w:r>
    </w:p>
    <w:p>
      <w:pPr>
        <w:spacing w:after="0" w:line="157" w:lineRule="exact"/>
        <w:rPr>
          <w:sz w:val="20"/>
          <w:szCs w:val="20"/>
          <w:color w:val="auto"/>
        </w:rPr>
      </w:pPr>
    </w:p>
    <w:p>
      <w:pPr>
        <w:ind w:left="160" w:hanging="155"/>
        <w:spacing w:after="0"/>
        <w:tabs>
          <w:tab w:leader="none" w:pos="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(the “Annual Report”) of Eos Energy Enterprises, Inc. (the “Registrant”);</w:t>
      </w:r>
    </w:p>
    <w:p>
      <w:pPr>
        <w:spacing w:after="0" w:line="157" w:lineRule="exact"/>
        <w:rPr>
          <w:rFonts w:ascii="Times New Roman" w:cs="Times New Roman" w:eastAsia="Times New Roman" w:hAnsi="Times New Roman"/>
          <w:sz w:val="14"/>
          <w:szCs w:val="14"/>
          <w:color w:val="auto"/>
        </w:rPr>
      </w:pPr>
    </w:p>
    <w:p>
      <w:pPr>
        <w:ind w:firstLine="5"/>
        <w:spacing w:after="0" w:line="287" w:lineRule="auto"/>
        <w:tabs>
          <w:tab w:leader="none" w:pos="15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03"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92" w:lineRule="exact"/>
        <w:rPr>
          <w:rFonts w:ascii="Times New Roman" w:cs="Times New Roman" w:eastAsia="Times New Roman" w:hAnsi="Times New Roman"/>
          <w:sz w:val="14"/>
          <w:szCs w:val="14"/>
          <w:color w:val="auto"/>
        </w:rPr>
      </w:pPr>
    </w:p>
    <w:p>
      <w:pPr>
        <w:ind w:firstLine="5"/>
        <w:spacing w:after="0" w:line="303" w:lineRule="auto"/>
        <w:tabs>
          <w:tab w:leader="none" w:pos="14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firstLine="260"/>
        <w:spacing w:after="0" w:line="303" w:lineRule="auto"/>
        <w:tabs>
          <w:tab w:leader="none" w:pos="454"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3"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4"/>
          <w:szCs w:val="14"/>
          <w:color w:val="auto"/>
        </w:rPr>
      </w:pPr>
    </w:p>
    <w:p>
      <w:pPr>
        <w:ind w:firstLine="260"/>
        <w:spacing w:after="0" w:line="287" w:lineRule="auto"/>
        <w:tabs>
          <w:tab w:leader="none" w:pos="454"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60" w:lineRule="exact"/>
        <w:rPr>
          <w:rFonts w:ascii="Times New Roman" w:cs="Times New Roman" w:eastAsia="Times New Roman" w:hAnsi="Times New Roman"/>
          <w:sz w:val="14"/>
          <w:szCs w:val="14"/>
          <w:color w:val="auto"/>
        </w:rPr>
      </w:pPr>
    </w:p>
    <w:p>
      <w:pPr>
        <w:ind w:firstLine="260"/>
        <w:spacing w:after="0" w:line="287" w:lineRule="auto"/>
        <w:tabs>
          <w:tab w:leader="none" w:pos="46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spacing w:after="0" w:line="103"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Times New Roman" w:cs="Times New Roman" w:eastAsia="Times New Roman" w:hAnsi="Times New Roman"/>
          <w:sz w:val="14"/>
          <w:szCs w:val="14"/>
          <w:color w:val="auto"/>
        </w:rPr>
      </w:pPr>
    </w:p>
    <w:p>
      <w:pPr>
        <w:ind w:firstLine="260"/>
        <w:spacing w:after="0" w:line="287" w:lineRule="auto"/>
        <w:tabs>
          <w:tab w:leader="none" w:pos="465"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6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March 4, 2025</w:t>
            </w: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 Joseph Mastrangelo</w:t>
            </w:r>
          </w:p>
        </w:tc>
        <w:tc>
          <w:tcPr>
            <w:tcW w:w="340" w:type="dxa"/>
            <w:vAlign w:val="bottom"/>
          </w:tcPr>
          <w:p>
            <w:pPr>
              <w:spacing w:after="0"/>
              <w:rPr>
                <w:sz w:val="15"/>
                <w:szCs w:val="15"/>
                <w:color w:val="auto"/>
              </w:rPr>
            </w:pPr>
          </w:p>
        </w:tc>
      </w:tr>
      <w:tr>
        <w:trPr>
          <w:trHeight w:val="202"/>
        </w:trPr>
        <w:tc>
          <w:tcPr>
            <w:tcW w:w="7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Joseph Mastrangelo</w:t>
            </w:r>
          </w:p>
        </w:tc>
      </w:tr>
      <w:tr>
        <w:trPr>
          <w:trHeight w:val="191"/>
        </w:trPr>
        <w:tc>
          <w:tcPr>
            <w:tcW w:w="7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91"/>
        </w:trPr>
        <w:tc>
          <w:tcPr>
            <w:tcW w:w="7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(Principal Executive Officer)</w:t>
            </w:r>
          </w:p>
        </w:tc>
      </w:tr>
    </w:tbl>
    <w:p>
      <w:pPr>
        <w:sectPr>
          <w:pgSz w:w="11900" w:h="16838" w:orient="portrait"/>
          <w:cols w:equalWidth="0" w:num="1">
            <w:col w:w="11280"/>
          </w:cols>
          <w:pgMar w:left="300" w:top="632"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Nathan Kroeker, certify that:</w:t>
      </w:r>
    </w:p>
    <w:p>
      <w:pPr>
        <w:spacing w:after="0" w:line="147" w:lineRule="exact"/>
        <w:rPr>
          <w:sz w:val="20"/>
          <w:szCs w:val="20"/>
          <w:color w:val="auto"/>
        </w:rPr>
      </w:pPr>
    </w:p>
    <w:p>
      <w:pPr>
        <w:ind w:left="160" w:hanging="155"/>
        <w:spacing w:after="0"/>
        <w:tabs>
          <w:tab w:leader="none" w:pos="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(the “Annual Report”) of Eos Energy Enterprises, Inc. (the “Registrant”);</w:t>
      </w:r>
    </w:p>
    <w:p>
      <w:pPr>
        <w:spacing w:after="0" w:line="157" w:lineRule="exact"/>
        <w:rPr>
          <w:rFonts w:ascii="Times New Roman" w:cs="Times New Roman" w:eastAsia="Times New Roman" w:hAnsi="Times New Roman"/>
          <w:sz w:val="14"/>
          <w:szCs w:val="14"/>
          <w:color w:val="auto"/>
        </w:rPr>
      </w:pPr>
    </w:p>
    <w:p>
      <w:pPr>
        <w:ind w:firstLine="5"/>
        <w:spacing w:after="0" w:line="287" w:lineRule="auto"/>
        <w:tabs>
          <w:tab w:leader="none" w:pos="15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03"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3"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ind w:firstLine="260"/>
        <w:spacing w:after="0" w:line="287" w:lineRule="auto"/>
        <w:tabs>
          <w:tab w:leader="none" w:pos="454"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9" w:lineRule="exact"/>
        <w:rPr>
          <w:rFonts w:ascii="Times New Roman" w:cs="Times New Roman" w:eastAsia="Times New Roman" w:hAnsi="Times New Roman"/>
          <w:sz w:val="14"/>
          <w:szCs w:val="14"/>
          <w:color w:val="auto"/>
        </w:rPr>
      </w:pPr>
    </w:p>
    <w:p>
      <w:pPr>
        <w:ind w:firstLine="260"/>
        <w:spacing w:after="0" w:line="303" w:lineRule="auto"/>
        <w:tabs>
          <w:tab w:leader="none" w:pos="48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54"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60" w:lineRule="exact"/>
        <w:rPr>
          <w:rFonts w:ascii="Times New Roman" w:cs="Times New Roman" w:eastAsia="Times New Roman" w:hAnsi="Times New Roman"/>
          <w:sz w:val="14"/>
          <w:szCs w:val="14"/>
          <w:color w:val="auto"/>
        </w:rPr>
      </w:pPr>
    </w:p>
    <w:p>
      <w:pPr>
        <w:ind w:firstLine="260"/>
        <w:spacing w:after="0" w:line="287" w:lineRule="auto"/>
        <w:tabs>
          <w:tab w:leader="none" w:pos="46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spacing w:after="0" w:line="103"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Times New Roman" w:cs="Times New Roman" w:eastAsia="Times New Roman" w:hAnsi="Times New Roman"/>
          <w:sz w:val="14"/>
          <w:szCs w:val="14"/>
          <w:color w:val="auto"/>
        </w:rPr>
      </w:pPr>
    </w:p>
    <w:p>
      <w:pPr>
        <w:ind w:firstLine="260"/>
        <w:spacing w:after="0" w:line="287" w:lineRule="auto"/>
        <w:tabs>
          <w:tab w:leader="none" w:pos="46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u w:val="single" w:color="auto"/>
          <w:color w:val="auto"/>
        </w:rPr>
        <w:t>/s/ Nathan Kroeker</w:t>
      </w:r>
    </w:p>
    <w:p>
      <w:pPr>
        <w:spacing w:after="0" w:line="41"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4, 2025</w:t>
      </w:r>
    </w:p>
    <w:p>
      <w:pPr>
        <w:spacing w:after="0" w:line="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Nathan Kroeker</w:t>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632" w:right="319" w:bottom="1440" w:gutter="0" w:footer="0" w:header="0"/>
        </w:sectPr>
      </w:pPr>
    </w:p>
    <w:bookmarkStart w:id="142" w:name="page143"/>
    <w:bookmarkEnd w:id="14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jc w:val="center"/>
        <w:ind w:right="-39"/>
        <w:spacing w:after="0" w:line="237" w:lineRule="auto"/>
        <w:rPr>
          <w:sz w:val="20"/>
          <w:szCs w:val="20"/>
          <w:color w:val="auto"/>
        </w:rPr>
      </w:pPr>
      <w:r>
        <w:rPr>
          <w:rFonts w:ascii="Times New Roman" w:cs="Times New Roman" w:eastAsia="Times New Roman" w:hAnsi="Times New Roman"/>
          <w:sz w:val="14"/>
          <w:szCs w:val="14"/>
          <w:b w:val="1"/>
          <w:bCs w:val="1"/>
          <w:color w:val="auto"/>
        </w:rPr>
        <w:t>AS ADOPTED PURSUANT TO</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Eos Energy Enterprises, Inc. (the “Registrant”) on Form 10-K for the year ended December 31, 2024 as filed with the Securities and Exchange Commission on the date hereof (the “Report”), I, Joseph Mastrangelo, hereby certify, in the capacity and on the date indicated below, pursuant to 18 U.S.C. § 1350, as adopted pursuant to Section 906 of the Sarbanes-Oxley Act of 2002, that, to my knowledge:</w:t>
      </w:r>
    </w:p>
    <w:p>
      <w:pPr>
        <w:spacing w:after="0" w:line="156" w:lineRule="exact"/>
        <w:rPr>
          <w:sz w:val="20"/>
          <w:szCs w:val="20"/>
          <w:color w:val="auto"/>
        </w:rPr>
      </w:pPr>
    </w:p>
    <w:p>
      <w:pPr>
        <w:ind w:left="200" w:hanging="195"/>
        <w:spacing w:after="0"/>
        <w:tabs>
          <w:tab w:leader="none" w:pos="2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140" w:val="left"/>
          <w:tab w:leader="none" w:pos="68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4, 2025</w:t>
      </w:r>
      <w:r>
        <w:rPr>
          <w:sz w:val="20"/>
          <w:szCs w:val="20"/>
          <w:color w:val="auto"/>
        </w:rPr>
        <w:tab/>
      </w:r>
      <w:r>
        <w:rPr>
          <w:rFonts w:ascii="Times New Roman" w:cs="Times New Roman" w:eastAsia="Times New Roman" w:hAnsi="Times New Roman"/>
          <w:sz w:val="13"/>
          <w:szCs w:val="13"/>
          <w:u w:val="single" w:color="auto"/>
          <w:color w:val="auto"/>
        </w:rPr>
        <w:t>/s/ Joseph Mastrangelo</w:t>
      </w:r>
    </w:p>
    <w:p>
      <w:pPr>
        <w:spacing w:after="0" w:line="3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Joseph Mastrangelo</w:t>
      </w:r>
    </w:p>
    <w:p>
      <w:pPr>
        <w:spacing w:after="0" w:line="2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pacing w:after="0" w:line="2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00" w:top="1141" w:right="359" w:bottom="1440" w:gutter="0" w:footer="0" w:header="0"/>
        </w:sectPr>
      </w:pPr>
    </w:p>
    <w:bookmarkStart w:id="143" w:name="page144"/>
    <w:bookmarkEnd w:id="14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jc w:val="center"/>
        <w:ind w:right="-39"/>
        <w:spacing w:after="0" w:line="237" w:lineRule="auto"/>
        <w:rPr>
          <w:sz w:val="20"/>
          <w:szCs w:val="20"/>
          <w:color w:val="auto"/>
        </w:rPr>
      </w:pPr>
      <w:r>
        <w:rPr>
          <w:rFonts w:ascii="Times New Roman" w:cs="Times New Roman" w:eastAsia="Times New Roman" w:hAnsi="Times New Roman"/>
          <w:sz w:val="14"/>
          <w:szCs w:val="14"/>
          <w:b w:val="1"/>
          <w:bCs w:val="1"/>
          <w:color w:val="auto"/>
        </w:rPr>
        <w:t>AS ADOPTED PURSUANT TO</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Eos Energy Enterprises, Inc. (the “Registrant”) on Form 10-K for the year ended December 31, 2024 as filed with the Securities and Exchange Commission on the date hereof (the “Report”), I, Nathan Kroeker, hereby certify, in the capacity and on the date indicated below, pursuant to 18 U.S.C. § 1350, as adopted pursuant to Section 906 of the Sarbanes-Oxley Act of 2002, that, to my knowledge:</w:t>
      </w:r>
    </w:p>
    <w:p>
      <w:pPr>
        <w:spacing w:after="0" w:line="156" w:lineRule="exact"/>
        <w:rPr>
          <w:sz w:val="20"/>
          <w:szCs w:val="20"/>
          <w:color w:val="auto"/>
        </w:rPr>
      </w:pPr>
    </w:p>
    <w:p>
      <w:pPr>
        <w:ind w:left="200" w:hanging="195"/>
        <w:spacing w:after="0"/>
        <w:tabs>
          <w:tab w:leader="none" w:pos="2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u w:val="single" w:color="auto"/>
          <w:color w:val="auto"/>
        </w:rPr>
        <w:t>/s/ Nathan Kroeker</w:t>
      </w:r>
    </w:p>
    <w:p>
      <w:pPr>
        <w:spacing w:after="0" w:line="41"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4, 2025</w:t>
      </w:r>
    </w:p>
    <w:p>
      <w:pPr>
        <w:spacing w:after="0" w:line="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Nathan Kroeker</w:t>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00" w:top="11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3"/>
    </w:lvl>
  </w:abstractNum>
  <w:abstractNum w:abstractNumId="16">
    <w:nsid w:val="419AC241"/>
    <w:multiLevelType w:val="hybridMultilevel"/>
    <w:lvl w:ilvl="0">
      <w:lvlJc w:val="left"/>
      <w:lvlText w:val="(%1)"/>
      <w:numFmt w:val="lowerRoman"/>
      <w:start w:val="5"/>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lvl w:ilvl="1">
      <w:lvlJc w:val="left"/>
      <w:lvlText w:val="◦"/>
      <w:numFmt w:val="bullet"/>
      <w:start w:val="1"/>
    </w:lvl>
  </w:abstractNum>
  <w:abstractNum w:abstractNumId="30">
    <w:nsid w:val="3855585C"/>
    <w:multiLevelType w:val="hybridMultilevel"/>
    <w:lvl w:ilvl="0">
      <w:lvlJc w:val="left"/>
      <w:lvlText w:val="(%1)"/>
      <w:numFmt w:val="decimal"/>
      <w:start w:val="3"/>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lvl w:ilvl="1">
      <w:lvlJc w:val="left"/>
      <w:lvlText w:val="◦"/>
      <w:numFmt w:val="bullet"/>
      <w:start w:val="1"/>
    </w:lvl>
  </w:abstractNum>
  <w:abstractNum w:abstractNumId="33">
    <w:nsid w:val="2A487CB0"/>
    <w:multiLevelType w:val="hybridMultilevel"/>
    <w:lvl w:ilvl="0">
      <w:lvlJc w:val="left"/>
      <w:lvlText w:val="%1."/>
      <w:numFmt w:val="decimal"/>
      <w:start w:val="1"/>
    </w:lvl>
    <w:lvl w:ilvl="1">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3"/>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55" Type="http://schemas.openxmlformats.org/officeDocument/2006/relationships/image" Target="media/image186.png"/><Relationship Id="rId256" Type="http://schemas.openxmlformats.org/officeDocument/2006/relationships/image" Target="media/image187.png"/><Relationship Id="rId261" Type="http://schemas.openxmlformats.org/officeDocument/2006/relationships/image" Target="media/image188.png"/><Relationship Id="rId262" Type="http://schemas.openxmlformats.org/officeDocument/2006/relationships/image" Target="media/image189.png"/><Relationship Id="rId264" Type="http://schemas.openxmlformats.org/officeDocument/2006/relationships/image" Target="media/image190.png"/><Relationship Id="rId265" Type="http://schemas.openxmlformats.org/officeDocument/2006/relationships/image" Target="media/image191.png"/><Relationship Id="rId266" Type="http://schemas.openxmlformats.org/officeDocument/2006/relationships/image" Target="media/image192.png"/><Relationship Id="rId267" Type="http://schemas.openxmlformats.org/officeDocument/2006/relationships/image" Target="media/image193.png"/><Relationship Id="rId268" Type="http://schemas.openxmlformats.org/officeDocument/2006/relationships/image" Target="media/image194.png"/><Relationship Id="rId269" Type="http://schemas.openxmlformats.org/officeDocument/2006/relationships/image" Target="media/image195.png"/><Relationship Id="rId270" Type="http://schemas.openxmlformats.org/officeDocument/2006/relationships/image" Target="media/image196.png"/><Relationship Id="rId271" Type="http://schemas.openxmlformats.org/officeDocument/2006/relationships/image" Target="media/image197.png"/><Relationship Id="rId272" Type="http://schemas.openxmlformats.org/officeDocument/2006/relationships/image" Target="media/image198.png"/><Relationship Id="rId273" Type="http://schemas.openxmlformats.org/officeDocument/2006/relationships/image" Target="media/image199.png"/><Relationship Id="rId274" Type="http://schemas.openxmlformats.org/officeDocument/2006/relationships/image" Target="media/image200.png"/><Relationship Id="rId275" Type="http://schemas.openxmlformats.org/officeDocument/2006/relationships/image" Target="media/image201.png"/><Relationship Id="rId276" Type="http://schemas.openxmlformats.org/officeDocument/2006/relationships/image" Target="media/image202.png"/><Relationship Id="rId277" Type="http://schemas.openxmlformats.org/officeDocument/2006/relationships/image" Target="media/image203.png"/><Relationship Id="rId278" Type="http://schemas.openxmlformats.org/officeDocument/2006/relationships/image" Target="media/image204.png"/><Relationship Id="rId279" Type="http://schemas.openxmlformats.org/officeDocument/2006/relationships/image" Target="media/image205.png"/><Relationship Id="rId280" Type="http://schemas.openxmlformats.org/officeDocument/2006/relationships/image" Target="media/image206.png"/><Relationship Id="rId183" Type="http://schemas.openxmlformats.org/officeDocument/2006/relationships/hyperlink" Target="https://www.sec.gov/Archives/edgar/data/1805077/000121390020025523/ea126529ex2-1_briley.htm" TargetMode="External"/><Relationship Id="rId184" Type="http://schemas.openxmlformats.org/officeDocument/2006/relationships/hyperlink" Target="https://www.sec.gov/Archives/edgar/data/1805077/000162828023005647/ex31-thirdamendedandrestat.htm" TargetMode="External"/><Relationship Id="rId185" Type="http://schemas.openxmlformats.org/officeDocument/2006/relationships/hyperlink" Target="https://www.sec.gov/Archives/edgar/data/1805077/000162828022014885/secondamendedandrestatedby.htm" TargetMode="External"/><Relationship Id="rId186" Type="http://schemas.openxmlformats.org/officeDocument/2006/relationships/hyperlink" Target="https://www.sec.gov/Archives/edgar/data/1805077/000180507724000051/secondcertificateofamend.htm" TargetMode="External"/><Relationship Id="rId187" Type="http://schemas.openxmlformats.org/officeDocument/2006/relationships/hyperlink" Target="https://www.sec.gov/Archives/edgar/data/1805077/000121390024054998/ea020831801ex3-1_eosener.htm" TargetMode="External"/><Relationship Id="rId188" Type="http://schemas.openxmlformats.org/officeDocument/2006/relationships/hyperlink" Target="https://www.sec.gov/Archives/edgar/data/1805077/000121390024074175/ea021300401ex3-1_eosenergy.htm" TargetMode="External"/><Relationship Id="rId189" Type="http://schemas.openxmlformats.org/officeDocument/2006/relationships/hyperlink" Target="https://www.sec.gov/Archives/edgar/data/1805077/000121390024078188/ea021432401ex3-1_eosenergy.htm" TargetMode="External"/><Relationship Id="rId190" Type="http://schemas.openxmlformats.org/officeDocument/2006/relationships/hyperlink" Target="https://www.sec.gov/Archives/edgar/data/1805077/000121390024078188/ea021432401ex3-2_eosenergy.htm" TargetMode="External"/><Relationship Id="rId191" Type="http://schemas.openxmlformats.org/officeDocument/2006/relationships/hyperlink" Target="https://www.sec.gov/Archives/edgar/data/1805077/000121390020038551/ea130208ex4-1_eosenergy.htm" TargetMode="External"/><Relationship Id="rId192" Type="http://schemas.openxmlformats.org/officeDocument/2006/relationships/hyperlink" Target="https://www.sec.gov/Archives/edgar/data/1805077/000121390020038551/ea130208ex4-2_eosenergy.htm" TargetMode="External"/><Relationship Id="rId195" Type="http://schemas.openxmlformats.org/officeDocument/2006/relationships/hyperlink" Target="https://www.sec.gov/Archives/edgar/data/0001805077/000162828021013617/ex41eosformofnote.htm" TargetMode="External"/><Relationship Id="rId196" Type="http://schemas.openxmlformats.org/officeDocument/2006/relationships/hyperlink" Target="https://www.sec.gov/Archives/edgar/data/1805077/000121390020013346/ea122222ex4-1_briley.htm" TargetMode="External"/><Relationship Id="rId197" Type="http://schemas.openxmlformats.org/officeDocument/2006/relationships/hyperlink" Target="https://www.sec.gov/Archives/edgar/data/1805077/000162828022004017/eos2021descriptionofsecuri.htm" TargetMode="External"/><Relationship Id="rId198" Type="http://schemas.openxmlformats.org/officeDocument/2006/relationships/hyperlink" Target="https://www.sec.gov/Archives/edgar/data/0001805077/000162828022009094/ex41wilmingtontrustindentu.htm" TargetMode="External"/><Relationship Id="rId199" Type="http://schemas.openxmlformats.org/officeDocument/2006/relationships/hyperlink" Target="https://www.sec.gov/Archives/edgar/data/1805077/000121390023003803/ea171786ex4-1_eosenergy.htm" TargetMode="External"/><Relationship Id="rId200" Type="http://schemas.openxmlformats.org/officeDocument/2006/relationships/hyperlink" Target="https://www.sec.gov/Archives/edgar/data/1805077/000121390023029963/ea176960ex4-1_eosenergy.htm" TargetMode="External"/><Relationship Id="rId201" Type="http://schemas.openxmlformats.org/officeDocument/2006/relationships/hyperlink" Target="https://www.sec.gov/Archives/edgar/data/1805077/000121390023040885/ea178742ex4-1_eosenergy.htm" TargetMode="External"/><Relationship Id="rId202" Type="http://schemas.openxmlformats.org/officeDocument/2006/relationships/hyperlink" Target="https://www.sec.gov/Archives/edgar/data/1805077/000121390023043181/ea179302ex4-1_eosenergy.htm" TargetMode="External"/><Relationship Id="rId203" Type="http://schemas.openxmlformats.org/officeDocument/2006/relationships/hyperlink" Target="https://www.sec.gov/Archives/edgar/data/1805077/000121390023096155/ea190132ex4-1_eosenergy.htm" TargetMode="External"/><Relationship Id="rId204" Type="http://schemas.openxmlformats.org/officeDocument/2006/relationships/hyperlink" Target="https://www.sec.gov/Archives/edgar/data/1805077/000121390020038551/ea130208ex10-8_eosenergy.htm" TargetMode="External"/><Relationship Id="rId205" Type="http://schemas.openxmlformats.org/officeDocument/2006/relationships/hyperlink" Target="https://www.sec.gov/Archives/edgar/data/1805077/000121390020038551/ea130208ex10-10_eosenergy.htm" TargetMode="External"/><Relationship Id="rId208" Type="http://schemas.openxmlformats.org/officeDocument/2006/relationships/hyperlink" Target="https://www.sec.gov/Archives/edgar/data/1805077/000121390020038551/ea130208ex10-13_eosenergy.htm" TargetMode="External"/><Relationship Id="rId209" Type="http://schemas.openxmlformats.org/officeDocument/2006/relationships/hyperlink" Target="https://www.sec.gov/Archives/edgar/data/1805077/000162828021003738/employmentagreement.htm" TargetMode="External"/><Relationship Id="rId210" Type="http://schemas.openxmlformats.org/officeDocument/2006/relationships/hyperlink" Target="https://www.sec.gov/Archives/edgar/data/0001805077/000162828021009566/a401rightsagreement.htm" TargetMode="External"/><Relationship Id="rId211" Type="http://schemas.openxmlformats.org/officeDocument/2006/relationships/hyperlink" Target="https://www.sec.gov/Archives/edgar/data/0001805077/000162828021009566/a402rightsagreement.htm" TargetMode="External"/><Relationship Id="rId212" Type="http://schemas.openxmlformats.org/officeDocument/2006/relationships/hyperlink" Target="https://www.sec.gov/Archives/edgar/data/0001805077/000162828021013617/ex-101eoseinvestmentagreem.htm" TargetMode="External"/><Relationship Id="rId213" Type="http://schemas.openxmlformats.org/officeDocument/2006/relationships/hyperlink" Target="https://www.sec.gov/Archives/edgar/data/0001805077/000162828021019632/ex101-trinitymefa.htm" TargetMode="External"/><Relationship Id="rId214" Type="http://schemas.openxmlformats.org/officeDocument/2006/relationships/hyperlink" Target="https://www.sec.gov/Archives/edgar/data/0001805077/000162828021019632/ex102-trinityguaranty.htm" TargetMode="External"/><Relationship Id="rId215" Type="http://schemas.openxmlformats.org/officeDocument/2006/relationships/hyperlink" Target="https://www.sec.gov/Archives/edgar/data/0001805077/000162828021025052/separationagreement12-13x2.htm" TargetMode="External"/><Relationship Id="rId216" Type="http://schemas.openxmlformats.org/officeDocument/2006/relationships/hyperlink" Target="https://www.sec.gov/Archives/edgar/data/1805077/000162828022013296/joinderagreement_kochx05.htm" TargetMode="External"/><Relationship Id="rId217" Type="http://schemas.openxmlformats.org/officeDocument/2006/relationships/hyperlink" Target="https://www.sec.gov/Archives/edgar/data/1805077/000162828022021392/ex102cowensalesagreement.htm" TargetMode="External"/><Relationship Id="rId218" Type="http://schemas.openxmlformats.org/officeDocument/2006/relationships/hyperlink" Target="https://www.sec.gov/Archives/edgar/data/1805077/000162828022024648/ex101amendeddirectorcomppo.htm" TargetMode="External"/><Relationship Id="rId221" Type="http://schemas.openxmlformats.org/officeDocument/2006/relationships/hyperlink" Target="https://www.sec.gov/Archives/edgar/data/1805077/000095010323000842/dp187337_ex1001.htm" TargetMode="External"/><Relationship Id="rId222" Type="http://schemas.openxmlformats.org/officeDocument/2006/relationships/hyperlink" Target="https://www.sec.gov/Archives/edgar/data/1805077/000095010323000842/dp187337_ex1002.htm" TargetMode="External"/><Relationship Id="rId223" Type="http://schemas.openxmlformats.org/officeDocument/2006/relationships/hyperlink" Target="https://www.sec.gov/Archives/edgar/data/1805077/000121390023003803/ea171786ex10-1_eosenergy.htm" TargetMode="External"/><Relationship Id="rId224" Type="http://schemas.openxmlformats.org/officeDocument/2006/relationships/hyperlink" Target="https://www.sec.gov/Archives/edgar/data/1805077/000121390023003803/ea171786ex10-2_eosenergy.htm" TargetMode="External"/><Relationship Id="rId225" Type="http://schemas.openxmlformats.org/officeDocument/2006/relationships/hyperlink" Target="https://www.sec.gov/Archives/edgar/data/1805077/000121390023029963/ea176960ex10-1_eosenergy.htm" TargetMode="External"/><Relationship Id="rId226" Type="http://schemas.openxmlformats.org/officeDocument/2006/relationships/hyperlink" Target="https://www.sec.gov/Archives/edgar/data/1805077/000121390023040885/ea178742ex10-1_eosenergy.htm" TargetMode="External"/><Relationship Id="rId227" Type="http://schemas.openxmlformats.org/officeDocument/2006/relationships/hyperlink" Target="https://www.sec.gov/Archives/edgar/data/1805077/000162828023030426/amendment1tocommonstocksal.htm" TargetMode="External"/><Relationship Id="rId228" Type="http://schemas.openxmlformats.org/officeDocument/2006/relationships/hyperlink" Target="https://www.sec.gov/Archives/edgar/data/1805077/000162828023030426/acrosupplyagreement-0823.htm" TargetMode="External"/><Relationship Id="rId229" Type="http://schemas.openxmlformats.org/officeDocument/2006/relationships/hyperlink" Target="https://www.sec.gov/Archives/edgar/data/1805077/000180507723000030/eosemploymentagreement_p.htm" TargetMode="External"/><Relationship Id="rId230" Type="http://schemas.openxmlformats.org/officeDocument/2006/relationships/hyperlink" Target="https://www.sec.gov/Archives/edgar/data/1805077/000180507724000013/a202401_eostransitionand.htm" TargetMode="External"/><Relationship Id="rId233" Type="http://schemas.openxmlformats.org/officeDocument/2006/relationships/hyperlink" Target="https://www.sec.gov/Archives/edgar/data/1805077/000180507724000013/a202401_employmentagreem.htm" TargetMode="External"/><Relationship Id="rId234" Type="http://schemas.openxmlformats.org/officeDocument/2006/relationships/hyperlink" Target="https://www.sec.gov/Archives/edgar/data/1805077/000162828022017471/firstamendmenttothe2020inc.htm" TargetMode="External"/><Relationship Id="rId235" Type="http://schemas.openxmlformats.org/officeDocument/2006/relationships/hyperlink" Target="https://www.sec.gov/Archives/edgar/data/1805077/000180507723000025/a2023secondamendmentto2020.htm" TargetMode="External"/><Relationship Id="rId236" Type="http://schemas.openxmlformats.org/officeDocument/2006/relationships/hyperlink" Target="https://www.sec.gov/Archives/edgar/data/1805077/000180507724000002/ex101tetraagreement.htm" TargetMode="External"/><Relationship Id="rId237" Type="http://schemas.openxmlformats.org/officeDocument/2006/relationships/hyperlink" Target="https://www.sec.gov/Archives/edgar/data/1805077/000180507724000007/shpp_hi-powerpricingagmt.htm" TargetMode="External"/><Relationship Id="rId238" Type="http://schemas.openxmlformats.org/officeDocument/2006/relationships/hyperlink" Target="https://www.sec.gov/Archives/edgar/data/1805077/000180507724000051/thirdamendmenttoamendeda.htm" TargetMode="External"/><Relationship Id="rId239" Type="http://schemas.openxmlformats.org/officeDocument/2006/relationships/hyperlink" Target="https://www.sec.gov/Archives/edgar/data/1805077/000121390024054998/ea020831801ex10-1_eosener.htm" TargetMode="External"/><Relationship Id="rId240" Type="http://schemas.openxmlformats.org/officeDocument/2006/relationships/hyperlink" Target="https://www.sec.gov/Archives/edgar/data/1805077/000121390024054998/ea020831801ex10-2_eosener.htm" TargetMode="External"/><Relationship Id="rId241" Type="http://schemas.openxmlformats.org/officeDocument/2006/relationships/hyperlink" Target="https://www.sec.gov/Archives/edgar/data/1805077/000121390024054998/ea020831801ex10-3_eosener.htm" TargetMode="External"/><Relationship Id="rId242" Type="http://schemas.openxmlformats.org/officeDocument/2006/relationships/hyperlink" Target="https://www.sec.gov/Archives/edgar/data/1805077/000121390024054998/ea020831801ex10-4_eosener.htm" TargetMode="External"/><Relationship Id="rId243" Type="http://schemas.openxmlformats.org/officeDocument/2006/relationships/hyperlink" Target="https://www.sec.gov/Archives/edgar/data/1805077/000121390024054998/ea020831801ex10-5_eosener.htm" TargetMode="External"/><Relationship Id="rId246" Type="http://schemas.openxmlformats.org/officeDocument/2006/relationships/hyperlink" Target="https://www.sec.gov/Archives/edgar/data/1805077/000121390024054998/ea020831801ex10-6_eosener.htm" TargetMode="External"/><Relationship Id="rId247" Type="http://schemas.openxmlformats.org/officeDocument/2006/relationships/hyperlink" Target="https://www.sec.gov/Archives/edgar/data/1805077/000101376224002731/ea021030601ex10-1_eosener.htm" TargetMode="External"/><Relationship Id="rId248" Type="http://schemas.openxmlformats.org/officeDocument/2006/relationships/hyperlink" Target="https://www.sec.gov/Archives/edgar/data/1805077/000180507724000094/eosrsuawardagreementempl.htm" TargetMode="External"/><Relationship Id="rId249" Type="http://schemas.openxmlformats.org/officeDocument/2006/relationships/hyperlink" Target="https://www.sec.gov/Archives/edgar/data/1805077/000180507724000094/eosrsuawardagreementperf.htm" TargetMode="External"/><Relationship Id="rId250" Type="http://schemas.openxmlformats.org/officeDocument/2006/relationships/hyperlink" Target="https://www.sec.gov/Archives/edgar/data/1805077/000180507724000094/eosrsuawardagreementtime.htm" TargetMode="External"/><Relationship Id="rId251" Type="http://schemas.openxmlformats.org/officeDocument/2006/relationships/hyperlink" Target="https://www.sec.gov/Archives/edgar/data/1805077/000180507724000094/esodirectoroptionagreeme.htm" TargetMode="External"/><Relationship Id="rId252" Type="http://schemas.openxmlformats.org/officeDocument/2006/relationships/hyperlink" Target="https://www.sec.gov/Archives/edgar/data/1805077/000180507724000094/executiversuagreement_te.htm" TargetMode="External"/><Relationship Id="rId253" Type="http://schemas.openxmlformats.org/officeDocument/2006/relationships/hyperlink" Target="https://www.sec.gov/Archives/edgar/data/1805077/000180507724000094/standardrsu-rsu3yrvest.htm" TargetMode="External"/><Relationship Id="rId254" Type="http://schemas.openxmlformats.org/officeDocument/2006/relationships/hyperlink" Target="https://www.sec.gov/Archives/edgar/data/1805077/000121390024104809/ea022332901ex10-1_eos.htm" TargetMode="External"/><Relationship Id="rId257" Type="http://schemas.openxmlformats.org/officeDocument/2006/relationships/hyperlink" Target="https://www.sec.gov/Archives/edgar/data/1805077/000121390024104809/ea022332901ex10-2_eos.htm" TargetMode="External"/><Relationship Id="rId258" Type="http://schemas.openxmlformats.org/officeDocument/2006/relationships/hyperlink" Target="https://www.sec.gov/Archives/edgar/data/1805077/000121390024104809/ea022332901ex10-3_eos.htm" TargetMode="External"/><Relationship Id="rId259" Type="http://schemas.openxmlformats.org/officeDocument/2006/relationships/hyperlink" Target="https://www.sec.gov/Archives/edgar/data/1805077/000121390024104809/ea022332901ex10-4_eos.htm" TargetMode="External"/><Relationship Id="rId260" Type="http://schemas.openxmlformats.org/officeDocument/2006/relationships/hyperlink" Target="https://www.sec.gov/Archives/edgar/data/1805077/000162828023005647/ex211-2022subsidiariesofth.htm" TargetMode="External"/><Relationship Id="rId263" Type="http://schemas.openxmlformats.org/officeDocument/2006/relationships/hyperlink" Target="https://www.sec.gov/Archives/edgar/data/1805077/000180507724000013/eosenergyenterprisescla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2025-03-04T15:50:32Z</dcterms:created>
  <dcterms:modified xsi:type="dcterms:W3CDTF">2025-03-04T15:50:32Z</dcterms:modified>
</cp:coreProperties>
</file>