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rPr>
        <w:t>For the transition period from  </w:t>
      </w:r>
      <w:r>
        <w:rPr>
          <w:color w:val="000000"/>
          <w:u w:val="single"/>
        </w:rPr>
        <w:t xml:space="preserve"> </w:t>
      </w:r>
      <w:r>
        <w:rPr>
          <w:rFonts w:ascii="Times New Roman;sans-serif" w:hAnsi="Times New Roman;sans-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001-39291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p>
      <w:pPr>
        <w:pStyle w:val="TextBody"/>
        <w:bidi w:val="0"/>
        <w:spacing w:lineRule="auto" w:line="288" w:before="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tbl>
      <w:tblPr>
        <w:tblW w:w="9031" w:type="dxa"/>
        <w:jc w:val="left"/>
        <w:tblInd w:w="0" w:type="dxa"/>
        <w:tblLayout w:type="fixed"/>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3920 Park Avenue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Edison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NJ</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08820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(732) 225-8400</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5"/>
        <w:gridCol w:w="1501"/>
        <w:gridCol w:w="1518"/>
        <w:gridCol w:w="560"/>
        <w:gridCol w:w="560"/>
        <w:gridCol w:w="562"/>
        <w:gridCol w:w="1107"/>
        <w:gridCol w:w="1107"/>
        <w:gridCol w:w="1575"/>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t>
            </w:r>
          </w:p>
        </w:tc>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common stock</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w:t>
            </w:r>
          </w:p>
        </w:tc>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227,589,833 shares of common stock as of May 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5"/>
        <w:gridCol w:w="224"/>
        <w:gridCol w:w="225"/>
        <w:gridCol w:w="2984"/>
        <w:gridCol w:w="2984"/>
        <w:gridCol w:w="2989"/>
        <w:gridCol w:w="158"/>
        <w:gridCol w:w="158"/>
        <w:gridCol w:w="22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3">
              <w:r>
                <w:rPr>
                  <w:rStyle w:val="InternetLink"/>
                  <w:rFonts w:ascii="Times New Roman;sans-serif" w:hAnsi="Times New Roman;sans-serif"/>
                  <w:b w:val="false"/>
                  <w:strike w:val="false"/>
                  <w:dstrike w:val="false"/>
                  <w:color w:val="000000"/>
                  <w:sz w:val="20"/>
                  <w:u w:val="none"/>
                  <w:effect w:val="none"/>
                </w:rPr>
                <w:t>PART I - FINANCIAL INFORMATION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6">
              <w:r>
                <w:rPr>
                  <w:rStyle w:val="InternetLink"/>
                  <w:rFonts w:ascii="Times New Roman;sans-serif" w:hAnsi="Times New Roman;sans-serif"/>
                  <w:b w:val="false"/>
                  <w:strike w:val="false"/>
                  <w:dstrike w:val="false"/>
                  <w:color w:val="000000"/>
                  <w:sz w:val="20"/>
                  <w:u w:val="none"/>
                  <w:effect w:val="none"/>
                </w:rPr>
                <w:t xml:space="preserve">Item 1. </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6">
              <w:r>
                <w:rPr>
                  <w:rStyle w:val="InternetLink"/>
                  <w:rFonts w:ascii="Times New Roman;sans-serif" w:hAnsi="Times New Roman;sans-serif"/>
                  <w:b w:val="false"/>
                  <w:strike w:val="false"/>
                  <w:dstrike w:val="false"/>
                  <w:color w:val="000000"/>
                  <w:sz w:val="20"/>
                  <w:u w:val="none"/>
                  <w:effect w:val="none"/>
                </w:rPr>
                <w:t xml:space="preserve">Financial Statements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6">
              <w:r>
                <w:rPr>
                  <w:rStyle w:val="InternetLink"/>
                  <w:rFonts w:ascii="Times New Roman;sans-serif" w:hAnsi="Times New Roman;sans-serif"/>
                  <w:b w:val="false"/>
                  <w:strike w:val="false"/>
                  <w:dstrike w:val="false"/>
                  <w:color w:val="000000"/>
                  <w:sz w:val="20"/>
                  <w:u w:val="none"/>
                  <w:effect w:val="none"/>
                </w:rPr>
                <w:t>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d261d55663d4128a945e54e47988615_19">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March 31, 2025</w:t>
            </w:r>
            <w:hyperlink w:anchor="i8d261d55663d4128a945e54e47988615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9">
              <w:r>
                <w:rPr>
                  <w:rStyle w:val="InternetLink"/>
                  <w:rFonts w:ascii="Times New Roman;sans-serif" w:hAnsi="Times New Roman;sans-serif"/>
                  <w:b w:val="false"/>
                  <w:strike w:val="false"/>
                  <w:dstrike w:val="false"/>
                  <w:color w:val="000000"/>
                  <w:sz w:val="20"/>
                  <w:u w:val="none"/>
                  <w:effect w:val="none"/>
                </w:rPr>
                <w:t>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d261d55663d4128a945e54e47988615_22">
              <w:r>
                <w:rPr>
                  <w:rStyle w:val="InternetLink"/>
                  <w:rFonts w:ascii="Times New Roman;sans-serif" w:hAnsi="Times New Roman;sans-serif"/>
                  <w:b w:val="false"/>
                  <w:strike w:val="false"/>
                  <w:dstrike w:val="false"/>
                  <w:color w:val="000080"/>
                  <w:sz w:val="20"/>
                  <w:u w:val="single"/>
                  <w:effect w:val="none"/>
                </w:rPr>
                <w:t>Condensed Consolidated Statements of Operations and Comprehensive</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 xml:space="preserve"> Income</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 xml:space="preserve"> </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Loss</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 xml:space="preserve"> </w:t>
              </w:r>
            </w:hyperlink>
            <w:hyperlink w:anchor="i8d261d55663d4128a945e54e47988615_22">
              <w:r>
                <w:rPr>
                  <w:rStyle w:val="InternetLink"/>
                  <w:rFonts w:ascii="Times New Roman;sans-serif" w:hAnsi="Times New Roman;sans-serif"/>
                  <w:b w:val="false"/>
                  <w:strike w:val="false"/>
                  <w:dstrike w:val="false"/>
                  <w:color w:val="000080"/>
                  <w:sz w:val="20"/>
                  <w:u w:val="single"/>
                  <w:effect w:val="none"/>
                </w:rPr>
                <w:t xml:space="preserve">for the </w:t>
              </w:r>
            </w:hyperlink>
            <w:r>
              <w:rPr>
                <w:rFonts w:ascii="Times New Roman;sans-serif" w:hAnsi="Times New Roman;sans-serif"/>
                <w:b w:val="false"/>
                <w:color w:val="000000"/>
                <w:sz w:val="20"/>
              </w:rPr>
              <w:t>Three</w:t>
            </w:r>
            <w:hyperlink w:anchor="i8d261d55663d4128a945e54e47988615_22">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2025</w:t>
            </w:r>
            <w:hyperlink w:anchor="i8d261d55663d4128a945e54e47988615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2024</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22">
              <w:r>
                <w:rPr>
                  <w:rStyle w:val="InternetLink"/>
                  <w:rFonts w:ascii="Times New Roman;sans-serif" w:hAnsi="Times New Roman;sans-serif"/>
                  <w:b w:val="false"/>
                  <w:strike w:val="false"/>
                  <w:dstrike w:val="false"/>
                  <w:color w:val="000000"/>
                  <w:sz w:val="20"/>
                  <w:u w:val="none"/>
                  <w:effect w:val="none"/>
                </w:rPr>
                <w:t>6</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d261d55663d4128a945e54e47988615_25">
              <w:r>
                <w:rPr>
                  <w:rStyle w:val="InternetLink"/>
                  <w:rFonts w:ascii="Times New Roman;sans-serif" w:hAnsi="Times New Roman;sans-serif"/>
                  <w:b w:val="false"/>
                  <w:strike w:val="false"/>
                  <w:dstrike w:val="false"/>
                  <w:color w:val="000000"/>
                  <w:sz w:val="20"/>
                  <w:u w:val="none"/>
                  <w:effect w:val="none"/>
                </w:rPr>
                <w:t xml:space="preserve">Condensed Consolidated Statements of Shareholders’ Deficit for the </w:t>
              </w:r>
            </w:hyperlink>
            <w:r>
              <w:rPr>
                <w:rFonts w:ascii="Times New Roman;sans-serif" w:hAnsi="Times New Roman;sans-serif"/>
                <w:b w:val="false"/>
                <w:color w:val="000000"/>
                <w:sz w:val="20"/>
              </w:rPr>
              <w:t>Three</w:t>
            </w:r>
            <w:hyperlink w:anchor="i8d261d55663d4128a945e54e47988615_25">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 xml:space="preserve">March 31, 2025 </w:t>
            </w:r>
            <w:hyperlink w:anchor="i8d261d55663d4128a945e54e47988615_22">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2024</w:t>
            </w:r>
            <w:hyperlink w:anchor="i8d261d55663d4128a945e54e47988615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25">
              <w:r>
                <w:rPr>
                  <w:rStyle w:val="InternetLink"/>
                  <w:rFonts w:ascii="Times New Roman;sans-serif" w:hAnsi="Times New Roman;sans-serif"/>
                  <w:b w:val="false"/>
                  <w:strike w:val="false"/>
                  <w:dstrike w:val="false"/>
                  <w:color w:val="000000"/>
                  <w:sz w:val="20"/>
                  <w:u w:val="none"/>
                  <w:effect w:val="none"/>
                </w:rPr>
                <w:t>7</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28">
              <w:r>
                <w:rPr>
                  <w:rStyle w:val="InternetLink"/>
                  <w:rFonts w:ascii="Times New Roman;sans-serif" w:hAnsi="Times New Roman;sans-serif"/>
                  <w:b w:val="false"/>
                  <w:strike w:val="false"/>
                  <w:dstrike w:val="false"/>
                  <w:color w:val="000080"/>
                  <w:sz w:val="20"/>
                  <w:u w:val="single"/>
                  <w:effect w:val="none"/>
                </w:rPr>
                <w:t>Unaudited Condensed Consolidated Statements of Cash Flows for t</w:t>
              </w:r>
            </w:hyperlink>
            <w:hyperlink w:anchor="i8d261d55663d4128a945e54e47988615_28">
              <w:r>
                <w:rPr>
                  <w:rStyle w:val="InternetLink"/>
                  <w:rFonts w:ascii="Times New Roman;sans-serif" w:hAnsi="Times New Roman;sans-serif"/>
                  <w:b w:val="false"/>
                  <w:strike w:val="false"/>
                  <w:dstrike w:val="false"/>
                  <w:color w:val="000080"/>
                  <w:sz w:val="20"/>
                  <w:u w:val="single"/>
                  <w:effect w:val="none"/>
                </w:rPr>
                <w:t>he</w:t>
              </w:r>
            </w:hyperlink>
            <w:r>
              <w:rPr>
                <w:rFonts w:ascii="Times New Roman;sans-serif" w:hAnsi="Times New Roman;sans-serif"/>
                <w:b w:val="false"/>
                <w:color w:val="000000"/>
                <w:sz w:val="20"/>
              </w:rPr>
              <w:t xml:space="preserve"> Three Months Ended March 31, 2025 and 2024</w:t>
            </w:r>
            <w:hyperlink w:anchor="i8d261d55663d4128a945e54e47988615_28">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28">
              <w:r>
                <w:rPr>
                  <w:rStyle w:val="InternetLink"/>
                  <w:rFonts w:ascii="Times New Roman;sans-serif" w:hAnsi="Times New Roman;sans-serif"/>
                  <w:b w:val="false"/>
                  <w:strike w:val="false"/>
                  <w:dstrike w:val="false"/>
                  <w:color w:val="000000"/>
                  <w:sz w:val="20"/>
                  <w:u w:val="none"/>
                  <w:effect w:val="none"/>
                </w:rPr>
                <w:t>8</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31">
              <w:r>
                <w:rPr>
                  <w:rStyle w:val="InternetLink"/>
                  <w:rFonts w:ascii="Times New Roman;sans-serif" w:hAnsi="Times New Roman;sans-serif"/>
                  <w:b w:val="false"/>
                  <w:strike w:val="false"/>
                  <w:dstrike w:val="false"/>
                  <w:color w:val="000000"/>
                  <w:sz w:val="20"/>
                  <w:u w:val="none"/>
                  <w:effect w:val="none"/>
                </w:rPr>
                <w:t>Notes to the Unaudited Condensed Consolidated Financial Statements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31">
              <w:r>
                <w:rPr>
                  <w:rStyle w:val="InternetLink"/>
                  <w:rFonts w:ascii="Times New Roman;sans-serif" w:hAnsi="Times New Roman;sans-serif"/>
                  <w:b w:val="false"/>
                  <w:strike w:val="false"/>
                  <w:dstrike w:val="false"/>
                  <w:color w:val="000000"/>
                  <w:sz w:val="20"/>
                  <w:u w:val="none"/>
                  <w:effect w:val="none"/>
                </w:rPr>
                <w:t>10</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03">
              <w:r>
                <w:rPr>
                  <w:rStyle w:val="InternetLink"/>
                  <w:rFonts w:ascii="Times New Roman;sans-serif" w:hAnsi="Times New Roman;sans-serif"/>
                  <w:b w:val="false"/>
                  <w:strike w:val="false"/>
                  <w:dstrike w:val="false"/>
                  <w:color w:val="000000"/>
                  <w:sz w:val="20"/>
                  <w:u w:val="none"/>
                  <w:effect w:val="none"/>
                </w:rPr>
                <w:t>Item 2.</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03">
              <w:r>
                <w:rPr>
                  <w:rStyle w:val="InternetLink"/>
                  <w:rFonts w:ascii="Times New Roman;sans-serif" w:hAnsi="Times New Roman;sans-serif"/>
                  <w:b w:val="false"/>
                  <w:strike w:val="false"/>
                  <w:dstrike w:val="false"/>
                  <w:color w:val="000000"/>
                  <w:sz w:val="20"/>
                  <w:u w:val="none"/>
                  <w:effect w:val="none"/>
                </w:rPr>
                <w:t>Management</w:t>
              </w:r>
            </w:hyperlink>
            <w:r>
              <w:rPr>
                <w:rFonts w:ascii="Times New Roman;sans-serif" w:hAnsi="Times New Roman;sans-serif"/>
                <w:b w:val="false"/>
                <w:color w:val="000000"/>
                <w:sz w:val="20"/>
              </w:rPr>
              <w:t>’</w:t>
            </w:r>
            <w:hyperlink w:anchor="i8d261d55663d4128a945e54e47988615_103">
              <w:r>
                <w:rPr>
                  <w:rStyle w:val="InternetLink"/>
                  <w:rFonts w:ascii="Times New Roman;sans-serif" w:hAnsi="Times New Roman;sans-serif"/>
                  <w:b w:val="false"/>
                  <w:strike w:val="false"/>
                  <w:dstrike w:val="false"/>
                  <w:color w:val="000000"/>
                  <w:sz w:val="20"/>
                  <w:u w:val="none"/>
                  <w:effect w:val="none"/>
                </w:rPr>
                <w: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03">
              <w:r>
                <w:rPr>
                  <w:rStyle w:val="InternetLink"/>
                  <w:rFonts w:ascii="Times New Roman;sans-serif" w:hAnsi="Times New Roman;sans-serif"/>
                  <w:b w:val="false"/>
                  <w:strike w:val="false"/>
                  <w:dstrike w:val="false"/>
                  <w:color w:val="000000"/>
                  <w:sz w:val="20"/>
                  <w:u w:val="none"/>
                  <w:effect w:val="none"/>
                </w:rPr>
                <w:t>44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27">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27">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27">
              <w:r>
                <w:rPr>
                  <w:rStyle w:val="InternetLink"/>
                  <w:rFonts w:ascii="Times New Roman;sans-serif" w:hAnsi="Times New Roman;sans-serif"/>
                  <w:b w:val="false"/>
                  <w:strike w:val="false"/>
                  <w:dstrike w:val="false"/>
                  <w:color w:val="000000"/>
                  <w:sz w:val="20"/>
                  <w:u w:val="none"/>
                  <w:effect w:val="none"/>
                </w:rPr>
                <w:t>52</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0">
              <w:r>
                <w:rPr>
                  <w:rStyle w:val="InternetLink"/>
                  <w:rFonts w:ascii="Times New Roman;sans-serif" w:hAnsi="Times New Roman;sans-serif"/>
                  <w:b w:val="false"/>
                  <w:strike w:val="false"/>
                  <w:dstrike w:val="false"/>
                  <w:color w:val="000000"/>
                  <w:sz w:val="20"/>
                  <w:u w:val="none"/>
                  <w:effect w:val="none"/>
                </w:rPr>
                <w:t xml:space="preserve">Item 4. </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0">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30">
              <w:r>
                <w:rPr>
                  <w:rStyle w:val="InternetLink"/>
                  <w:rFonts w:ascii="Times New Roman;sans-serif" w:hAnsi="Times New Roman;sans-serif"/>
                  <w:b w:val="false"/>
                  <w:strike w:val="false"/>
                  <w:dstrike w:val="false"/>
                  <w:color w:val="000000"/>
                  <w:sz w:val="20"/>
                  <w:u w:val="none"/>
                  <w:effect w:val="none"/>
                </w:rPr>
                <w:t>52</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33">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6">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 xml:space="preserve">1. </w:t>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6">
              <w:r>
                <w:rPr>
                  <w:rStyle w:val="InternetLink"/>
                  <w:rFonts w:ascii="Times New Roman;sans-serif" w:hAnsi="Times New Roman;sans-serif"/>
                  <w:b w:val="false"/>
                  <w:strike w:val="false"/>
                  <w:dstrike w:val="false"/>
                  <w:color w:val="000000"/>
                  <w:sz w:val="20"/>
                  <w:u w:val="none"/>
                  <w:effect w:val="non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36">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9">
              <w:r>
                <w:rPr>
                  <w:rStyle w:val="InternetLink"/>
                  <w:rFonts w:ascii="Times New Roman;sans-serif" w:hAnsi="Times New Roman;sans-serif"/>
                  <w:b w:val="false"/>
                  <w:strike w:val="false"/>
                  <w:dstrike w:val="false"/>
                  <w:color w:val="000000"/>
                  <w:sz w:val="20"/>
                  <w:u w:val="none"/>
                  <w:effect w:val="none"/>
                </w:rPr>
                <w:t xml:space="preserve">Item 1a. </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39">
              <w:r>
                <w:rPr>
                  <w:rStyle w:val="InternetLink"/>
                  <w:rFonts w:ascii="Times New Roman;sans-serif" w:hAnsi="Times New Roman;sans-serif"/>
                  <w:b w:val="false"/>
                  <w:strike w:val="false"/>
                  <w:dstrike w:val="false"/>
                  <w:color w:val="000000"/>
                  <w:sz w:val="20"/>
                  <w:u w:val="none"/>
                  <w:effect w:val="none"/>
                </w:rPr>
                <w:t>Risk Factors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39">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2">
              <w:r>
                <w:rPr>
                  <w:rStyle w:val="InternetLink"/>
                  <w:rFonts w:ascii="Times New Roman;sans-serif" w:hAnsi="Times New Roman;sans-serif"/>
                  <w:b w:val="false"/>
                  <w:strike w:val="false"/>
                  <w:dstrike w:val="false"/>
                  <w:color w:val="000000"/>
                  <w:sz w:val="20"/>
                  <w:u w:val="none"/>
                  <w:effect w:val="none"/>
                </w:rPr>
                <w:t xml:space="preserve">Item 2. </w:t>
              </w:r>
            </w:hyperlink>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2">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42">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5">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5">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45">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8">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 xml:space="preserve">. </w:t>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4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48">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51">
              <w:r>
                <w:rPr>
                  <w:rStyle w:val="InternetLink"/>
                  <w:rFonts w:ascii="Times New Roman;sans-serif" w:hAnsi="Times New Roman;sans-serif"/>
                  <w:b w:val="false"/>
                  <w:strike w:val="false"/>
                  <w:dstrike w:val="false"/>
                  <w:color w:val="000000"/>
                  <w:sz w:val="20"/>
                  <w:u w:val="none"/>
                  <w:effect w:val="none"/>
                </w:rPr>
                <w:t xml:space="preserve">Item 5. </w:t>
              </w:r>
            </w:hyperlink>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51">
              <w:r>
                <w:rPr>
                  <w:rStyle w:val="InternetLink"/>
                  <w:rFonts w:ascii="Times New Roman;sans-serif" w:hAnsi="Times New Roman;sans-serif"/>
                  <w:b w:val="false"/>
                  <w:strike w:val="false"/>
                  <w:dstrike w:val="false"/>
                  <w:color w:val="000000"/>
                  <w:sz w:val="20"/>
                  <w:u w:val="none"/>
                  <w:effect w:val="none"/>
                </w:rPr>
                <w:t>Other Information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51">
              <w:r>
                <w:rPr>
                  <w:rStyle w:val="InternetLink"/>
                  <w:rFonts w:ascii="Times New Roman;sans-serif" w:hAnsi="Times New Roman;sans-serif"/>
                  <w:b w:val="false"/>
                  <w:strike w:val="false"/>
                  <w:dstrike w:val="false"/>
                  <w:color w:val="000000"/>
                  <w:sz w:val="20"/>
                  <w:u w:val="none"/>
                  <w:effect w:val="none"/>
                </w:rPr>
                <w:t>54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54">
              <w:r>
                <w:rPr>
                  <w:rStyle w:val="InternetLink"/>
                  <w:rFonts w:ascii="Times New Roman;sans-serif" w:hAnsi="Times New Roman;sans-serif"/>
                  <w:b w:val="false"/>
                  <w:strike w:val="false"/>
                  <w:dstrike w:val="false"/>
                  <w:color w:val="000000"/>
                  <w:sz w:val="20"/>
                  <w:u w:val="none"/>
                  <w:effect w:val="none"/>
                </w:rPr>
                <w:t xml:space="preserve">Item 6. </w:t>
              </w:r>
            </w:hyperlink>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54">
              <w:r>
                <w:rPr>
                  <w:rStyle w:val="InternetLink"/>
                  <w:rFonts w:ascii="Times New Roman;sans-serif" w:hAnsi="Times New Roman;sans-serif"/>
                  <w:b w:val="false"/>
                  <w:strike w:val="false"/>
                  <w:dstrike w:val="false"/>
                  <w:color w:val="000000"/>
                  <w:sz w:val="20"/>
                  <w:u w:val="none"/>
                  <w:effect w:val="none"/>
                </w:rPr>
                <w:t>Exhibits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54">
              <w:r>
                <w:rPr>
                  <w:rStyle w:val="InternetLink"/>
                  <w:rFonts w:ascii="Times New Roman;sans-serif" w:hAnsi="Times New Roman;sans-serif"/>
                  <w:b w:val="false"/>
                  <w:strike w:val="false"/>
                  <w:dstrike w:val="false"/>
                  <w:color w:val="000000"/>
                  <w:sz w:val="20"/>
                  <w:u w:val="none"/>
                  <w:effect w:val="none"/>
                </w:rPr>
                <w:t>56</w:t>
              </w:r>
            </w:hyperlink>
          </w:p>
        </w:tc>
      </w:tr>
      <w:tr>
        <w:trPr/>
        <w:tc>
          <w:tcPr>
            <w:tcW w:w="96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261d55663d4128a945e54e47988615_157">
              <w:r>
                <w:rPr>
                  <w:rStyle w:val="InternetLink"/>
                  <w:rFonts w:ascii="Times New Roman;sans-serif" w:hAnsi="Times New Roman;sans-serif"/>
                  <w:b w:val="false"/>
                  <w:strike w:val="false"/>
                  <w:dstrike w:val="false"/>
                  <w:color w:val="000000"/>
                  <w:sz w:val="20"/>
                  <w:u w:val="none"/>
                  <w:effect w:val="none"/>
                </w:rPr>
                <w:t>Signatures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d261d55663d4128a945e54e47988615_157">
              <w:r>
                <w:rPr>
                  <w:rStyle w:val="InternetLink"/>
                  <w:rFonts w:ascii="Times New Roman;sans-serif" w:hAnsi="Times New Roman;sans-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ans-serif" w:hAnsi="Times New Roman;sans-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the Credit Agreement (defined below), including risks of default, dilution of outstanding common stock, consequences for failure to meet milestones and contractual lockup of shares;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amount of final tax credits available to our customers or to Eos pursuant to the Inflation Reduction Act;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timing and availability of future funding under the Department of Energy Loan Facility;</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continue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changes in applicable laws or regulations; and</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other factors detailed under the section titled “Risk Factors”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disclosures contained in the Company’s Annual Report on Form 10-K for the year ended December 31, 2024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62" w:type="dxa"/>
        <w:jc w:val="center"/>
        <w:tblInd w:w="0" w:type="dxa"/>
        <w:tblLayout w:type="fixed"/>
        <w:tblCellMar>
          <w:top w:w="28" w:type="dxa"/>
          <w:left w:w="28" w:type="dxa"/>
          <w:bottom w:w="28" w:type="dxa"/>
          <w:right w:w="28" w:type="dxa"/>
        </w:tblCellMar>
      </w:tblPr>
      <w:tblGrid>
        <w:gridCol w:w="1188"/>
        <w:gridCol w:w="1047"/>
        <w:gridCol w:w="1050"/>
        <w:gridCol w:w="211"/>
        <w:gridCol w:w="826"/>
        <w:gridCol w:w="109"/>
        <w:gridCol w:w="109"/>
        <w:gridCol w:w="109"/>
        <w:gridCol w:w="109"/>
        <w:gridCol w:w="231"/>
        <w:gridCol w:w="905"/>
        <w:gridCol w:w="168"/>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commitment assets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liability,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payable - related party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842,085 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720"/>
        <w:gridCol w:w="2376"/>
        <w:gridCol w:w="2385"/>
        <w:gridCol w:w="211"/>
        <w:gridCol w:w="831"/>
        <w:gridCol w:w="109"/>
        <w:gridCol w:w="109"/>
        <w:gridCol w:w="109"/>
        <w:gridCol w:w="109"/>
        <w:gridCol w:w="220"/>
        <w:gridCol w:w="862"/>
        <w:gridCol w:w="164"/>
      </w:tblGrid>
      <w:tr>
        <w:trPr/>
        <w:tc>
          <w:tcPr>
            <w:tcW w:w="272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16)</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SERIES B PREFERRED STOCK (NOTE 3) - related party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600,000,000 shares authorized, 227,049,683 and 221,791,205 shares outstanding on March 31, 2025 and December 31, 2024, respectively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 related party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deficit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(1,070,463)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preferred stock and shareholders'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6"/>
        <w:gridCol w:w="2862"/>
        <w:gridCol w:w="4057"/>
      </w:tblGrid>
      <w:tr>
        <w:trPr/>
        <w:tc>
          <w:tcPr>
            <w:tcW w:w="328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INCOME (LOSS)</w:t>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094" w:type="dxa"/>
        <w:jc w:val="center"/>
        <w:tblInd w:w="0" w:type="dxa"/>
        <w:tblLayout w:type="fixed"/>
        <w:tblCellMar>
          <w:top w:w="28" w:type="dxa"/>
          <w:left w:w="28" w:type="dxa"/>
          <w:bottom w:w="28" w:type="dxa"/>
          <w:right w:w="28" w:type="dxa"/>
        </w:tblCellMar>
      </w:tblPr>
      <w:tblGrid>
        <w:gridCol w:w="2434"/>
        <w:gridCol w:w="2147"/>
        <w:gridCol w:w="2154"/>
        <w:gridCol w:w="109"/>
        <w:gridCol w:w="109"/>
        <w:gridCol w:w="109"/>
        <w:gridCol w:w="268"/>
        <w:gridCol w:w="918"/>
        <w:gridCol w:w="122"/>
        <w:gridCol w:w="122"/>
        <w:gridCol w:w="122"/>
        <w:gridCol w:w="122"/>
        <w:gridCol w:w="264"/>
        <w:gridCol w:w="922"/>
        <w:gridCol w:w="172"/>
      </w:tblGrid>
      <w:tr>
        <w:trPr/>
        <w:tc>
          <w:tcPr>
            <w:tcW w:w="243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debt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Preferred Stock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income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225,474,247 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436,368,282 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478" w:type="dxa"/>
        <w:jc w:val="center"/>
        <w:tblInd w:w="0" w:type="dxa"/>
        <w:tblLayout w:type="fixed"/>
        <w:tblCellMar>
          <w:top w:w="28" w:type="dxa"/>
          <w:left w:w="28" w:type="dxa"/>
          <w:bottom w:w="28" w:type="dxa"/>
          <w:right w:w="28" w:type="dxa"/>
        </w:tblCellMar>
      </w:tblPr>
      <w:tblGrid>
        <w:gridCol w:w="788"/>
        <w:gridCol w:w="311"/>
        <w:gridCol w:w="312"/>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84"/>
        <w:gridCol w:w="993"/>
        <w:gridCol w:w="149"/>
        <w:gridCol w:w="109"/>
        <w:gridCol w:w="109"/>
        <w:gridCol w:w="109"/>
        <w:gridCol w:w="211"/>
        <w:gridCol w:w="991"/>
        <w:gridCol w:w="109"/>
        <w:gridCol w:w="109"/>
        <w:gridCol w:w="109"/>
        <w:gridCol w:w="109"/>
        <w:gridCol w:w="211"/>
        <w:gridCol w:w="991"/>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7,239,982 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March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206,779,447 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2024</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221,791,205 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4,393,102 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Remeasurement of Preferred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Balances on</w:t>
            </w:r>
            <w:r>
              <w:rPr>
                <w:color w:val="000000"/>
              </w:rPr>
              <w:t xml:space="preserve"> </w:t>
            </w:r>
            <w:r>
              <w:rPr>
                <w:rFonts w:ascii="Times New Roman;sans-serif" w:hAnsi="Times New Roman;sans-serif"/>
                <w:b/>
                <w:color w:val="000000"/>
                <w:sz w:val="20"/>
              </w:rPr>
              <w:t>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227,049,683 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549" w:type="dxa"/>
        <w:jc w:val="left"/>
        <w:tblInd w:w="0" w:type="dxa"/>
        <w:tblLayout w:type="fixed"/>
        <w:tblCellMar>
          <w:top w:w="28" w:type="dxa"/>
          <w:left w:w="28" w:type="dxa"/>
          <w:bottom w:w="28" w:type="dxa"/>
          <w:right w:w="28" w:type="dxa"/>
        </w:tblCellMar>
      </w:tblPr>
      <w:tblGrid>
        <w:gridCol w:w="2538"/>
        <w:gridCol w:w="2233"/>
        <w:gridCol w:w="2249"/>
        <w:gridCol w:w="211"/>
        <w:gridCol w:w="721"/>
        <w:gridCol w:w="109"/>
        <w:gridCol w:w="109"/>
        <w:gridCol w:w="109"/>
        <w:gridCol w:w="109"/>
        <w:gridCol w:w="211"/>
        <w:gridCol w:w="796"/>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write-down of property, plant and equipment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debt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exercise of stock options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Credit and Securities Purchase Transaction, net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debt issuance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equipment financing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 from employees for income tax withholding purposes</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8889" w:type="dxa"/>
        <w:jc w:val="left"/>
        <w:tblInd w:w="0" w:type="dxa"/>
        <w:tblLayout w:type="fixed"/>
        <w:tblCellMar>
          <w:top w:w="28" w:type="dxa"/>
          <w:left w:w="28" w:type="dxa"/>
          <w:bottom w:w="28" w:type="dxa"/>
          <w:right w:w="28" w:type="dxa"/>
        </w:tblCellMar>
      </w:tblPr>
      <w:tblGrid>
        <w:gridCol w:w="2295"/>
        <w:gridCol w:w="2010"/>
        <w:gridCol w:w="2025"/>
        <w:gridCol w:w="211"/>
        <w:gridCol w:w="826"/>
        <w:gridCol w:w="109"/>
        <w:gridCol w:w="109"/>
        <w:gridCol w:w="109"/>
        <w:gridCol w:w="109"/>
        <w:gridCol w:w="211"/>
        <w:gridCol w:w="721"/>
        <w:gridCol w:w="154"/>
      </w:tblGrid>
      <w:tr>
        <w:trPr/>
        <w:tc>
          <w:tcPr>
            <w:tcW w:w="229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capitalized internal-use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preferred stock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 in exchange for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1.Overview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w:t>
      </w:r>
    </w:p>
    <w:p>
      <w:pPr>
        <w:pStyle w:val="TextBody"/>
        <w:bidi w:val="0"/>
        <w:spacing w:lineRule="auto" w:line="288" w:before="160" w:after="1"/>
        <w:jc w:val="both"/>
        <w:rPr/>
      </w:pPr>
      <w:r>
        <w:rPr>
          <w:rFonts w:ascii="Times New Roman;sans-serif" w:hAnsi="Times New Roman;sans-serif"/>
          <w:b w:val="false"/>
          <w:color w:val="000000"/>
          <w:sz w:val="20"/>
        </w:rPr>
        <w:t xml:space="preserve">As disclosed in Note 3, </w:t>
      </w:r>
      <w:r>
        <w:rPr>
          <w:rFonts w:ascii="Times New Roman;sans-serif" w:hAnsi="Times New Roman;sans-serif"/>
          <w:b w:val="false"/>
          <w:i/>
          <w:color w:val="000000"/>
          <w:sz w:val="20"/>
        </w:rPr>
        <w:t xml:space="preserve">Credit and Securities Purchase Transaction, </w:t>
      </w:r>
      <w:r>
        <w:rPr>
          <w:rFonts w:ascii="Times New Roman;sans-serif" w:hAnsi="Times New Roman;sans-serif"/>
          <w:b w:val="false"/>
          <w:color w:val="000000"/>
          <w:sz w:val="20"/>
        </w:rPr>
        <w:t>on June 21, 2024, the Company entered into a financing transaction with CCM Denali Debt Holdings, LP, an affiliate of Cerberus Capital Management LP (herein after referred to as “Cerberus”, “Denali”, “Lender”, “Holder”). As a result of this transaction, Cerberus agreed to provide a $210,500 secured multi-draw facility, to be made in four installments (the “Delayed Draw Term Loan”) as well as a $105,000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the issuance date. This ownership percentage represents $814,346 in market capitalization based on the May 01, 2025 closing share price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 Overview</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 13, Borrowings, on November 26, 2024, the Company successfully closed on the DOE Loan Facility, which provides the Company with up to $303,450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$101,979; Tranche 2: $117,326; Tranche 3: $71,836; and Tranche 4: $12,309), and any amounts which are not withdrawn under a specified tranche cannot be allocated to another tranche. Through March 31, 2025, the Company had drawn down $68,279 under Tranche 1.</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2025, the Company had net income of $15,136. Adjustments to reconcile net income to cash used in operations are primarily from non-cash items on the Unaudited Condensed Consolidated Statements of Cash Flows. The non-cash items totaled $60,855. The Company incurred negative cash flows from operations of $28,924 and had an accumulated deficit of $1,546,580 as of March 31, 2025.</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of March 31, 2025, the Company had $82,553 of unrestricted cash and cash equivalents available to fund the Company’s operations</w:t>
      </w:r>
      <w:r>
        <w:rPr>
          <w:color w:val="000000"/>
        </w:rPr>
        <w:t xml:space="preserve"> </w:t>
      </w:r>
      <w:r>
        <w:rPr>
          <w:rFonts w:ascii="Times New Roman;sans-serif" w:hAnsi="Times New Roman;sans-serif"/>
          <w:b w:val="false"/>
          <w:color w:val="000000"/>
          <w:sz w:val="20"/>
        </w:rPr>
        <w:t>and working capital of $94,806.</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June 21, 2024, upon closing of the Credit and Securities Purchase Transaction, Cerberus funded the Company $75,000 of the initial draw, and the Company received $71,250, net of the 5.0% original issue discount. On August 29, 2024, Cerberus funded the Company $30,000 (“August Draw”), and the Company received $28,500, net of the 5.0% original issue discount. On November 1, 2024, Cerberus funded the Company $65,000 related to the October 31, 2024 tranche (“October Draw” or “October Tranche”), and the Company received $61,750, net of the 5.0% original issue discount. On January 24, 2025, Cerberus funded the Company the final $40,500 and the Company received $38,475, net of the 5.0% original issue discount, related to the January 31, 2025 tranche (“January 2025 Draw”). Subsequent to the January 2025 Draw, the Delayed Draw Term Loan has been fully funded.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Through March 31, 2025, under the DOE Loan Facility, the Company drew down $68,279 for the eligible project cost that the Company had incurred through December 6, 2024. These costs are a portion of Tranche 1 of the DOE Loan Facility. Tranche 1 provides up to $101,979 for eligible costs in connection with the design, construction, installation, startup and shakedown of a battery automation line and related tools. In the event the Company does not achieve certain funding milestone conditions and the DOE chooses not to continue funding, the Company would need to seek alternative sources of capital, which may not be available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 Overview</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Credit and Securities Purchase Transaction and the DOE Loan Facility contain certain quarterly financial covenants which include (a) Minimum Liquidity, (b) Minimum Consolidated EBITDA, and (c) Minimum Consolidated Revenue (collectively, the “financial covenants”). As of March 31, 2025, the only financial covenant in effect was Minimum Liquidity. As of March 31, 2025, the Company was in compliance with this covenant and non-financial covenants, and the Company expects to remain in compliance with the Minimum Liquidity covenant over the next twelve months beyond the issuance date. The Minimum Consolidated EBITDA and Minimum Consolidated Revenue financial covenants become effective beginning December 31, 2025. As of March 31, 2025, the Company expects that it may be unable to remain in compliance with the Minimum Consolidated EBITDA and Minimum Consolidated Revenue financial covenants beginning December 31, 2025, absent the Company’s ability to secure a waiver or amend the Credit and Securities Purchase Transaction and the DOE Loan Facility. The Company continues to be in regular communication with Cerberus and DOE regarding these covenants. In the event the Company is unable to comply with the financial and non-financial covenants beginning December 31, 2025, and the Company is unable to secure a waiver, Cerberus and the DOE may, at their discretion, enter into a forbearance agreement with the Company and/or exercise any and all of their existing rights and remedies, which may include, among other things, asserting their rights in the Company’s assets securing the loans. Moreover, the Company’s other lenders may exercise similar rights and remedies under the cross-default provisions of their respective borrowing agreements with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2024 Annual Report on Form 10-K. These interim results are not necessarily indicative of results for the full year.</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Change to Prior Year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Unaudited Condensed Consolidated Statements of Operations, Gross profit (loss) has been introduced, reflecting Total revenue less Cost of goods sold. This addition does not impact the reported Net income (loss).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Series A and B Preferred Stock</w:t>
      </w:r>
    </w:p>
    <w:p>
      <w:pPr>
        <w:pStyle w:val="TextBody"/>
        <w:bidi w:val="0"/>
        <w:spacing w:lineRule="auto" w:line="288" w:before="160" w:after="1"/>
        <w:jc w:val="both"/>
        <w:rPr/>
      </w:pPr>
      <w:r>
        <w:rPr>
          <w:rFonts w:ascii="Times New Roman;sans-serif" w:hAnsi="Times New Roman;sans-serif"/>
          <w:b w:val="false"/>
          <w:color w:val="000000"/>
          <w:sz w:val="20"/>
        </w:rPr>
        <w:t xml:space="preserve">As discussed in Note 3, </w:t>
      </w:r>
      <w:r>
        <w:rPr>
          <w:rFonts w:ascii="Times New Roman;sans-serif" w:hAnsi="Times New Roman;sans-serif"/>
          <w:b w:val="false"/>
          <w:i/>
          <w:color w:val="000000"/>
          <w:sz w:val="20"/>
        </w:rPr>
        <w:t xml:space="preserve">Credit and Securities Purchase Transaction, </w:t>
      </w:r>
      <w:r>
        <w:rPr>
          <w:rFonts w:ascii="Times New Roman;sans-serif" w:hAnsi="Times New Roman;sans-serif"/>
          <w:b w:val="false"/>
          <w:color w:val="000000"/>
          <w:sz w:val="20"/>
        </w:rPr>
        <w:t>the Company issued shares of (1) Series A-1 Preferred Stock and Series A-2 Preferred Stock (collectively "Series A Preferred Stock") in June 2024 and August 2024, respectively, which were subsequently converted into shares of Series B-1 Preferred Stock and Series B-2 Preferred Stock, respectively, in September 2024, (2) Series B-3 Preferred Stock in November 2024 and Series B-4 Preferred Stock in January 2025 (collectively, with the Series B-1 Preferred Stock, Series B-2 Preferred Stock, Series B-3 Preferred Stock and Series B-4 Preferred Stock, the “Series B Preferred Stock” and together with Series A Preferred Stock, “the Preferred Stock”). The Preferred Stock is redeemable based upon the passage of time and therefore meets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Unaudited Condensed Consolidated Balance Sheets.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Production Tax Credits under Internal Revenue Code 45X (“PTC”)</w:t>
      </w:r>
    </w:p>
    <w:p>
      <w:pPr>
        <w:pStyle w:val="TextBody"/>
        <w:bidi w:val="0"/>
        <w:spacing w:lineRule="auto" w:line="288" w:before="160" w:after="283"/>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Unaudited Condensed Consolidated Balance Sheets and is subsequently recognized in Cost of goods sold in the Unaudited Condensed Consolidated Statements of Operations and Comprehensive Income (Loss) when the inventory is sold. In the event the PTC is sold, upon the receipt of the cash payments, </w:t>
      </w:r>
      <w:r>
        <w:rPr>
          <w:rFonts w:ascii="Times New Roman;sans-serif" w:hAnsi="Times New Roman;sans-serif"/>
          <w:b w:val="false"/>
          <w:color w:val="424242"/>
          <w:sz w:val="20"/>
        </w:rPr>
        <w:t>the Company will record offsets to Grant Receivable, net</w:t>
      </w:r>
      <w:r>
        <w:rPr>
          <w:rFonts w:ascii="Times New Roman;sans-serif" w:hAnsi="Times New Roman;sans-serif"/>
          <w:b w:val="false"/>
          <w:color w:val="000000"/>
          <w:sz w:val="20"/>
        </w:rPr>
        <w:t>. Differences in the recorded value of the PTC and the sale price will be recognized as an adjustment to cost of goods sold in the Unaudited Condensed Consolidated Statements of Operations and Comprehensive Income (Loss).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Option</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has elected the option under ASC 825-10, </w:t>
      </w:r>
      <w:r>
        <w:rPr>
          <w:rFonts w:ascii="Times New Roman;sans-serif" w:hAnsi="Times New Roman;sans-serif"/>
          <w:b w:val="false"/>
          <w:i/>
          <w:color w:val="000000"/>
          <w:sz w:val="20"/>
        </w:rPr>
        <w:t xml:space="preserve">Financial Instruments </w:t>
      </w:r>
      <w:r>
        <w:rPr>
          <w:rFonts w:ascii="Times New Roman;sans-serif" w:hAnsi="Times New Roman;sans-serif"/>
          <w:b w:val="false"/>
          <w:color w:val="000000"/>
          <w:sz w:val="20"/>
        </w:rPr>
        <w:t>("ASC 825"), to measure the Delayed Draw Term Loan, including all tranches of fundings received in 2024 (see Note 3, C</w:t>
      </w:r>
      <w:r>
        <w:rPr>
          <w:rFonts w:ascii="Times New Roman;sans-serif" w:hAnsi="Times New Roman;sans-serif"/>
          <w:b w:val="false"/>
          <w:i/>
          <w:color w:val="000000"/>
          <w:sz w:val="20"/>
        </w:rPr>
        <w:t>redit and Securities Purchase Transaction</w:t>
      </w:r>
      <w:r>
        <w:rPr>
          <w:rFonts w:ascii="Times New Roman;sans-serif" w:hAnsi="Times New Roman;sans-serif"/>
          <w:b w:val="false"/>
          <w:color w:val="000000"/>
          <w:sz w:val="20"/>
        </w:rPr>
        <w:t>) at fair value. The fair value option may be elected on an instrument-by-instrument basis and is irrevocable unless a new election date occurs. When the fair value option is elected for an instrument, unrealized gains and losses for such instrument is reported in the Unaudited Condensed Consolidated Statements of Operations and Comprehensive Income (Loss) at each subsequent reporting date. Upfront costs and fees related to items for which the fair value option is elected shall be recognized in earnings as incurred and not deferred. These amounts are included in Other expense in the Unaudited Condensed Consolidated Statements of Operations and Comprehensive Income (Loss). The gains or losses attributable to changes in instrument-specific risk are included in Change in fair value of debt - credit risk - related party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1"/>
        <w:jc w:val="both"/>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Disclosure Agreements - Codification Amendments in Response to the SEC’s Disclosure Update and Simplification Initiative</w:t>
      </w:r>
      <w:r>
        <w:rPr>
          <w:rFonts w:ascii="Times New Roman;sans-serif" w:hAnsi="Times New Roman;sans-serif"/>
          <w:b w:val="false"/>
          <w:color w:val="000000"/>
          <w:sz w:val="20"/>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If the SEC has not removed the applicable disclosure requirement by June 30, 2027, these amendments will not be effective. Early adoption is prohibited. The Company is currently assessing the potential impact this amendment could have on its disclosures.</w:t>
      </w:r>
    </w:p>
    <w:p>
      <w:pPr>
        <w:pStyle w:val="TextBody"/>
        <w:bidi w:val="0"/>
        <w:spacing w:lineRule="auto" w:line="288" w:before="160" w:after="283"/>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 xml:space="preserve">which requires additional disclosures related to the effective tax rate reconciliation and taxes paid. The amendment is effective for annual periods beginning after December 15, 2024, and the Company does not anticipate a material change in the financial statements and related disclosure. </w:t>
      </w:r>
    </w:p>
    <w:p>
      <w:pPr>
        <w:pStyle w:val="TextBody"/>
        <w:bidi w:val="0"/>
        <w:spacing w:lineRule="auto" w:line="288" w:before="160" w:after="283"/>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Statement—Reporting Comprehensive Income—Expense Disaggregation Disclosures (Subtopic 220-40). </w:t>
      </w:r>
      <w:r>
        <w:rPr>
          <w:rFonts w:ascii="Times New Roman;sans-serif" w:hAnsi="Times New Roman;sans-serif"/>
          <w:b w:val="false"/>
          <w:color w:val="000000"/>
          <w:sz w:val="20"/>
        </w:rPr>
        <w:t>The amendments in this update require disaggregation of certain expense captions into specified categories in disclosures within the footnotes to the financial statements. This update is effective for annual reporting periods beginning after December 15, 2026, and interim reporting periods beginning after December 15, 2027,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2024-04, Debt-Debt with Conversion and Other Options (Subtopic 470-20): Induced Conversions of Convertible Debt Instruments. 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pPr>
      <w:r>
        <w:rPr>
          <w:rFonts w:ascii="Times New Roman;sans-serif" w:hAnsi="Times New Roman;sans-serif"/>
          <w:b w:val="false"/>
          <w:color w:val="000000"/>
          <w:sz w:val="20"/>
        </w:rPr>
        <w:t xml:space="preserve">In January 2025, the FASB issued ASU 2025-01, </w:t>
      </w:r>
      <w:r>
        <w:rPr>
          <w:rFonts w:ascii="Times New Roman;sans-serif" w:hAnsi="Times New Roman;sans-serif"/>
          <w:b w:val="false"/>
          <w:i/>
          <w:color w:val="000000"/>
          <w:sz w:val="20"/>
        </w:rPr>
        <w:t xml:space="preserve">Income Statement-Reporting Comprehensive Income-Expense Disaggregation Disclosures (Subtopic 220-40): Clarifying the Effective Date </w:t>
      </w:r>
      <w:r>
        <w:rPr>
          <w:rFonts w:ascii="Times New Roman;sans-serif" w:hAnsi="Times New Roman;sans-serif"/>
          <w:b w:val="false"/>
          <w:color w:val="000000"/>
          <w:sz w:val="20"/>
        </w:rPr>
        <w:t xml:space="preserve">(“ASU 2025-01”),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2025-01 is effective for fiscal years beginning after December 15, 2027. Early adoption is permitted. Entities should apply the amendments in ASU 2023-07 retrospectively to all prior periods presented in the financial statements. The Company is currently evaluating the impact of adopting ASU 2025-01 and does not expect it to have a material impact on the Company’s financial position,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3. Credit and Securities Purchase Transaction</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Credit and Guaranty Agreement (“Credit Agreement”)</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Delayed Draw Term Loan</w:t>
      </w:r>
    </w:p>
    <w:p>
      <w:pPr>
        <w:pStyle w:val="TextBody"/>
        <w:bidi w:val="0"/>
        <w:spacing w:lineRule="auto" w:line="288" w:before="160" w:after="1"/>
        <w:jc w:val="both"/>
        <w:rPr/>
      </w:pPr>
      <w:r>
        <w:rPr>
          <w:rFonts w:ascii="Times New Roman;sans-serif" w:hAnsi="Times New Roman;sans-serif"/>
          <w:b w:val="false"/>
          <w:color w:val="000000"/>
          <w:sz w:val="20"/>
        </w:rPr>
        <w:t>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 of $30,000 was funded. On October 31, 2024, the full amount of the October tranche of $65,000 was funde</w:t>
      </w:r>
      <w:r>
        <w:rPr>
          <w:rFonts w:ascii="Times New Roman;sans-serif" w:hAnsi="Times New Roman;sans-serif"/>
          <w:b w:val="false"/>
          <w:color w:val="000000"/>
          <w:sz w:val="20"/>
          <w:shd w:fill="FFFFFF" w:val="clear"/>
        </w:rPr>
        <w:t>d. The final tranche in the amount of $40,500 was funded on January 24, 2025, completing the scheduled fundings under the Delayed Draw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3. Credit Agreement and Securities Purchase Transaction</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pPr>
      <w:r>
        <w:rPr>
          <w:rFonts w:ascii="Times New Roman;sans-serif" w:hAnsi="Times New Roman;sans-serif"/>
          <w:b w:val="false"/>
          <w:color w:val="000000"/>
          <w:sz w:val="20"/>
        </w:rPr>
        <w:t xml:space="preserve">On November 26, 2024, the Company amended the Credit Agreement (the “Credit Agreement Amendment”),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 See Note 13,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 for further discussion.</w:t>
      </w:r>
    </w:p>
    <w:p>
      <w:pPr>
        <w:pStyle w:val="TextBody"/>
        <w:bidi w:val="0"/>
        <w:spacing w:lineRule="auto" w:line="288" w:before="200" w:after="1"/>
        <w:jc w:val="both"/>
        <w:rPr>
          <w:rFonts w:ascii="Times New Roman;sans-serif" w:hAnsi="Times New Roman;sans-serif"/>
          <w:b/>
          <w:i/>
          <w:color w:val="000000"/>
          <w:sz w:val="20"/>
        </w:rPr>
      </w:pPr>
      <w:r>
        <w:rPr>
          <w:rFonts w:ascii="Times New Roman;sans-serif" w:hAnsi="Times New Roman;sans-serif"/>
          <w:b/>
          <w:i/>
          <w:color w:val="000000"/>
          <w:sz w:val="20"/>
        </w:rPr>
        <w:t>Securities Purchase Agreement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the Company entered into a Securities Purchase Agreement (the “SPA”) with CCM Denali Equity Holdings, LP (the “Purchaser”).</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SPA Warrant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Under the SPA, the Company issued a warrant to purchase 43,276,194 shares of common stock representing a collective ownership of 19.9% (the “SPA Warrant”) of our outstanding shares of (inclusive of Series A-1 Preferred Stock – see below) common stock prior to the issuance.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the Company received stockholder approval on September 10, 2024, the Company could not issue additional shares of common stock exceeding 19.99% of shares of common stock issued and outstanding as of the date of the Initial Draw (such percentage, as may be adjusted in accordance with the terms of the Warrant, the “Conversion Cap”) upon exercise of the Warrant, and would have been required to issue, at the option of the Lender, Series A Preferred Stock or additional warrants on common stock upon a draw under the Delayed Draw Term Loan. Following shareholder approval received, the Conversion Cap increased to 49.9% of the number of shares of common stock issued and outstanding as of the applicable measurement date; and the holder of the Warrant has the option to amend the Conversion Cap to any percentage less than 49.9%.</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Income (Loss).</w:t>
      </w:r>
    </w:p>
    <w:p>
      <w:pPr>
        <w:pStyle w:val="TextBody"/>
        <w:bidi w:val="0"/>
        <w:spacing w:lineRule="auto" w:line="26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Contingent Warrants</w:t>
      </w:r>
    </w:p>
    <w:p>
      <w:pPr>
        <w:pStyle w:val="TextBody"/>
        <w:bidi w:val="0"/>
        <w:spacing w:lineRule="auto" w:line="288" w:before="160" w:after="283"/>
        <w:jc w:val="both"/>
        <w:rPr/>
      </w:pPr>
      <w:r>
        <w:rPr>
          <w:rFonts w:ascii="Times New Roman;sans-serif" w:hAnsi="Times New Roman;sans-serif"/>
          <w:b w:val="false"/>
          <w:color w:val="000000"/>
          <w:sz w:val="20"/>
        </w:rPr>
        <w:t>Upon the achievement of performance milestones on dates specified in the Credit Agreement, the Company received additional funds and issued at the option of the Lender, Preferred Stock (Series A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As of the balance sheet date the applicable percentage is subject to increase by up to 4.0% to up to 37.0% on a fully diluted basis to the extent that milestones are n</w:t>
      </w:r>
      <w:r>
        <w:rPr>
          <w:rFonts w:ascii="Times New Roman;sans-serif" w:hAnsi="Times New Roman;sans-serif"/>
          <w:b w:val="false"/>
          <w:color w:val="000000"/>
          <w:sz w:val="20"/>
          <w:shd w:fill="FFFFFF" w:val="clear"/>
        </w:rPr>
        <w:t xml:space="preserve">ot met on the final measurement date on April 30, 2025, </w:t>
      </w:r>
      <w:r>
        <w:rPr>
          <w:rFonts w:ascii="Times New Roman;sans-serif" w:hAnsi="Times New Roman;sans-serif"/>
          <w:b w:val="false"/>
          <w:color w:val="000000"/>
          <w:sz w:val="20"/>
        </w:rPr>
        <w:t xml:space="preserve">in which case additional Contingent Warrants would be issuable. See Note 22,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xml:space="preserve">, for further discussion of the applicable percentage and final measurement date. The Contingent Warrants meet the criteria for liability classification under ASC 480. The change in fair value of the Contingent warrants is included in Change in fair value of derivatives - related parties on the Company’s Unaudited Condensed Consolidated Statements of Operations and Comprehensive Income (Loss). See Note 14, </w:t>
      </w:r>
      <w:r>
        <w:rPr>
          <w:rFonts w:ascii="Times New Roman;sans-serif" w:hAnsi="Times New Roman;sans-serif"/>
          <w:b w:val="false"/>
          <w:i/>
          <w:color w:val="000000"/>
          <w:sz w:val="20"/>
        </w:rPr>
        <w:t>Warrants Liability</w:t>
      </w:r>
      <w:r>
        <w:rPr>
          <w:rFonts w:ascii="Times New Roman;sans-serif" w:hAnsi="Times New Roman;sans-serif"/>
          <w:b w:val="false"/>
          <w:color w:val="000000"/>
          <w:sz w:val="20"/>
        </w:rPr>
        <w:t>, for further discussion of the SPA Warrant and Contingent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3. Credit Agreement and Securities Purchase Transaction</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Series A-1 Preferred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the Company filed with the Secretary of State of the State of Delaware the Series A-1 Certificate of Designation and issued 59 shares of Series A-1 Preferred Stock to satisfy the terms of the Credit Agreement. Under the terms of the Series A-1 Certificate of Designation, each share of Series A-1 Preferred Stock had an original issue price of $455,822.59 (the “A-1 Original Issue Price”) and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59 shares of Series A-1 Preferred Stock issued to Cerberus converted into shares of Series B-1 Preferred Stock once stockholder approval was obtained on September 10, 2024. See Series B Preferred Stock discussion below.</w:t>
      </w:r>
    </w:p>
    <w:p>
      <w:pPr>
        <w:pStyle w:val="TextBody"/>
        <w:bidi w:val="0"/>
        <w:spacing w:lineRule="auto" w:line="26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Series A-2 Preferred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2024, the Company filed with the Secretary of State of the State of Delaware the Series A-2 Certificate of Designation (the “Series A-2 Certificate of Designation”) and the shares issuable thereunder, the “Series A-2 Preferred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Series A-2 Certificate of Designation, each share of Series A-2 Preferred Stock had an original issue price of $9,555,515.30 (the “A-2 Original Issue Price”) and a liquidation value, payable pari passu with the common stock, as if such share was convertible into an aggregate of 28,806,463 shares of common stock, subject to adjustment. The Series A-2 Preferred Stock was non-voting and non-convertible into common stock. Holders of the Series A-2 Preferred Stock are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2024, in connection with the August Draw, and pursuant to the terms and conditions of the Credit Agreement between the Company and Cerberus, the applicable percentage increased by 4.9%, and as a result the Company issued to Cerberus 7 shares of Series A-2 Preferred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7 shares of Series A-2 Preferred issued to Cerberus converted into shares of Series B-2 Preferred Stock once stockholder approval was obtained on September 10, 2024. See Series B Preferred Stock discussion below.</w:t>
      </w:r>
    </w:p>
    <w:p>
      <w:pPr>
        <w:pStyle w:val="TextBody"/>
        <w:bidi w:val="0"/>
        <w:spacing w:lineRule="auto" w:line="26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Series B Preferred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2024, the Company filed with the Secretary of State of the State of Delaware the Certificate of Designation of Series B-1 Non-Voting Convertible Preferred Stock (the “Series B-1 Certificate of Designation” and the shares issuable thereunder, the “Series B-1 Preferred Stock”) and the Certificate of Designation of Series B-2 Non-Voting Convertible Preferred Stock (the “Series B-2 Certificate of Designation” and the shares issuable thereunder, the “Series B-2 Preferred Stock”). On November 1, 2024, the Company filed with the Secretary of State of the State of Delaware the Certificate of Designation of Series B-3 Non-Voting Convertible Preferred Stock (the “Series B-3 Certificate of Designation” and the shares issuable thereunder, the “Series B-3 Preferred Stock”). On January 24, 2025, the Company filed with the Secretary of State of the State of Delaware the Certificate of Designation of Series B-4 Non-Voting Convertible Preferred Stock (the “Series B-4 Certificate of Designation” and the shares issuable thereunder, the “Series B-4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3. Credit Agreement and Securities Purchase Transaction</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Each Series B Preferred Stock has a par value of $0.0001 per share. The table below summarizes the Company’s outstanding Series B Preferred Stock as of March 31, 2025.</w:t>
      </w:r>
    </w:p>
    <w:tbl>
      <w:tblPr>
        <w:tblW w:w="10205" w:type="dxa"/>
        <w:jc w:val="left"/>
        <w:tblInd w:w="0" w:type="dxa"/>
        <w:tblLayout w:type="fixed"/>
        <w:tblCellMar>
          <w:top w:w="28" w:type="dxa"/>
          <w:left w:w="28" w:type="dxa"/>
          <w:bottom w:w="28" w:type="dxa"/>
          <w:right w:w="28" w:type="dxa"/>
        </w:tblCellMar>
      </w:tblPr>
      <w:tblGrid>
        <w:gridCol w:w="548"/>
        <w:gridCol w:w="483"/>
        <w:gridCol w:w="486"/>
        <w:gridCol w:w="109"/>
        <w:gridCol w:w="109"/>
        <w:gridCol w:w="109"/>
        <w:gridCol w:w="339"/>
        <w:gridCol w:w="339"/>
        <w:gridCol w:w="341"/>
        <w:gridCol w:w="109"/>
        <w:gridCol w:w="109"/>
        <w:gridCol w:w="109"/>
        <w:gridCol w:w="414"/>
        <w:gridCol w:w="379"/>
        <w:gridCol w:w="311"/>
        <w:gridCol w:w="109"/>
        <w:gridCol w:w="109"/>
        <w:gridCol w:w="109"/>
        <w:gridCol w:w="237"/>
        <w:gridCol w:w="1219"/>
        <w:gridCol w:w="122"/>
        <w:gridCol w:w="109"/>
        <w:gridCol w:w="109"/>
        <w:gridCol w:w="109"/>
        <w:gridCol w:w="471"/>
        <w:gridCol w:w="471"/>
        <w:gridCol w:w="473"/>
        <w:gridCol w:w="109"/>
        <w:gridCol w:w="109"/>
        <w:gridCol w:w="109"/>
        <w:gridCol w:w="706"/>
        <w:gridCol w:w="523"/>
        <w:gridCol w:w="708"/>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Equivalent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B-1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841,999.99 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31,940,063 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B-2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28,806,463 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B-3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38,259,864 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B-4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16,150,528 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Dividends: Holders of the Series B Preferred Stock are entitled to receive dividends or distributions on each share of Series B Preferred Stock equal to dividends or distributions actually paid on each share of common stock on an as-converted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Preemptive rights: The Series B Certificates of Designation contain customary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3. Credit Agreement and Securities Purchase Transaction</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all then outstanding shares of Series B Preferred Stock were classified as mezzanine equity on the Unaudited Condensed Consolidated Balance Sheets at its redemption value because it is probable of becoming redeemable. The Company recorded remeasurement of the Series B Preferred Stock, which reduces additional paid-in capital, on the Unaudited Condensed Statements of Shareholders' Deficit.</w:t>
      </w:r>
    </w:p>
    <w:p>
      <w:pPr>
        <w:pStyle w:val="TextBody"/>
        <w:bidi w:val="0"/>
        <w:spacing w:lineRule="auto" w:line="268" w:before="200" w:after="1"/>
        <w:jc w:val="both"/>
        <w:rPr>
          <w:rFonts w:ascii="Times New Roman;sans-serif" w:hAnsi="Times New Roman;sans-serif"/>
          <w:b/>
          <w:i/>
          <w:color w:val="000000"/>
          <w:sz w:val="20"/>
        </w:rPr>
      </w:pPr>
      <w:r>
        <w:rPr>
          <w:rFonts w:ascii="Times New Roman;sans-serif" w:hAnsi="Times New Roman;sans-serif"/>
          <w:b/>
          <w:i/>
          <w:color w:val="000000"/>
          <w:sz w:val="20"/>
        </w:rPr>
        <w:t>Atlas Payoff Letter and Insurer Letter Agreement</w:t>
      </w:r>
    </w:p>
    <w:p>
      <w:pPr>
        <w:pStyle w:val="TextBody"/>
        <w:bidi w:val="0"/>
        <w:spacing w:lineRule="auto" w:line="288" w:before="160" w:after="1"/>
        <w:jc w:val="both"/>
        <w:rPr/>
      </w:pPr>
      <w:r>
        <w:rPr>
          <w:rFonts w:ascii="Times New Roman;sans-serif" w:hAnsi="Times New Roman;sans-serif"/>
          <w:b w:val="false"/>
          <w:color w:val="000000"/>
          <w:sz w:val="20"/>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See Note 13,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 for further discussion.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will pay to the Atlas Insurers, subject to the terms and conditions of the Insurer Letter Agreement, $3,000 on December 31, 2024, and on June 30, 2025, subject to the absence of certain events of default under the Credit Agreement, an additional $4,000. The Company paid $3,000 in December 2024, and the remaining $4,000 is included in Accrued expenses on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4934" w:type="dxa"/>
        <w:jc w:val="center"/>
        <w:tblInd w:w="0" w:type="dxa"/>
        <w:tblLayout w:type="fixed"/>
        <w:tblCellMar>
          <w:top w:w="28" w:type="dxa"/>
          <w:left w:w="28" w:type="dxa"/>
          <w:bottom w:w="28" w:type="dxa"/>
          <w:right w:w="28" w:type="dxa"/>
        </w:tblCellMar>
      </w:tblPr>
      <w:tblGrid>
        <w:gridCol w:w="521"/>
        <w:gridCol w:w="459"/>
        <w:gridCol w:w="460"/>
        <w:gridCol w:w="314"/>
        <w:gridCol w:w="1073"/>
        <w:gridCol w:w="162"/>
        <w:gridCol w:w="162"/>
        <w:gridCol w:w="162"/>
        <w:gridCol w:w="162"/>
        <w:gridCol w:w="314"/>
        <w:gridCol w:w="916"/>
        <w:gridCol w:w="22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Company had two customers who accounted for 57.0% and 39.2% of the total revenue. For the three months ended March 31, 2024, we had one customer who accounted for 88.1% of the total revenue.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 </w:t>
      </w:r>
    </w:p>
    <w:tbl>
      <w:tblPr>
        <w:tblW w:w="4857" w:type="dxa"/>
        <w:jc w:val="left"/>
        <w:tblInd w:w="0" w:type="dxa"/>
        <w:tblLayout w:type="fixed"/>
        <w:tblCellMar>
          <w:top w:w="28" w:type="dxa"/>
          <w:left w:w="28" w:type="dxa"/>
          <w:bottom w:w="28" w:type="dxa"/>
          <w:right w:w="28" w:type="dxa"/>
        </w:tblCellMar>
      </w:tblPr>
      <w:tblGrid>
        <w:gridCol w:w="597"/>
        <w:gridCol w:w="525"/>
        <w:gridCol w:w="528"/>
        <w:gridCol w:w="261"/>
        <w:gridCol w:w="894"/>
        <w:gridCol w:w="135"/>
        <w:gridCol w:w="109"/>
        <w:gridCol w:w="109"/>
        <w:gridCol w:w="109"/>
        <w:gridCol w:w="309"/>
        <w:gridCol w:w="1056"/>
        <w:gridCol w:w="22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increased by $140 during the three months ended March 31, 2025, due to recognition of revenues for which invoicing has not yet occurred.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changes in Contract liabilities:</w:t>
      </w:r>
    </w:p>
    <w:tbl>
      <w:tblPr>
        <w:tblW w:w="7964" w:type="dxa"/>
        <w:jc w:val="left"/>
        <w:tblInd w:w="0" w:type="dxa"/>
        <w:tblLayout w:type="fixed"/>
        <w:tblCellMar>
          <w:top w:w="28" w:type="dxa"/>
          <w:left w:w="28" w:type="dxa"/>
          <w:bottom w:w="28" w:type="dxa"/>
          <w:right w:w="28" w:type="dxa"/>
        </w:tblCellMar>
      </w:tblPr>
      <w:tblGrid>
        <w:gridCol w:w="1616"/>
        <w:gridCol w:w="1422"/>
        <w:gridCol w:w="1432"/>
        <w:gridCol w:w="314"/>
        <w:gridCol w:w="1073"/>
        <w:gridCol w:w="162"/>
        <w:gridCol w:w="162"/>
        <w:gridCol w:w="162"/>
        <w:gridCol w:w="162"/>
        <w:gridCol w:w="314"/>
        <w:gridCol w:w="916"/>
        <w:gridCol w:w="229"/>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beginning of the period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in beginning balance recognized in revenue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current period</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received from customers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end of the period</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of $39,684 as of March 31, 2025, are expected to be recognized within the next twelve months and long-term contract liabilities of $3,729 are expected to be recognized as revenue in greater than twelve months. Contract assets of $13,049 as of March 31, 2025, are expected to be recognized within the next twelve months and long-term contract assets of $1,150 are expected to be recognized as accounts receivable in greater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4. Revenue Recognition </w:t>
      </w:r>
      <w:r>
        <w:rPr>
          <w:rFonts w:ascii="Times New Roman;sans-serif" w:hAnsi="Times New Roman;sans-serif"/>
          <w:b w:val="false"/>
          <w:color w:val="000000"/>
          <w:sz w:val="20"/>
        </w:rPr>
        <w:t>(cont.)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60" w:after="283"/>
        <w:jc w:val="both"/>
        <w:rPr/>
      </w:pPr>
      <w:r>
        <w:rPr>
          <w:rFonts w:ascii="Times New Roman;sans-serif" w:hAnsi="Times New Roman;sans-serif"/>
          <w:b w:val="false"/>
          <w:color w:val="000000"/>
          <w:sz w:val="20"/>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the Company’s Annual Report on Form 10-K for the year ended December 31, 2024. As of March 31, 2025, the Company's remaining performance obligations were approximately $112,169. The Company expects to recognize revenue of approximately 85% of the remaining performance obligations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5. Cash, Cash Equivalents and Restricted Cash</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 current as of March 31, 2025, consists of accounts related to the DOE Loan Facility for reserves related to warranty claims, debt servicing, the Davis Bacon Act and secured letters of credit.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 current as of March 31, 2024, consists of escrow deposits related to U.S. Custom Bonds insurance and escrow deposits related to our credit card program agreements.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restricted cash as of March 31, 2025, relates to, as defined in the Credit Agreement, the Minimum Liquidity covenant, Prior to the first tranche funding the Minimum Liquidity covenant, as defined in the Credit Agreement and the DOE Loan Facility, the Company shall not permit cash and cash equivalents at any time be less than $15,000. </w:t>
      </w:r>
    </w:p>
    <w:p>
      <w:pPr>
        <w:pStyle w:val="TextBody"/>
        <w:bidi w:val="0"/>
        <w:spacing w:lineRule="auto" w:line="288" w:before="160" w:after="283"/>
        <w:jc w:val="both"/>
        <w:rPr/>
      </w:pPr>
      <w:r>
        <w:rPr>
          <w:rFonts w:ascii="Times New Roman;sans-serif" w:hAnsi="Times New Roman;sans-serif"/>
          <w:b w:val="false"/>
          <w:color w:val="000000"/>
          <w:sz w:val="20"/>
        </w:rPr>
        <w:t xml:space="preserve">Long-term restricted cash as of March 31, 2024, relates to interest that was required to be held in escrow per the Senior Secured Term Loan Agreement in an amount equal to the next four quarterly interest payments owed as of the balance sheet date. In connection with the June 2024 SPA and the Credit Agreement, the Company reached an agreement to payoff and terminate the Senior Secured Term Loan. Accordingly, the restricted cash held in the related escrow account was released (see Note 13,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and Note 3, </w:t>
      </w:r>
      <w:r>
        <w:rPr>
          <w:rFonts w:ascii="Times New Roman;sans-serif" w:hAnsi="Times New Roman;sans-serif"/>
          <w:b w:val="false"/>
          <w:i/>
          <w:color w:val="000000"/>
          <w:sz w:val="20"/>
        </w:rPr>
        <w:t xml:space="preserve">Credit Agreement and Securities Purchase Transaction </w:t>
      </w:r>
      <w:r>
        <w:rPr>
          <w:rFonts w:ascii="Times New Roman;sans-serif" w:hAnsi="Times New Roman;sans-serif"/>
          <w:b w:val="false"/>
          <w:color w:val="000000"/>
          <w:sz w:val="20"/>
        </w:rPr>
        <w:t>for further discussion).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tbl>
      <w:tblPr>
        <w:tblW w:w="7180" w:type="dxa"/>
        <w:jc w:val="left"/>
        <w:tblInd w:w="0" w:type="dxa"/>
        <w:tblLayout w:type="fixed"/>
        <w:tblCellMar>
          <w:top w:w="28" w:type="dxa"/>
          <w:left w:w="28" w:type="dxa"/>
          <w:bottom w:w="28" w:type="dxa"/>
          <w:right w:w="28" w:type="dxa"/>
        </w:tblCellMar>
      </w:tblPr>
      <w:tblGrid>
        <w:gridCol w:w="1532"/>
        <w:gridCol w:w="1345"/>
        <w:gridCol w:w="1353"/>
        <w:gridCol w:w="237"/>
        <w:gridCol w:w="930"/>
        <w:gridCol w:w="122"/>
        <w:gridCol w:w="109"/>
        <w:gridCol w:w="109"/>
        <w:gridCol w:w="109"/>
        <w:gridCol w:w="259"/>
        <w:gridCol w:w="886"/>
        <w:gridCol w:w="189"/>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cash, cash equivalents and restricted cash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6. Inventory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Inventory balances:</w:t>
      </w:r>
    </w:p>
    <w:tbl>
      <w:tblPr>
        <w:tblW w:w="4901" w:type="dxa"/>
        <w:jc w:val="left"/>
        <w:tblInd w:w="0" w:type="dxa"/>
        <w:tblLayout w:type="fixed"/>
        <w:tblCellMar>
          <w:top w:w="28" w:type="dxa"/>
          <w:left w:w="28" w:type="dxa"/>
          <w:bottom w:w="28" w:type="dxa"/>
          <w:right w:w="28" w:type="dxa"/>
        </w:tblCellMar>
      </w:tblPr>
      <w:tblGrid>
        <w:gridCol w:w="613"/>
        <w:gridCol w:w="538"/>
        <w:gridCol w:w="543"/>
        <w:gridCol w:w="261"/>
        <w:gridCol w:w="894"/>
        <w:gridCol w:w="135"/>
        <w:gridCol w:w="109"/>
        <w:gridCol w:w="109"/>
        <w:gridCol w:w="109"/>
        <w:gridCol w:w="309"/>
        <w:gridCol w:w="1056"/>
        <w:gridCol w:w="225"/>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Total Inventory</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40,315 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32,826 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7. Property, Plant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Property, plant and equipment, net balances:</w:t>
      </w:r>
    </w:p>
    <w:tbl>
      <w:tblPr>
        <w:tblW w:w="9026"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60"/>
        <w:gridCol w:w="260"/>
        <w:gridCol w:w="260"/>
        <w:gridCol w:w="109"/>
        <w:gridCol w:w="109"/>
        <w:gridCol w:w="109"/>
        <w:gridCol w:w="261"/>
        <w:gridCol w:w="894"/>
        <w:gridCol w:w="135"/>
        <w:gridCol w:w="109"/>
        <w:gridCol w:w="109"/>
        <w:gridCol w:w="109"/>
        <w:gridCol w:w="309"/>
        <w:gridCol w:w="1056"/>
        <w:gridCol w:w="225"/>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0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w:t>
              <w:br/>
              <w:t>remaining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(“CIP”)</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plant and equipment was $2,656 and $1,175 for the three months ended March 31, 2025, and 2024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loss from write-down of property, plant and equipment of $561 and $65 for the three months ended March 31, 2025, and 2024.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 successfully began commercial operations on the first manufacturing line. Accordingly, the assets classified as construction in progress were reclassified to equipment, leasehold improvements, furniture and tooling as of June 28, 2024. Included in construction in progress prior to the reclassification were capitalized interest costs of $850 for the three months ended March 31, 2024. There were no capitalized interest costs recognized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8. Intangible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various patents valued at $400, which represents the cost to acquire the patents. These patents are determined to have useful lives and are amortized into the results of operations over ten years. The Company recorded amortization expense of $10 for the three months ended March 31, 2025, and 2024, related to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$172 of costs for internal-use software. The software has a useful life and is amortized into the results of operations over three years. The Company recorded amortization expense of $14 and $12 for the three months ended March 31, 2025, and 2024, respectively, related to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9. Notes Receivable, Net and Variable Interest Entities (“VIEs”) Consideration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175" w:type="dxa"/>
        <w:jc w:val="left"/>
        <w:tblInd w:w="0" w:type="dxa"/>
        <w:tblLayout w:type="fixed"/>
        <w:tblCellMar>
          <w:top w:w="28" w:type="dxa"/>
          <w:left w:w="28" w:type="dxa"/>
          <w:bottom w:w="28" w:type="dxa"/>
          <w:right w:w="28" w:type="dxa"/>
        </w:tblCellMar>
      </w:tblPr>
      <w:tblGrid>
        <w:gridCol w:w="2618"/>
        <w:gridCol w:w="2299"/>
        <w:gridCol w:w="3258"/>
      </w:tblGrid>
      <w:tr>
        <w:trPr/>
        <w:tc>
          <w:tcPr>
            <w:tcW w:w="261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tc>
      </w:tr>
      <w:tr>
        <w:trPr/>
        <w:tc>
          <w:tcPr>
            <w:tcW w:w="8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9. Notes Receivable, Net and Variable Interest Entities (“VIEs”) Consideration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notes receivable, net, of $847 outstanding as of March 31, 2025 and December 31, 2024. These amounts are included in Other assets, net and Other current assets in the accompanying Unaudited Condensed Consolidated Balance Sheets. As of March 31, 2025 and December 31, 2024, the allowance for expected credit loss related to the notes receivable amounted to $37. </w:t>
      </w:r>
    </w:p>
    <w:p>
      <w:pPr>
        <w:pStyle w:val="TextBody"/>
        <w:bidi w:val="0"/>
        <w:spacing w:lineRule="auto" w:line="288" w:before="160" w:after="1"/>
        <w:jc w:val="both"/>
        <w:rPr/>
      </w:pPr>
      <w:r>
        <w:rPr>
          <w:rFonts w:ascii="Times New Roman;sans-serif" w:hAnsi="Times New Roman;sans-serif"/>
          <w:b w:val="false"/>
          <w:color w:val="000000"/>
          <w:sz w:val="20"/>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Unaudited Condensed Consolidated Financial Statements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10. Accrued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as follows:</w:t>
      </w:r>
    </w:p>
    <w:tbl>
      <w:tblPr>
        <w:tblW w:w="6611" w:type="dxa"/>
        <w:jc w:val="left"/>
        <w:tblInd w:w="0" w:type="dxa"/>
        <w:tblLayout w:type="fixed"/>
        <w:tblCellMar>
          <w:top w:w="28" w:type="dxa"/>
          <w:left w:w="28" w:type="dxa"/>
          <w:bottom w:w="28" w:type="dxa"/>
          <w:right w:w="28" w:type="dxa"/>
        </w:tblCellMar>
      </w:tblPr>
      <w:tblGrid>
        <w:gridCol w:w="1231"/>
        <w:gridCol w:w="1083"/>
        <w:gridCol w:w="1091"/>
        <w:gridCol w:w="261"/>
        <w:gridCol w:w="894"/>
        <w:gridCol w:w="135"/>
        <w:gridCol w:w="109"/>
        <w:gridCol w:w="109"/>
        <w:gridCol w:w="109"/>
        <w:gridCol w:w="308"/>
        <w:gridCol w:w="1055"/>
        <w:gridCol w:w="226"/>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Warranty reserve </w:t>
            </w:r>
            <w:r>
              <w:rPr>
                <w:rFonts w:ascii="Times New Roman;sans-serif" w:hAnsi="Times New Roman;sans-serif"/>
                <w:b w:val="false"/>
                <w:color w:val="000000"/>
                <w:sz w:val="13"/>
              </w:rPr>
              <w:t>(1)</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professional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contract losses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the table below for the warranty reserve activity for the three months ended March 31, 2025.</w:t>
      </w:r>
    </w:p>
    <w:p>
      <w:pPr>
        <w:pStyle w:val="TextBody"/>
        <w:bidi w:val="0"/>
        <w:spacing w:lineRule="auto" w:line="288" w:before="60" w:after="283"/>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Included in Other accrued expenses in the table above as of March 31, 2025 and December 31, 2024, is $4,000 payable in accordance with the Insurer Letter Agreement. See Note 3, </w:t>
      </w:r>
      <w:r>
        <w:rPr>
          <w:rFonts w:ascii="Times New Roman;sans-serif" w:hAnsi="Times New Roman;sans-serif"/>
          <w:b w:val="false"/>
          <w:i/>
          <w:color w:val="000000"/>
          <w:sz w:val="16"/>
        </w:rPr>
        <w:t>Credit and Securities Purchase Transaction</w:t>
      </w:r>
      <w:r>
        <w:rPr>
          <w:color w:val="000000"/>
        </w:rPr>
        <w:t xml:space="preserve"> </w:t>
      </w:r>
      <w:r>
        <w:rPr>
          <w:rFonts w:ascii="Times New Roman;sans-serif" w:hAnsi="Times New Roman;sans-serif"/>
          <w:b w:val="false"/>
          <w:color w:val="000000"/>
          <w:sz w:val="16"/>
        </w:rPr>
        <w:t xml:space="preserve">for further discussion. </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warranty reserve activity:</w:t>
      </w:r>
    </w:p>
    <w:p>
      <w:pPr>
        <w:pStyle w:val="TextBody"/>
        <w:bidi w:val="0"/>
        <w:spacing w:before="0" w:after="0"/>
        <w:jc w:val="both"/>
        <w:rPr/>
      </w:pPr>
      <w:r>
        <w:rPr/>
      </w:r>
    </w:p>
    <w:tbl>
      <w:tblPr>
        <w:tblW w:w="6040" w:type="dxa"/>
        <w:jc w:val="left"/>
        <w:tblInd w:w="0" w:type="dxa"/>
        <w:tblLayout w:type="fixed"/>
        <w:tblCellMar>
          <w:top w:w="28" w:type="dxa"/>
          <w:left w:w="28" w:type="dxa"/>
          <w:bottom w:w="28" w:type="dxa"/>
          <w:right w:w="28" w:type="dxa"/>
        </w:tblCellMar>
      </w:tblPr>
      <w:tblGrid>
        <w:gridCol w:w="1239"/>
        <w:gridCol w:w="1087"/>
        <w:gridCol w:w="1094"/>
        <w:gridCol w:w="246"/>
        <w:gridCol w:w="720"/>
        <w:gridCol w:w="127"/>
        <w:gridCol w:w="127"/>
        <w:gridCol w:w="127"/>
        <w:gridCol w:w="127"/>
        <w:gridCol w:w="246"/>
        <w:gridCol w:w="720"/>
        <w:gridCol w:w="180"/>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beginning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period deliveries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reserve estimate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11. Government Grants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President Biden signed the Inflation Reduction Act of 2022 into law. The IRA has significant economic incentives for both energy storage customers and manufacturers for projects placed in service after December 31, 2022. Starting in 2023, there are PTCs, which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Department of Treasury and Internal Revenue Service issued final regulations in 2024 regarding the transferability of certain energy tax credits and guidance on the PTCs established by the IRA. The Company has reviewed these regulations and believes they do not have a material impact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11. Government Grants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PTC is recorded as the applicable items become finished goods and the conditions in the preceding paragraph are met.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PTC credits of $1,799 and $1,542 for the three months ended March 31, 2025 and March 31, 2024 respectively, as a reduction of cost of goods sold on the Unaudited Condensed Consolidated Statements of Operations and Comprehensive Income (Loss). As of March 31, 2025, and December 31, 2024, grant receivable related to the PTC in the amount of $4,082 and $2,283, respectively, is recorded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w:t>
      </w:r>
    </w:p>
    <w:p>
      <w:pPr>
        <w:pStyle w:val="TextBody"/>
        <w:bidi w:val="0"/>
        <w:spacing w:lineRule="auto" w:line="288" w:before="160" w:after="283"/>
        <w:jc w:val="both"/>
        <w:rPr/>
      </w:pPr>
      <w:r>
        <w:rPr>
          <w:rFonts w:ascii="Times New Roman;sans-serif" w:hAnsi="Times New Roman;sans-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13,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w:t>
      </w:r>
    </w:p>
    <w:p>
      <w:pPr>
        <w:pStyle w:val="TextBody"/>
        <w:bidi w:val="0"/>
        <w:spacing w:lineRule="auto" w:line="288" w:before="160" w:after="283"/>
        <w:jc w:val="both"/>
        <w:rPr/>
      </w:pPr>
      <w:r>
        <w:rPr>
          <w:rFonts w:ascii="Times New Roman;sans-serif" w:hAnsi="Times New Roman;sans-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Bending Irrevocable Children’s Trust, John B. Berding and AE Convert, LLC (together, the “Purchasers”). AE Convert LLC, a Delaware limited liability company is managed by Russell Stidolph who is a related party as a director of the Company. In connection with the issuance and sale of the AFG Convertible Notes, the Company entered into an investment agreement (the “Investment Agreement”) with the Purchasers. Refer to Note 13,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and Securities Purchase Transaction</w:t>
      </w:r>
    </w:p>
    <w:p>
      <w:pPr>
        <w:pStyle w:val="TextBody"/>
        <w:bidi w:val="0"/>
        <w:spacing w:lineRule="auto" w:line="288" w:before="160" w:after="1"/>
        <w:jc w:val="both"/>
        <w:rPr/>
      </w:pPr>
      <w:r>
        <w:rPr>
          <w:rFonts w:ascii="Times New Roman;sans-serif" w:hAnsi="Times New Roman;sans-serif"/>
          <w:b w:val="false"/>
          <w:color w:val="000000"/>
          <w:sz w:val="20"/>
        </w:rPr>
        <w:t xml:space="preserve">Pursuant to the terms and conditions of Credit and Securities Purchase Transaction, Cerberus and CCM Denali Equity Holdings, LP, are considered related parties as result of the transactions. Refer to Note 3, </w:t>
      </w:r>
      <w:r>
        <w:rPr>
          <w:rFonts w:ascii="Times New Roman;sans-serif" w:hAnsi="Times New Roman;sans-serif"/>
          <w:b w:val="false"/>
          <w:i/>
          <w:color w:val="000000"/>
          <w:sz w:val="20"/>
        </w:rPr>
        <w:t xml:space="preserve">Credit and Securities Purchase Transaction </w:t>
      </w:r>
      <w:r>
        <w:rPr>
          <w:rFonts w:ascii="Times New Roman;sans-serif" w:hAnsi="Times New Roman;sans-serif"/>
          <w:b w:val="false"/>
          <w:color w:val="000000"/>
          <w:sz w:val="20"/>
        </w:rPr>
        <w:t>for detailed discussion.</w:t>
      </w:r>
    </w:p>
    <w:p>
      <w:pPr>
        <w:pStyle w:val="TextBody"/>
        <w:bidi w:val="0"/>
        <w:spacing w:lineRule="auto" w:line="288" w:before="160" w:after="1"/>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months ended March 31, 2025, the Company incurred manufacturing costs of $241 and advisory fees of $670 from two vendors affiliated with Cerberus. As of March 31, 2025, $566 of the costs were paid and the remaining $345 of the costs are included in Accounts payable in the Unaudited Condensed Consolidated Balance Sheets. The fees are included in Cost of goods sold and Selling, general and administrative expenses, respectively, in the Unaudited Condensed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13. Borrowings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obligations consist of the following:</w:t>
      </w:r>
    </w:p>
    <w:tbl>
      <w:tblPr>
        <w:tblW w:w="10205" w:type="dxa"/>
        <w:jc w:val="left"/>
        <w:tblInd w:w="0" w:type="dxa"/>
        <w:tblLayout w:type="fixed"/>
        <w:tblCellMar>
          <w:top w:w="28" w:type="dxa"/>
          <w:left w:w="28" w:type="dxa"/>
          <w:bottom w:w="28" w:type="dxa"/>
          <w:right w:w="28" w:type="dxa"/>
        </w:tblCellMar>
      </w:tblPr>
      <w:tblGrid>
        <w:gridCol w:w="640"/>
        <w:gridCol w:w="539"/>
        <w:gridCol w:w="542"/>
        <w:gridCol w:w="497"/>
        <w:gridCol w:w="497"/>
        <w:gridCol w:w="498"/>
        <w:gridCol w:w="109"/>
        <w:gridCol w:w="109"/>
        <w:gridCol w:w="109"/>
        <w:gridCol w:w="289"/>
        <w:gridCol w:w="1132"/>
        <w:gridCol w:w="149"/>
        <w:gridCol w:w="109"/>
        <w:gridCol w:w="109"/>
        <w:gridCol w:w="109"/>
        <w:gridCol w:w="235"/>
        <w:gridCol w:w="922"/>
        <w:gridCol w:w="121"/>
        <w:gridCol w:w="109"/>
        <w:gridCol w:w="109"/>
        <w:gridCol w:w="109"/>
        <w:gridCol w:w="277"/>
        <w:gridCol w:w="1085"/>
        <w:gridCol w:w="142"/>
        <w:gridCol w:w="109"/>
        <w:gridCol w:w="109"/>
        <w:gridCol w:w="109"/>
        <w:gridCol w:w="234"/>
        <w:gridCol w:w="919"/>
        <w:gridCol w:w="179"/>
      </w:tblGrid>
      <w:tr>
        <w:trPr/>
        <w:tc>
          <w:tcPr>
            <w:tcW w:w="6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 Convertible Note Payable</w:t>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Delayed Draw Term Loan</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AFG Convertible Notes</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Notes payable - related party</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373,252 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324,763 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 facility</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DOE Loan Facility</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Total borrowings</w:t>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443,793 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395,535 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316,896 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borrowings,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442,320 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314,882 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180"/>
        <w:jc w:val="both"/>
        <w:rPr/>
      </w:pPr>
      <w:r>
        <w:rPr>
          <w:rFonts w:ascii="Times New Roman;sans-serif" w:hAnsi="Times New Roman;sans-serif"/>
          <w:b w:val="false"/>
          <w:i/>
          <w:color w:val="000000"/>
          <w:sz w:val="16"/>
        </w:rPr>
        <w:t>*</w:t>
      </w:r>
      <w:r>
        <w:rPr>
          <w:rFonts w:ascii="Times New Roman;sans-serif" w:hAnsi="Times New Roman;sans-serif"/>
          <w:b w:val="false"/>
          <w:color w:val="000000"/>
          <w:sz w:val="16"/>
        </w:rPr>
        <w:t>Carrying value includes unamortized deferred financing costs, unamortized discounts and fair value of embedded derivative liabilities, except for the Delayed Draw Term Loan, which is carried at fair value.</w:t>
      </w:r>
    </w:p>
    <w:p>
      <w:pPr>
        <w:pStyle w:val="TextBody"/>
        <w:bidi w:val="0"/>
        <w:spacing w:lineRule="auto" w:line="288" w:before="160" w:after="1"/>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Delayed Draw Term Loan (“DDTL”)</w:t>
      </w:r>
    </w:p>
    <w:p>
      <w:pPr>
        <w:pStyle w:val="TextBody"/>
        <w:bidi w:val="0"/>
        <w:spacing w:lineRule="auto" w:line="288" w:before="160" w:after="283"/>
        <w:jc w:val="both"/>
        <w:rPr/>
      </w:pPr>
      <w:r>
        <w:rPr>
          <w:rFonts w:ascii="Times New Roman;sans-serif" w:hAnsi="Times New Roman;sans-serif"/>
          <w:b w:val="false"/>
          <w:color w:val="000000"/>
          <w:sz w:val="20"/>
        </w:rPr>
        <w:t xml:space="preserve">As discussed in Note 3, Credit and Securities Purchase Transaction, the Company borrowed an Initial Draw of $75,000, and received $70,075, net of the 5.0% original issue discount and lender fees paid from Delayed Draw Term Loan facility on June 21, 2024. On August 29, 2024, the Company met the first tranche milestones and submitted a borrowing request under the Credit Agreement for the scheduled $30,000, and received $28,500, net of the 5.0% original issue discount. On October 31, 2024, the Company met the second tranche milestones and submitted a borrowing request under the Credit Agreement for the scheduled $65,000, and received $61,750, net of the 5.0% original issue discount. On January 24, 2025, the Company announced the achievement of all four of the third tranche milestones previously agreed upon between Eos and Cerberus. Achieving these performance milestones enabled the Company to draw an additional $40,500 and received $38,475, net of the 5.0% original issue discount on January 24, 2025, completing the scheduled fundings under the Delayed Draw Term Loan. See Note 3, </w:t>
      </w:r>
      <w:r>
        <w:rPr>
          <w:rFonts w:ascii="Times New Roman;sans-serif" w:hAnsi="Times New Roman;sans-serif"/>
          <w:b w:val="false"/>
          <w:i/>
          <w:color w:val="000000"/>
          <w:sz w:val="20"/>
        </w:rPr>
        <w:t>Credit Agreement and Securities Purchase Transaction</w:t>
      </w:r>
      <w:r>
        <w:rPr>
          <w:color w:val="000000"/>
        </w:rPr>
        <w:t xml:space="preserve"> </w:t>
      </w:r>
      <w:r>
        <w:rPr>
          <w:rFonts w:ascii="Times New Roman;sans-serif" w:hAnsi="Times New Roman;sans-serif"/>
          <w:b w:val="false"/>
          <w:color w:val="000000"/>
          <w:sz w:val="20"/>
        </w:rPr>
        <w:t>for additional information on this transaction.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March 31, 2028, as amended on November 26, 2024 and (iii) a prepayment premium for any prepayments prior to the scheduled maturity date. The Credit and Guaranty Agreement includes a Minimum Liquidity requirement under which the Company shall not permit liquidity at any time be less than $15,000 following the Company's first indebtedness incurred through the DOE LPO in December 2024.</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Company failed to achieve any milestones on any predetermined tranche date or the one additional milestone measurement date, the Company would not have received the specific tranche unless waived by the Lenders, and would be subject to a penalty represented by an up to 4.0% increase in the applicable percentage in the form of additional warrants or preferred shares at each missed milestone measurement date. As a result of meeting the third performance milestones, if the Company fails to achieve the remaining milestones as of the final milestone measurement date, the applicable percentage will be subject to up to a 4.0% increase for the missed milestones or an increase in the overall applicable percentage of up to 37.0%.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6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2024, the Company amended the Credit Agreement,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as amended, contains the following financial covenants, including (each as defined in the Credit Agreement, as amended):</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Minimum Consolidated EBITDA- not applicable for March 31, 2025.</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Minimum Consolidated Revenue- not applicable for March 31, 2025.</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Minimum Liquidity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March 31, 2025, the Company was in compliance with the Minimum Liquidity financial covenant.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judgement or decree entered against the Company or the Guarantors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the fair value option to account for all draws under the Delayed Draw Term Loan for operational purposes. The financial liability was initially measured at its issue-date fair value and is subsequently remeasured at fair value on a recurring basis at each reporting period date. The Company also elected the fair value option for the August Draw, October Draw and January Draw. The Initial Draw fair value, the August Draw fair value, the October Draw fair value as well as the January Draw fair value (collectively the "DDTL"), was $25,653, $12,528, $28,340 and $17,312 respectively, at issuance. As of March 31, 2025, the fair value for the DDTL was $99,433. A loss of $5,933 was recognized for the three months ended March 31, 2025. This is included in Change in fair value of debt - related party on the Unaudited Condensed Consolidated Statements of Operations and Comprehensive Income (Loss).</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did not separately report interest expense attributable to the DDTL because such interest was included in the determination of the fair value of the Note. See Note 15,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for the assumptions used to determine the fair value the Delayed Draw Term Loan at issuance and at March 31, 2025.</w:t>
      </w:r>
    </w:p>
    <w:p>
      <w:pPr>
        <w:pStyle w:val="TextBody"/>
        <w:bidi w:val="0"/>
        <w:spacing w:lineRule="auto" w:line="288" w:before="160" w:after="1"/>
        <w:jc w:val="both"/>
        <w:rPr/>
      </w:pPr>
      <w:r>
        <w:rPr>
          <w:rFonts w:ascii="Times New Roman;sans-serif" w:hAnsi="Times New Roman;sans-serif"/>
          <w:b/>
          <w:color w:val="000000"/>
          <w:sz w:val="20"/>
        </w:rPr>
        <w:t xml:space="preserve">Contractual Interest Rates </w:t>
      </w:r>
      <w:r>
        <w:rPr>
          <w:rFonts w:ascii="Times New Roman;sans-serif" w:hAnsi="Times New Roman;sans-serif"/>
          <w:b w:val="false"/>
          <w:color w:val="000000"/>
          <w:sz w:val="20"/>
        </w:rPr>
        <w:t>- Borrowings under the Credit Agreement bear interest at an annual rate equal to 15.0% per annum, subject to the following increases: (i) an additional 5.0% per annum upon the occurrence of an event of default under the Credit Agreement. The Company may elect to add accrued and unpaid interest on the loans to the principal amount of the loans (capitalized interest).</w:t>
      </w:r>
    </w:p>
    <w:p>
      <w:pPr>
        <w:pStyle w:val="TextBody"/>
        <w:bidi w:val="0"/>
        <w:spacing w:lineRule="auto" w:line="288" w:before="160" w:after="1"/>
        <w:jc w:val="both"/>
        <w:rPr/>
      </w:pPr>
      <w:r>
        <w:rPr>
          <w:rFonts w:ascii="Times New Roman;sans-serif" w:hAnsi="Times New Roman;sans-serif"/>
          <w:b/>
          <w:color w:val="000000"/>
          <w:sz w:val="20"/>
        </w:rPr>
        <w:t xml:space="preserve">Maturity </w:t>
      </w:r>
      <w:r>
        <w:rPr>
          <w:rFonts w:ascii="Times New Roman;sans-serif" w:hAnsi="Times New Roman;sans-serif"/>
          <w:b w:val="false"/>
          <w:color w:val="000000"/>
          <w:sz w:val="20"/>
        </w:rPr>
        <w:t xml:space="preserve">- The DDTL is scheduled to mature on the earlier of (i) June 15, 2034 as amended on November 26, 2024, and (ii) 91 days prior to the maturity of certain of the Company’s outstanding convertible notes. See Note 3, </w:t>
      </w:r>
      <w:r>
        <w:rPr>
          <w:rFonts w:ascii="Times New Roman;sans-serif" w:hAnsi="Times New Roman;sans-serif"/>
          <w:b w:val="false"/>
          <w:i/>
          <w:color w:val="000000"/>
          <w:sz w:val="20"/>
        </w:rPr>
        <w:t>Credit Agreement and Securities Purchase Transaction</w:t>
      </w:r>
      <w:r>
        <w:rPr>
          <w:color w:val="000000"/>
        </w:rPr>
        <w:t xml:space="preserve"> </w:t>
      </w:r>
      <w:r>
        <w:rPr>
          <w:rFonts w:ascii="Times New Roman;sans-serif" w:hAnsi="Times New Roman;sans-serif"/>
          <w:b w:val="false"/>
          <w:color w:val="000000"/>
          <w:sz w:val="20"/>
        </w:rPr>
        <w:t>for additional information on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p>
      <w:pPr>
        <w:pStyle w:val="TextBody"/>
        <w:bidi w:val="0"/>
        <w:spacing w:lineRule="auto" w:line="276"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 Payable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 The maturity date of the 2021 Convertible Notes is June 30, 2026, subject to earlier conversion, redemption or repurchase.</w:t>
      </w:r>
    </w:p>
    <w:p>
      <w:pPr>
        <w:pStyle w:val="TextBody"/>
        <w:bidi w:val="0"/>
        <w:spacing w:lineRule="auto" w:line="288" w:before="160" w:after="1"/>
        <w:jc w:val="both"/>
        <w:rPr/>
      </w:pPr>
      <w:r>
        <w:rPr>
          <w:rFonts w:ascii="Times New Roman;sans-serif" w:hAnsi="Times New Roman;sans-serif"/>
          <w:b w:val="false"/>
          <w:color w:val="000000"/>
          <w:sz w:val="20"/>
        </w:rPr>
        <w:t xml:space="preserve">The 2021 Convertible Note contains an embedded derivative feature, which is presented on the Unaudited Condensed Consolidated Balance Sheets as a component of Notes payable - related party. See Note 15,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for the assumptions used to determine the fair value of the embedded derivative as of March 31, 2025 and December 31, 2024.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2021 Convertible Note is as follows:</w:t>
      </w:r>
    </w:p>
    <w:tbl>
      <w:tblPr>
        <w:tblW w:w="5619" w:type="dxa"/>
        <w:jc w:val="left"/>
        <w:tblInd w:w="0" w:type="dxa"/>
        <w:tblLayout w:type="fixed"/>
        <w:tblCellMar>
          <w:top w:w="28" w:type="dxa"/>
          <w:left w:w="28" w:type="dxa"/>
          <w:bottom w:w="28" w:type="dxa"/>
          <w:right w:w="28" w:type="dxa"/>
        </w:tblCellMar>
      </w:tblPr>
      <w:tblGrid>
        <w:gridCol w:w="1085"/>
        <w:gridCol w:w="954"/>
        <w:gridCol w:w="960"/>
        <w:gridCol w:w="246"/>
        <w:gridCol w:w="720"/>
        <w:gridCol w:w="127"/>
        <w:gridCol w:w="127"/>
        <w:gridCol w:w="127"/>
        <w:gridCol w:w="127"/>
        <w:gridCol w:w="246"/>
        <w:gridCol w:w="720"/>
        <w:gridCol w:w="18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2021 Convertible Note are as follows:</w:t>
      </w:r>
    </w:p>
    <w:tbl>
      <w:tblPr>
        <w:tblW w:w="5964" w:type="dxa"/>
        <w:jc w:val="left"/>
        <w:tblInd w:w="0" w:type="dxa"/>
        <w:tblLayout w:type="fixed"/>
        <w:tblCellMar>
          <w:top w:w="28" w:type="dxa"/>
          <w:left w:w="28" w:type="dxa"/>
          <w:bottom w:w="28" w:type="dxa"/>
          <w:right w:w="28" w:type="dxa"/>
        </w:tblCellMar>
      </w:tblPr>
      <w:tblGrid>
        <w:gridCol w:w="1000"/>
        <w:gridCol w:w="876"/>
        <w:gridCol w:w="883"/>
        <w:gridCol w:w="237"/>
        <w:gridCol w:w="930"/>
        <w:gridCol w:w="122"/>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repay all contractual interest attributable to the 2021 Convertible Note in-kind on a semi-annual basis, in accordance with the terms under the Delayed Draw Term Loan. Therefore, as of March 31, 2025 and December 31, 2024, interest payable attributable for the 2021 Convertible Note was $1,843 and $—, respectively. </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DOE Loan Facility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DOE Loan Facility provides for a multi draw term loan facility under a series of at least two tranches and, if the Company elects, up to four tranches of the loan (each, a “Tranche”), subject to the achievement of certain funding conditions. Each Tranche corresponds to the production, maintenance, development, and operation of a given production line to be funded using the proceeds of such Tranche. The principal amount of each Tranche consists of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DOE Loan Facility specifies the maximum amount subject to each tranche (Tranche 1: $101,979; Tranche 2: $117,326; Tranche 3: $71,836; and Tranche 4: $12,309), and any amounts not withdrawn under a specified tranche cannot be allocated to another tranche.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March 31, 2025, the Company had drawn down $68,279 under the DOE Loan Facility, at an interest rate of 4.791%, for eligible project costs incurred through December 6, 2024. These costs are a portion of Tranche 1 of the DOE Loan Facility. Tranche 1 provides up to $101,979 for eligible costs in connection with the design, construction, installation, startup and shakedown of a battery automation line and related tools, with a projected annual production capacity of approximately 1.25 GWh ("Line 1"), as defined in the DOE Loan Facility.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DOE Loan Facility is as follows:</w:t>
      </w:r>
    </w:p>
    <w:tbl>
      <w:tblPr>
        <w:tblW w:w="6626" w:type="dxa"/>
        <w:jc w:val="left"/>
        <w:tblInd w:w="0" w:type="dxa"/>
        <w:tblLayout w:type="fixed"/>
        <w:tblCellMar>
          <w:top w:w="28" w:type="dxa"/>
          <w:left w:w="28" w:type="dxa"/>
          <w:bottom w:w="28" w:type="dxa"/>
          <w:right w:w="28" w:type="dxa"/>
        </w:tblCellMar>
      </w:tblPr>
      <w:tblGrid>
        <w:gridCol w:w="1085"/>
        <w:gridCol w:w="954"/>
        <w:gridCol w:w="960"/>
        <w:gridCol w:w="661"/>
        <w:gridCol w:w="1461"/>
        <w:gridCol w:w="341"/>
        <w:gridCol w:w="341"/>
        <w:gridCol w:w="341"/>
        <w:gridCol w:w="48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for the DOE Loan Facility is as follows:</w:t>
      </w:r>
    </w:p>
    <w:tbl>
      <w:tblPr>
        <w:tblW w:w="4322" w:type="dxa"/>
        <w:jc w:val="left"/>
        <w:tblInd w:w="0" w:type="dxa"/>
        <w:tblLayout w:type="fixed"/>
        <w:tblCellMar>
          <w:top w:w="28" w:type="dxa"/>
          <w:left w:w="28" w:type="dxa"/>
          <w:bottom w:w="28" w:type="dxa"/>
          <w:right w:w="28" w:type="dxa"/>
        </w:tblCellMar>
      </w:tblPr>
      <w:tblGrid>
        <w:gridCol w:w="1054"/>
        <w:gridCol w:w="926"/>
        <w:gridCol w:w="929"/>
        <w:gridCol w:w="211"/>
        <w:gridCol w:w="721"/>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(life to date draw-downs)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PIK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final scheduled maturity date for the DOE Loan Facility is June 15, 2034. The DOE Loan Facility bears interest at the applicable U.S. Treasury rate plus a spread equal to 0.375%. The interest is paid in-kind ("Capitalized PIK Interest"). Payment of the Capitalized PIK Interest on the DOE Loan Facility commences in 2028.</w:t>
      </w:r>
    </w:p>
    <w:p>
      <w:pPr>
        <w:pStyle w:val="TextBody"/>
        <w:bidi w:val="0"/>
        <w:spacing w:lineRule="auto" w:line="295" w:before="16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95"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DOE Loan facility, contains the following financial covenants, including (each as defined in the DOE Loan facility) as of March 31, 2025:</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Minimum Liquidity - as defined in the Loan Guarantee Agreement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was in compliance with the Minimum Liquidity financial covenant. The DOE Loan Facility also contains financial covenants related to Minimum Consolidated Revenue and Minimum Consolidated EBITDA beginning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 - Related Party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2023, the Company entered into the Investment Agreement with the AFG Convertible Notes Purchasers relating to the issuance and sale to the AFG Convertible Notes Purchasers of $13,750 in aggregate principal amount of the Company’s AFG Convertible Notes. The AFG Convertible Notes bear interest at a rate of 26.5% per annum, which is entirely paid-in-kind (“PIK Interest”) semi-annually in arrears on June 30 and December 30. It is expected that the Notes will mature on June 30, 2026,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Option includes an exercise contingency, which requires the Company to obtain stockholder approval for conversions subject to the Exchange Cap. If stockholder approval of the issuance of additional shares of Common Stock is not obtained, following commercially reasonable efforts, the Company will be required to settle the conversion in excess of the Exchange Cap in cash. Since settlement in cash may be required in absence of stockholder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Income (Loss). The embedded derivative is presented on the Unaudited Condensed Consolidated Balance Sheets as a component of Notes payable - related party. The fair value of the embedded derivative was $27,202 and $43,124 as of March 31, 2025 and December 31, 2024,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AFG Convertible Notes is as follows:</w:t>
      </w:r>
    </w:p>
    <w:tbl>
      <w:tblPr>
        <w:tblW w:w="5650" w:type="dxa"/>
        <w:jc w:val="left"/>
        <w:tblInd w:w="0" w:type="dxa"/>
        <w:tblLayout w:type="fixed"/>
        <w:tblCellMar>
          <w:top w:w="28" w:type="dxa"/>
          <w:left w:w="28" w:type="dxa"/>
          <w:bottom w:w="28" w:type="dxa"/>
          <w:right w:w="28" w:type="dxa"/>
        </w:tblCellMar>
      </w:tblPr>
      <w:tblGrid>
        <w:gridCol w:w="939"/>
        <w:gridCol w:w="825"/>
        <w:gridCol w:w="830"/>
        <w:gridCol w:w="247"/>
        <w:gridCol w:w="723"/>
        <w:gridCol w:w="127"/>
        <w:gridCol w:w="127"/>
        <w:gridCol w:w="127"/>
        <w:gridCol w:w="127"/>
        <w:gridCol w:w="247"/>
        <w:gridCol w:w="723"/>
        <w:gridCol w:w="127"/>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AFG Convertible Notes are as follows:</w:t>
      </w:r>
    </w:p>
    <w:tbl>
      <w:tblPr>
        <w:tblW w:w="5965" w:type="dxa"/>
        <w:jc w:val="left"/>
        <w:tblInd w:w="0" w:type="dxa"/>
        <w:tblLayout w:type="fixed"/>
        <w:tblCellMar>
          <w:top w:w="28" w:type="dxa"/>
          <w:left w:w="28" w:type="dxa"/>
          <w:bottom w:w="28" w:type="dxa"/>
          <w:right w:w="28" w:type="dxa"/>
        </w:tblCellMar>
      </w:tblPr>
      <w:tblGrid>
        <w:gridCol w:w="1000"/>
        <w:gridCol w:w="876"/>
        <w:gridCol w:w="883"/>
        <w:gridCol w:w="261"/>
        <w:gridCol w:w="894"/>
        <w:gridCol w:w="135"/>
        <w:gridCol w:w="109"/>
        <w:gridCol w:w="109"/>
        <w:gridCol w:w="109"/>
        <w:gridCol w:w="308"/>
        <w:gridCol w:w="1055"/>
        <w:gridCol w:w="226"/>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repay all contractual interest attributable to the AFG Convertible Notes in-kind on a semi-annual basis, in accordance with the terms of the Investment Agreement. Therefore, as of March 31, 2025 and December 31, 2024, interest payable attributable to the AFG Convertible Notes was $1,481 and $—,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Term Loan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29, 2022, the Company entered into a $100,000 Senior Secured Term Loan Credit Agreement with Atlas Credit Partners (ACP) Post Oak Credit I LLC, as administrative agent for the lenders and collateral agent for the secured parties. The Senior Secured Term Loan was scheduled to mature on the earlier of (i) July 29, 2026 and (ii) 91 days prior to the current maturity date of the 2021 Convertible Note of June 30, 2026.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balance of the Senior Secured Term Loan bore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agreement) plus 0.5% and (z) the SOFR. The applicable margin under the Credit Agreement was 8.5% per annum with respect to SOFR loans and 7.5% per annum with respect to ABR loans. Interest on the Senior Secured Term Loan accrued at a variable interest rate and interest payments were due quarterly. </w:t>
      </w:r>
    </w:p>
    <w:p>
      <w:pPr>
        <w:pStyle w:val="TextBody"/>
        <w:bidi w:val="0"/>
        <w:spacing w:lineRule="auto" w:line="288" w:before="160" w:after="1"/>
        <w:ind w:left="0" w:right="0" w:hanging="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Termination of the Senior Secured Term Loan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2024, the Atlas Credit Agreement, and the subsequent commitment increase agreements thereto, which provided for a $100,000 Senior Secured Term Loan Credit Agreement, were terminated pursuant to the terms of the Atlas Payoff Letter and the Insurer Letter Agreement, and all security interests and other liens granted to or held by the Atlas Lenders were terminated and released.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interest expense recognized:</w:t>
      </w:r>
    </w:p>
    <w:tbl>
      <w:tblPr>
        <w:tblW w:w="5620" w:type="dxa"/>
        <w:jc w:val="left"/>
        <w:tblInd w:w="0" w:type="dxa"/>
        <w:tblLayout w:type="fixed"/>
        <w:tblCellMar>
          <w:top w:w="28" w:type="dxa"/>
          <w:left w:w="28" w:type="dxa"/>
          <w:bottom w:w="28" w:type="dxa"/>
          <w:right w:w="28" w:type="dxa"/>
        </w:tblCellMar>
      </w:tblPr>
      <w:tblGrid>
        <w:gridCol w:w="1085"/>
        <w:gridCol w:w="954"/>
        <w:gridCol w:w="960"/>
        <w:gridCol w:w="272"/>
        <w:gridCol w:w="524"/>
        <w:gridCol w:w="140"/>
        <w:gridCol w:w="140"/>
        <w:gridCol w:w="140"/>
        <w:gridCol w:w="140"/>
        <w:gridCol w:w="272"/>
        <w:gridCol w:w="795"/>
        <w:gridCol w:w="198"/>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13. Borrowings </w:t>
      </w:r>
      <w:r>
        <w:rPr>
          <w:rFonts w:ascii="Times New Roman;sans-serif" w:hAnsi="Times New Roman;sans-serif"/>
          <w:b w:val="false"/>
          <w:color w:val="000000"/>
          <w:sz w:val="20"/>
        </w:rPr>
        <w:t>(cont.)</w:t>
      </w:r>
    </w:p>
    <w:tbl>
      <w:tblPr>
        <w:tblW w:w="10205" w:type="dxa"/>
        <w:jc w:val="left"/>
        <w:tblInd w:w="0" w:type="dxa"/>
        <w:tblLayout w:type="fixed"/>
        <w:tblCellMar>
          <w:top w:w="28" w:type="dxa"/>
          <w:left w:w="28" w:type="dxa"/>
          <w:bottom w:w="28" w:type="dxa"/>
          <w:right w:w="28" w:type="dxa"/>
        </w:tblCellMar>
      </w:tblPr>
      <w:tblGrid>
        <w:gridCol w:w="1066"/>
        <w:gridCol w:w="937"/>
        <w:gridCol w:w="928"/>
        <w:gridCol w:w="562"/>
        <w:gridCol w:w="1925"/>
        <w:gridCol w:w="293"/>
        <w:gridCol w:w="188"/>
        <w:gridCol w:w="188"/>
        <w:gridCol w:w="190"/>
        <w:gridCol w:w="567"/>
        <w:gridCol w:w="567"/>
        <w:gridCol w:w="569"/>
        <w:gridCol w:w="188"/>
        <w:gridCol w:w="188"/>
        <w:gridCol w:w="190"/>
        <w:gridCol w:w="420"/>
        <w:gridCol w:w="928"/>
        <w:gridCol w:w="311"/>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Draw</w:t>
            </w:r>
          </w:p>
        </w:tc>
        <w:tc>
          <w:tcPr>
            <w:tcW w:w="278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Gross Amount of Initial Draw</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Coupon Interest Rate</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Equipment Financing loans</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total equipment financing carrying value was $1,472 and $2,385, respectively of which $1,472 and $2,014 are recorded as a current liability on the Unaudited Condensed Consolidated Balance Sheets, respectively. Interest expense attributable to the equipment financing agreement for the three months ended March 31, 2025 and 2024, attributable to the equipment financing agreement was $82 and $208,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 xml:space="preserve">14. Warrants Liability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warrants outstanding and fair value for all warrants as of March 31, 2025 and December 31, 2024 are as follows:</w:t>
      </w:r>
    </w:p>
    <w:tbl>
      <w:tblPr>
        <w:tblW w:w="10205" w:type="dxa"/>
        <w:jc w:val="left"/>
        <w:tblInd w:w="0" w:type="dxa"/>
        <w:tblLayout w:type="fixed"/>
        <w:tblCellMar>
          <w:top w:w="28" w:type="dxa"/>
          <w:left w:w="28" w:type="dxa"/>
          <w:bottom w:w="28" w:type="dxa"/>
          <w:right w:w="28" w:type="dxa"/>
        </w:tblCellMar>
      </w:tblPr>
      <w:tblGrid>
        <w:gridCol w:w="695"/>
        <w:gridCol w:w="557"/>
        <w:gridCol w:w="560"/>
        <w:gridCol w:w="346"/>
        <w:gridCol w:w="346"/>
        <w:gridCol w:w="348"/>
        <w:gridCol w:w="801"/>
        <w:gridCol w:w="587"/>
        <w:gridCol w:w="589"/>
        <w:gridCol w:w="109"/>
        <w:gridCol w:w="109"/>
        <w:gridCol w:w="109"/>
        <w:gridCol w:w="211"/>
        <w:gridCol w:w="826"/>
        <w:gridCol w:w="109"/>
        <w:gridCol w:w="109"/>
        <w:gridCol w:w="109"/>
        <w:gridCol w:w="109"/>
        <w:gridCol w:w="801"/>
        <w:gridCol w:w="587"/>
        <w:gridCol w:w="589"/>
        <w:gridCol w:w="114"/>
        <w:gridCol w:w="114"/>
        <w:gridCol w:w="114"/>
        <w:gridCol w:w="221"/>
        <w:gridCol w:w="867"/>
        <w:gridCol w:w="169"/>
      </w:tblGrid>
      <w:tr>
        <w:trPr/>
        <w:tc>
          <w:tcPr>
            <w:tcW w:w="6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Warrants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Warrants Outstanding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Warrants liability</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2023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25,406,890 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29,799,992 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45,233,270 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49,676,372 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189,591 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Warrants liability - related party</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 Warrant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Contingent warrants</w:t>
            </w:r>
            <w:r>
              <w:rPr>
                <w:rFonts w:ascii="Times New Roman;sans-serif" w:hAnsi="Times New Roman;sans-serif"/>
                <w:b w:val="false"/>
                <w:color w:val="000000"/>
                <w:sz w:val="13"/>
              </w:rPr>
              <w:t>(a)</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 xml:space="preserve">(a) Contingent warrants represent future issuable shares of stock. See Note 3, </w:t>
      </w:r>
      <w:r>
        <w:rPr>
          <w:rFonts w:ascii="Times New Roman;sans-serif" w:hAnsi="Times New Roman;sans-serif"/>
          <w:b w:val="false"/>
          <w:i/>
          <w:color w:val="000000"/>
          <w:sz w:val="16"/>
        </w:rPr>
        <w:t>Credit and Securities Purchase Transaction</w:t>
      </w:r>
      <w:r>
        <w:rPr>
          <w:color w:val="000000"/>
        </w:rPr>
        <w:t xml:space="preserve"> </w:t>
      </w:r>
      <w:r>
        <w:rPr>
          <w:rFonts w:ascii="Times New Roman;sans-serif" w:hAnsi="Times New Roman;sans-serif"/>
          <w:b w:val="false"/>
          <w:color w:val="000000"/>
          <w:sz w:val="16"/>
        </w:rPr>
        <w:t>for further discussion</w:t>
      </w:r>
      <w:r>
        <w:rPr>
          <w:rFonts w:ascii="Times New Roman;sans-serif" w:hAnsi="Times New Roman;sans-serif"/>
          <w:b w:val="false"/>
          <w:color w:val="000000"/>
          <w:sz w:val="18"/>
        </w:rPr>
        <w:t>.</w:t>
      </w:r>
    </w:p>
    <w:p>
      <w:pPr>
        <w:pStyle w:val="TextBody"/>
        <w:bidi w:val="0"/>
        <w:spacing w:before="0" w:after="0"/>
        <w:jc w:val="both"/>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The change in fair value for IPO Warrants, April 2023 Warrants, May 2023 Warrants and December 2023 Warrants have been recognized in change in fair value of warrants on the Company’s Unaudited Condensed Consolidated Statements of Operations and Comprehensive Income (Loss). The April, May, and December 2023 Warrants are classified as Warrants liability and the IPO warrants are included in Other current liabilities on the Unaudited Condensed Consolidated Balance Sheets. The change in fair value for the SPA Warrant and Contingent Warrants have been recognized in Change in fair value of derivatives - related parties on the Company’s Unaudited Condensed Consolidated Statements of Operations and Comprehensive Income (Loss). The fair value for these warrants is included in Warrants liability - related party on the Unaudited Condensed Consolidated Balance Sheets. See Note 15,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for further information</w:t>
      </w:r>
      <w:r>
        <w:rPr>
          <w:rFonts w:ascii="Times New Roman;sans-serif" w:hAnsi="Times New Roman;sans-serif"/>
          <w:b w:val="false"/>
          <w:i/>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14. Warrants Liability </w:t>
      </w:r>
      <w:r>
        <w:rPr>
          <w:rFonts w:ascii="Times New Roman;sans-serif" w:hAnsi="Times New Roman;sans-serif"/>
          <w:b w:val="false"/>
          <w:color w:val="000000"/>
          <w:sz w:val="20"/>
        </w:rPr>
        <w:t>(cont.)</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 liability</w:t>
      </w:r>
    </w:p>
    <w:p>
      <w:pPr>
        <w:pStyle w:val="TextBody"/>
        <w:bidi w:val="0"/>
        <w:spacing w:lineRule="auto" w:line="288" w:before="200" w:after="1"/>
        <w:jc w:val="both"/>
        <w:rPr/>
      </w:pPr>
      <w:r>
        <w:rPr>
          <w:rFonts w:ascii="Times New Roman;sans-serif" w:hAnsi="Times New Roman;sans-serif"/>
          <w:b w:val="false"/>
          <w:color w:val="000000"/>
          <w:sz w:val="20"/>
        </w:rPr>
        <w:t>The Company issued private placement warrants to B. Riley Financial, Inc. in conjunction with its initial public offering 2020 (“IPO warrants”). During the three months ended March 31, 2025, 50,000 IPO warrants</w:t>
      </w:r>
      <w:r>
        <w:rPr>
          <w:color w:val="000000"/>
        </w:rPr>
        <w:t xml:space="preserve"> </w:t>
      </w:r>
      <w:r>
        <w:rPr>
          <w:rFonts w:ascii="Times New Roman;sans-serif" w:hAnsi="Times New Roman;sans-serif"/>
          <w:b w:val="false"/>
          <w:color w:val="000000"/>
          <w:sz w:val="20"/>
        </w:rPr>
        <w:t>that were issued to various counterparties became public warrants.</w:t>
      </w:r>
    </w:p>
    <w:p>
      <w:pPr>
        <w:pStyle w:val="TextBody"/>
        <w:bidi w:val="0"/>
        <w:spacing w:lineRule="auto" w:line="288" w:before="20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pStyle w:val="TextBody"/>
        <w:bidi w:val="0"/>
        <w:spacing w:lineRule="auto" w:line="288"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issued in a combined public offering 34,482,759 shares of common stock and 34,482,759 accompanying common warrants to purchase shares of common stock (the "December 2023 warrants"). For the three months ended March 31, 2025, 4,393,102 of the December 2023 warrants were exercised.</w:t>
      </w:r>
    </w:p>
    <w:p>
      <w:pPr>
        <w:pStyle w:val="TextBody"/>
        <w:bidi w:val="0"/>
        <w:spacing w:lineRule="auto" w:line="276"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2023 warrants do not qualify for equity classification guidance in ASC 815-40 and are measured at fair value at each reporting period.</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 liability - related party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SPA Warrant</w:t>
      </w:r>
    </w:p>
    <w:p>
      <w:pPr>
        <w:pStyle w:val="TextBody"/>
        <w:bidi w:val="0"/>
        <w:spacing w:lineRule="auto" w:line="288" w:before="160" w:after="283"/>
        <w:jc w:val="both"/>
        <w:rPr/>
      </w:pPr>
      <w:r>
        <w:rPr>
          <w:rFonts w:ascii="Times New Roman;sans-serif" w:hAnsi="Times New Roman;sans-serif"/>
          <w:b w:val="false"/>
          <w:color w:val="000000"/>
          <w:sz w:val="20"/>
        </w:rPr>
        <w:t xml:space="preserve">As discussed in Note 3, </w:t>
      </w:r>
      <w:r>
        <w:rPr>
          <w:rFonts w:ascii="Times New Roman;sans-serif" w:hAnsi="Times New Roman;sans-serif"/>
          <w:b w:val="false"/>
          <w:i/>
          <w:color w:val="000000"/>
          <w:sz w:val="20"/>
        </w:rPr>
        <w:t xml:space="preserve">Credit Agreement and Securities Purchase Transaction, </w:t>
      </w:r>
      <w:r>
        <w:rPr>
          <w:rFonts w:ascii="Times New Roman;sans-serif" w:hAnsi="Times New Roman;sans-serif"/>
          <w:b w:val="false"/>
          <w:color w:val="000000"/>
          <w:sz w:val="20"/>
        </w:rPr>
        <w:t xml:space="preserve">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Warrant Conversion Cap increased to 49.9%. See Note 3, </w:t>
      </w:r>
      <w:r>
        <w:rPr>
          <w:rFonts w:ascii="Times New Roman;sans-serif" w:hAnsi="Times New Roman;sans-serif"/>
          <w:b w:val="false"/>
          <w:i/>
          <w:color w:val="000000"/>
          <w:sz w:val="20"/>
        </w:rPr>
        <w:t>Credit Agreement and Securities Purchase Transaction</w:t>
      </w:r>
      <w:r>
        <w:rPr>
          <w:color w:val="000000"/>
        </w:rPr>
        <w:t xml:space="preserve"> </w:t>
      </w:r>
      <w:r>
        <w:rPr>
          <w:rFonts w:ascii="Times New Roman;sans-serif" w:hAnsi="Times New Roman;sans-serif"/>
          <w:b w:val="false"/>
          <w:color w:val="000000"/>
          <w:sz w:val="20"/>
        </w:rPr>
        <w:t>for additional information on this transaction.</w:t>
      </w:r>
    </w:p>
    <w:p>
      <w:pPr>
        <w:pStyle w:val="TextBody"/>
        <w:bidi w:val="0"/>
        <w:spacing w:lineRule="auto" w:line="268" w:before="160" w:after="1"/>
        <w:jc w:val="both"/>
        <w:rPr>
          <w:rFonts w:ascii="Times New Roman;sans-serif" w:hAnsi="Times New Roman;sans-serif"/>
          <w:b/>
          <w:i/>
          <w:color w:val="000000"/>
          <w:sz w:val="20"/>
        </w:rPr>
      </w:pPr>
      <w:r>
        <w:rPr>
          <w:rFonts w:ascii="Times New Roman;sans-serif" w:hAnsi="Times New Roman;sans-serif"/>
          <w:b/>
          <w:i/>
          <w:color w:val="000000"/>
          <w:sz w:val="20"/>
        </w:rPr>
        <w:t>Contingent Warrants</w:t>
      </w:r>
    </w:p>
    <w:p>
      <w:pPr>
        <w:pStyle w:val="TextBody"/>
        <w:bidi w:val="0"/>
        <w:spacing w:lineRule="auto" w:line="288" w:before="160" w:after="1"/>
        <w:jc w:val="both"/>
        <w:rPr/>
      </w:pPr>
      <w:r>
        <w:rPr>
          <w:rFonts w:ascii="Times New Roman;sans-serif" w:hAnsi="Times New Roman;sans-serif"/>
          <w:b w:val="false"/>
          <w:color w:val="000000"/>
          <w:sz w:val="20"/>
        </w:rPr>
        <w:t xml:space="preserve">Following the Initial Draw,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at such time the Delayed Draw Term Loan was fully drawn. Although these contingent warrants were not issued or exercisable until additional draws occurred, they meet the guidance under ASC 480 and are recognized at fair value with changes in fair value reported in the Unaudited Condensed Consolidated Statements of Operations and Comprehensive Income (Loss). As of the balance sheet date the applicable percentage is subject to increase by 4.0% up to 37.0% on a fully diluted basis to the extent that milestones are not met on the final measurement date on April 30, 2025, in which case additional Contingent Warrants would be issuable. See Note 22,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for further discussion of the applicable percentage and final measurement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15. Fair Value Measurement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15.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and accounts payable are considered to be representative of their fair value due to the short maturity of these instruments. </w:t>
      </w:r>
    </w:p>
    <w:p>
      <w:pPr>
        <w:pStyle w:val="TextBody"/>
        <w:bidi w:val="0"/>
        <w:spacing w:lineRule="auto" w:line="288" w:before="160" w:after="283"/>
        <w:jc w:val="both"/>
        <w:rPr/>
      </w:pPr>
      <w:r>
        <w:rPr>
          <w:rFonts w:ascii="Times New Roman;sans-serif" w:hAnsi="Times New Roman;sans-serif"/>
          <w:b w:val="false"/>
          <w:color w:val="000000"/>
          <w:sz w:val="20"/>
        </w:rPr>
        <w:t>The following tables set forth the Company's financial liabilities measured at fair values based on the fair value hierarchy, as described above. These should also be read with Note 2,</w:t>
      </w:r>
      <w:r>
        <w:rPr>
          <w:color w:val="000000"/>
        </w:rPr>
        <w:t xml:space="preserve">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Company’s Annual Report on Form 10-K for the year ended December 31, 2024.</w:t>
      </w:r>
    </w:p>
    <w:tbl>
      <w:tblPr>
        <w:tblW w:w="10205" w:type="dxa"/>
        <w:jc w:val="left"/>
        <w:tblInd w:w="0" w:type="dxa"/>
        <w:tblLayout w:type="fixed"/>
        <w:tblCellMar>
          <w:top w:w="28" w:type="dxa"/>
          <w:left w:w="28" w:type="dxa"/>
          <w:bottom w:w="28" w:type="dxa"/>
          <w:right w:w="28" w:type="dxa"/>
        </w:tblCellMar>
      </w:tblPr>
      <w:tblGrid>
        <w:gridCol w:w="1197"/>
        <w:gridCol w:w="1032"/>
        <w:gridCol w:w="1039"/>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5"/>
      </w:tblGrid>
      <w:tr>
        <w:trPr/>
        <w:tc>
          <w:tcPr>
            <w:tcW w:w="119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SPA Warrant </w:t>
            </w:r>
            <w:r>
              <w:rPr>
                <w:rFonts w:ascii="Times New Roman;sans-serif" w:hAnsi="Times New Roman;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warrants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IPO, April, May and December 2023 Warrants </w:t>
            </w:r>
            <w:r>
              <w:rPr>
                <w:rFonts w:ascii="Times New Roman;sans-serif" w:hAnsi="Times New Roman;sans-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Embedded derivatives</w:t>
            </w:r>
            <w:r>
              <w:rPr>
                <w:rFonts w:ascii="Times New Roman;sans-serif" w:hAnsi="Times New Roman;sans-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ans-serif" w:hAnsi="Times New Roman;sans-serif"/>
          <w:b w:val="false"/>
          <w:color w:val="000000"/>
          <w:sz w:val="16"/>
        </w:rPr>
      </w:pPr>
      <w:r>
        <w:rPr>
          <w:rFonts w:ascii="Times New Roman;sans-serif" w:hAnsi="Times New Roman;sans-serif"/>
          <w:b w:val="false"/>
          <w:color w:val="000000"/>
          <w:sz w:val="16"/>
        </w:rPr>
        <w:t>(a) Included in Warrants liability - Related party on the Unaudited Condensed Consolidated Balance Sheets.</w:t>
      </w:r>
    </w:p>
    <w:p>
      <w:pPr>
        <w:pStyle w:val="TextBody"/>
        <w:bidi w:val="0"/>
        <w:spacing w:lineRule="auto" w:line="288" w:before="0" w:after="1"/>
        <w:jc w:val="both"/>
        <w:rPr>
          <w:rFonts w:ascii="Times New Roman;sans-serif" w:hAnsi="Times New Roman;sans-serif"/>
          <w:b w:val="false"/>
          <w:color w:val="000000"/>
          <w:sz w:val="16"/>
        </w:rPr>
      </w:pPr>
      <w:r>
        <w:rPr>
          <w:rFonts w:ascii="Times New Roman;sans-serif" w:hAnsi="Times New Roman;sans-serif"/>
          <w:b w:val="false"/>
          <w:color w:val="000000"/>
          <w:sz w:val="16"/>
        </w:rPr>
        <w:t>(b) All these instruments are Level 3, except for the IPO warrants (Level 2). These are included in Warrants liability on the Unaudited</w:t>
      </w:r>
    </w:p>
    <w:p>
      <w:pPr>
        <w:pStyle w:val="TextBody"/>
        <w:bidi w:val="0"/>
        <w:spacing w:lineRule="auto" w:line="288" w:before="0" w:after="1"/>
        <w:jc w:val="both"/>
        <w:rPr>
          <w:rFonts w:ascii="Times New Roman;sans-serif" w:hAnsi="Times New Roman;sans-serif"/>
          <w:b w:val="false"/>
          <w:color w:val="000000"/>
          <w:sz w:val="16"/>
        </w:rPr>
      </w:pPr>
      <w:r>
        <w:rPr>
          <w:rFonts w:ascii="Times New Roman;sans-serif" w:hAnsi="Times New Roman;sans-serif"/>
          <w:b w:val="false"/>
          <w:color w:val="000000"/>
          <w:sz w:val="16"/>
        </w:rPr>
        <w:t>Condensed Consolidated Balance Sheets.</w:t>
      </w:r>
    </w:p>
    <w:p>
      <w:pPr>
        <w:pStyle w:val="TextBody"/>
        <w:bidi w:val="0"/>
        <w:spacing w:lineRule="auto" w:line="288" w:before="0" w:after="1"/>
        <w:jc w:val="both"/>
        <w:rPr>
          <w:rFonts w:ascii="Times New Roman;sans-serif" w:hAnsi="Times New Roman;sans-serif"/>
          <w:b w:val="false"/>
          <w:color w:val="000000"/>
          <w:sz w:val="16"/>
        </w:rPr>
      </w:pPr>
      <w:r>
        <w:rPr>
          <w:rFonts w:ascii="Times New Roman;sans-serif" w:hAnsi="Times New Roman;sans-serif"/>
          <w:b w:val="false"/>
          <w:color w:val="000000"/>
          <w:sz w:val="16"/>
        </w:rPr>
        <w:t>(c) Included in Notes Payable - Related Party on the Unaudited Condensed Consolidated Balance Sheets.</w:t>
      </w:r>
    </w:p>
    <w:p>
      <w:pPr>
        <w:pStyle w:val="TextBody"/>
        <w:bidi w:val="0"/>
        <w:spacing w:before="0" w:after="1"/>
        <w:jc w:val="both"/>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following recurring level 2 and level 3 instruments’ valuation model used to determine fair value is disclosed in the Company’s Annual Report on the Form 10-K for the year ended December 31, 2024. </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IPO Warrants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IPO warrants are valued on the basis of the quoted price of the Company’s public warrants, adjusted for insignificant difference between the public warrants and the private placement warrants. </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April 2023 warrants, May 2023 warrants and December 2023 warrants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April 2023 warrants, May 2023 warrants, and the December 2023 warrants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15. Fair Value Measurement</w:t>
      </w:r>
      <w:r>
        <w:rPr>
          <w:color w:val="000000"/>
        </w:rPr>
        <w:t xml:space="preserve"> </w:t>
      </w:r>
      <w:r>
        <w:rPr>
          <w:rFonts w:ascii="Times New Roman;sans-serif" w:hAnsi="Times New Roman;sans-serif"/>
          <w:b w:val="false"/>
          <w:color w:val="000000"/>
          <w:sz w:val="20"/>
        </w:rPr>
        <w:t>(cont.)</w:t>
      </w:r>
    </w:p>
    <w:tbl>
      <w:tblPr>
        <w:tblW w:w="5457" w:type="dxa"/>
        <w:jc w:val="left"/>
        <w:tblInd w:w="0" w:type="dxa"/>
        <w:tblLayout w:type="fixed"/>
        <w:tblCellMar>
          <w:top w:w="28" w:type="dxa"/>
          <w:left w:w="28" w:type="dxa"/>
          <w:bottom w:w="28" w:type="dxa"/>
          <w:right w:w="28" w:type="dxa"/>
        </w:tblCellMar>
      </w:tblPr>
      <w:tblGrid>
        <w:gridCol w:w="815"/>
        <w:gridCol w:w="716"/>
        <w:gridCol w:w="719"/>
        <w:gridCol w:w="274"/>
        <w:gridCol w:w="664"/>
        <w:gridCol w:w="352"/>
        <w:gridCol w:w="109"/>
        <w:gridCol w:w="109"/>
        <w:gridCol w:w="109"/>
        <w:gridCol w:w="323"/>
        <w:gridCol w:w="783"/>
        <w:gridCol w:w="48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2023 warrants</w:t>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May 2023 warrants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2023 warrants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Embedded derivatives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embedded conversion features in the 2021 Convertible Note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embedded derivative liabilities are as follows:</w:t>
      </w:r>
    </w:p>
    <w:tbl>
      <w:tblPr>
        <w:tblW w:w="5232" w:type="dxa"/>
        <w:jc w:val="left"/>
        <w:tblInd w:w="0" w:type="dxa"/>
        <w:tblLayout w:type="fixed"/>
        <w:tblCellMar>
          <w:top w:w="28" w:type="dxa"/>
          <w:left w:w="28" w:type="dxa"/>
          <w:bottom w:w="28" w:type="dxa"/>
          <w:right w:w="28" w:type="dxa"/>
        </w:tblCellMar>
      </w:tblPr>
      <w:tblGrid>
        <w:gridCol w:w="734"/>
        <w:gridCol w:w="644"/>
        <w:gridCol w:w="647"/>
        <w:gridCol w:w="287"/>
        <w:gridCol w:w="287"/>
        <w:gridCol w:w="716"/>
        <w:gridCol w:w="109"/>
        <w:gridCol w:w="109"/>
        <w:gridCol w:w="109"/>
        <w:gridCol w:w="323"/>
        <w:gridCol w:w="323"/>
        <w:gridCol w:w="94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2021 Convertible Note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5216" w:type="dxa"/>
        <w:jc w:val="left"/>
        <w:tblInd w:w="0" w:type="dxa"/>
        <w:tblLayout w:type="fixed"/>
        <w:tblCellMar>
          <w:top w:w="28" w:type="dxa"/>
          <w:left w:w="28" w:type="dxa"/>
          <w:bottom w:w="28" w:type="dxa"/>
          <w:right w:w="28" w:type="dxa"/>
        </w:tblCellMar>
      </w:tblPr>
      <w:tblGrid>
        <w:gridCol w:w="728"/>
        <w:gridCol w:w="639"/>
        <w:gridCol w:w="642"/>
        <w:gridCol w:w="287"/>
        <w:gridCol w:w="287"/>
        <w:gridCol w:w="716"/>
        <w:gridCol w:w="109"/>
        <w:gridCol w:w="109"/>
        <w:gridCol w:w="109"/>
        <w:gridCol w:w="323"/>
        <w:gridCol w:w="323"/>
        <w:gridCol w:w="94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AFG Convertible Note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Years</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15.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color w:val="000000"/>
          <w:sz w:val="20"/>
          <w:u w:val="single"/>
        </w:rPr>
      </w:pPr>
      <w:r>
        <w:rPr>
          <w:rFonts w:ascii="Times New Roman;sans-serif" w:hAnsi="Times New Roman;sans-serif"/>
          <w:b/>
          <w:color w:val="000000"/>
          <w:sz w:val="20"/>
          <w:u w:val="single"/>
        </w:rPr>
        <w:t>Accounting for instruments resulting from the Credit and Securities Purchase Transaction</w:t>
      </w:r>
    </w:p>
    <w:p>
      <w:pPr>
        <w:pStyle w:val="TextBody"/>
        <w:bidi w:val="0"/>
        <w:spacing w:lineRule="auto" w:line="288" w:before="160" w:after="1"/>
        <w:jc w:val="both"/>
        <w:rPr/>
      </w:pPr>
      <w:r>
        <w:rPr>
          <w:rFonts w:ascii="Times New Roman;sans-serif" w:hAnsi="Times New Roman;sans-serif"/>
          <w:b w:val="false"/>
          <w:color w:val="000000"/>
          <w:sz w:val="20"/>
        </w:rPr>
        <w:t xml:space="preserve">The Loan commitment assets were measured at fair value as of June 21, 2024 (see Note 3, </w:t>
      </w:r>
      <w:r>
        <w:rPr>
          <w:rFonts w:ascii="Times New Roman;sans-serif" w:hAnsi="Times New Roman;sans-serif"/>
          <w:b w:val="false"/>
          <w:i/>
          <w:color w:val="000000"/>
          <w:sz w:val="20"/>
        </w:rPr>
        <w:t>Credit and Securities Purchase Transaction</w:t>
      </w:r>
      <w:r>
        <w:rPr>
          <w:rFonts w:ascii="Times New Roman;sans-serif" w:hAnsi="Times New Roman;sans-serif"/>
          <w:b w:val="false"/>
          <w:color w:val="000000"/>
          <w:sz w:val="20"/>
        </w:rPr>
        <w:t>). The fair value was $76,091 at issuance calculated using the discounted cash flow model. They will not be subsequently remeasured at fair value.</w:t>
      </w:r>
    </w:p>
    <w:p>
      <w:pPr>
        <w:pStyle w:val="TextBody"/>
        <w:bidi w:val="0"/>
        <w:spacing w:lineRule="auto" w:line="288" w:before="160" w:after="1"/>
        <w:jc w:val="both"/>
        <w:rPr/>
      </w:pPr>
      <w:r>
        <w:rPr>
          <w:rFonts w:ascii="Times New Roman;sans-serif" w:hAnsi="Times New Roman;sans-serif"/>
          <w:b w:val="false"/>
          <w:color w:val="000000"/>
          <w:sz w:val="20"/>
        </w:rPr>
        <w:t xml:space="preserve">The following table summarizes instruments that were initially and subsequently measured at fair value. (see Note 3, </w:t>
      </w:r>
      <w:r>
        <w:rPr>
          <w:rFonts w:ascii="Times New Roman;sans-serif" w:hAnsi="Times New Roman;sans-serif"/>
          <w:b w:val="false"/>
          <w:i/>
          <w:color w:val="000000"/>
          <w:sz w:val="20"/>
        </w:rPr>
        <w:t>Credit and Securities Purchase Transaction</w:t>
      </w:r>
      <w:r>
        <w:rPr>
          <w:rFonts w:ascii="Times New Roman;sans-serif" w:hAnsi="Times New Roman;sans-serif"/>
          <w:b w:val="false"/>
          <w:color w:val="000000"/>
          <w:sz w:val="20"/>
        </w:rPr>
        <w:t>):</w:t>
      </w:r>
    </w:p>
    <w:tbl>
      <w:tblPr>
        <w:tblW w:w="8138" w:type="dxa"/>
        <w:jc w:val="left"/>
        <w:tblInd w:w="0" w:type="dxa"/>
        <w:tblLayout w:type="fixed"/>
        <w:tblCellMar>
          <w:top w:w="28" w:type="dxa"/>
          <w:left w:w="28" w:type="dxa"/>
          <w:bottom w:w="28" w:type="dxa"/>
          <w:right w:w="28" w:type="dxa"/>
        </w:tblCellMar>
      </w:tblPr>
      <w:tblGrid>
        <w:gridCol w:w="1397"/>
        <w:gridCol w:w="1225"/>
        <w:gridCol w:w="1233"/>
        <w:gridCol w:w="109"/>
        <w:gridCol w:w="109"/>
        <w:gridCol w:w="109"/>
        <w:gridCol w:w="699"/>
        <w:gridCol w:w="699"/>
        <w:gridCol w:w="701"/>
        <w:gridCol w:w="109"/>
        <w:gridCol w:w="109"/>
        <w:gridCol w:w="109"/>
        <w:gridCol w:w="297"/>
        <w:gridCol w:w="1016"/>
        <w:gridCol w:w="217"/>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Initial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Initial Fair Value</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draw of the Delayed Draw Term Loan was estimated using a discounted cash flow (“DCF”) method, based on the contractual cash flows discounted at a debt yield and considering the probability of achieving certain milestones.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Contingent Warrants is estimated based on the underlying Eos common stock closing price adjusted by a DLOM using Black-Scholes option pricing model, considering the probability of achieving certain milestones. A DLOM was applied considering the underlying shares of the Contingent Warrants are unregistered. </w:t>
      </w:r>
    </w:p>
    <w:p>
      <w:pPr>
        <w:pStyle w:val="TextBody"/>
        <w:bidi w:val="0"/>
        <w:spacing w:lineRule="auto" w:line="288" w:before="120" w:after="283"/>
        <w:jc w:val="both"/>
        <w:rPr/>
      </w:pPr>
      <w:r>
        <w:rPr>
          <w:rFonts w:ascii="Times New Roman;sans-serif" w:hAnsi="Times New Roman;sans-serif"/>
          <w:b w:val="false"/>
          <w:color w:val="000000"/>
          <w:sz w:val="20"/>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Quantitative information about all significant unobservable inputs used in the fair value measurement for non-recurring level 3 measurements:</w:t>
      </w:r>
    </w:p>
    <w:p>
      <w:pPr>
        <w:pStyle w:val="TextBody"/>
        <w:bidi w:val="0"/>
        <w:spacing w:before="0" w:after="0"/>
        <w:jc w:val="both"/>
        <w:rPr/>
      </w:pPr>
      <w:r>
        <w:rPr/>
      </w:r>
    </w:p>
    <w:tbl>
      <w:tblPr>
        <w:tblW w:w="5426"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392"/>
        <w:gridCol w:w="392"/>
        <w:gridCol w:w="11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Loan Commitment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21, 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achievement expectations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Very high probability</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Quantitative information about all significant unobservable inputs used in the fair value measurement for recurring level 3 measurements:</w:t>
      </w:r>
    </w:p>
    <w:p>
      <w:pPr>
        <w:pStyle w:val="TextBody"/>
        <w:bidi w:val="0"/>
        <w:spacing w:before="0" w:after="0"/>
        <w:jc w:val="left"/>
        <w:rPr/>
      </w:pPr>
      <w:r>
        <w:rPr/>
      </w:r>
    </w:p>
    <w:tbl>
      <w:tblPr>
        <w:tblW w:w="8688" w:type="dxa"/>
        <w:jc w:val="left"/>
        <w:tblInd w:w="0" w:type="dxa"/>
        <w:tblLayout w:type="fixed"/>
        <w:tblCellMar>
          <w:top w:w="28" w:type="dxa"/>
          <w:left w:w="28" w:type="dxa"/>
          <w:bottom w:w="28" w:type="dxa"/>
          <w:right w:w="28" w:type="dxa"/>
        </w:tblCellMar>
      </w:tblPr>
      <w:tblGrid>
        <w:gridCol w:w="1328"/>
        <w:gridCol w:w="1171"/>
        <w:gridCol w:w="1175"/>
        <w:gridCol w:w="109"/>
        <w:gridCol w:w="109"/>
        <w:gridCol w:w="109"/>
        <w:gridCol w:w="257"/>
        <w:gridCol w:w="257"/>
        <w:gridCol w:w="640"/>
        <w:gridCol w:w="109"/>
        <w:gridCol w:w="109"/>
        <w:gridCol w:w="109"/>
        <w:gridCol w:w="344"/>
        <w:gridCol w:w="344"/>
        <w:gridCol w:w="857"/>
        <w:gridCol w:w="109"/>
        <w:gridCol w:w="109"/>
        <w:gridCol w:w="109"/>
        <w:gridCol w:w="272"/>
        <w:gridCol w:w="272"/>
        <w:gridCol w:w="790"/>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Delayed Draw Term Loan Initial 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27" w:type="dxa"/>
        <w:jc w:val="left"/>
        <w:tblInd w:w="0" w:type="dxa"/>
        <w:tblLayout w:type="fixed"/>
        <w:tblCellMar>
          <w:top w:w="28" w:type="dxa"/>
          <w:left w:w="28" w:type="dxa"/>
          <w:bottom w:w="28" w:type="dxa"/>
          <w:right w:w="28" w:type="dxa"/>
        </w:tblCellMar>
      </w:tblPr>
      <w:tblGrid>
        <w:gridCol w:w="1370"/>
        <w:gridCol w:w="1200"/>
        <w:gridCol w:w="1209"/>
        <w:gridCol w:w="109"/>
        <w:gridCol w:w="109"/>
        <w:gridCol w:w="109"/>
        <w:gridCol w:w="417"/>
        <w:gridCol w:w="417"/>
        <w:gridCol w:w="1040"/>
        <w:gridCol w:w="109"/>
        <w:gridCol w:w="109"/>
        <w:gridCol w:w="109"/>
        <w:gridCol w:w="390"/>
        <w:gridCol w:w="390"/>
        <w:gridCol w:w="1140"/>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Contingent Warrants- all 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achievement expectations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Very high probability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Very high probability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lack of marketability (“DLOM”)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15. Fair Value Measurement</w:t>
      </w:r>
      <w:r>
        <w:rPr>
          <w:color w:val="000000"/>
        </w:rPr>
        <w:t xml:space="preserve"> </w:t>
      </w:r>
      <w:r>
        <w:rPr>
          <w:rFonts w:ascii="Times New Roman;sans-serif" w:hAnsi="Times New Roman;sans-serif"/>
          <w:b w:val="false"/>
          <w:color w:val="000000"/>
          <w:sz w:val="20"/>
        </w:rPr>
        <w:t>(cont.)</w:t>
      </w:r>
    </w:p>
    <w:tbl>
      <w:tblPr>
        <w:tblW w:w="8793" w:type="dxa"/>
        <w:jc w:val="left"/>
        <w:tblInd w:w="0" w:type="dxa"/>
        <w:tblLayout w:type="fixed"/>
        <w:tblCellMar>
          <w:top w:w="28" w:type="dxa"/>
          <w:left w:w="28" w:type="dxa"/>
          <w:bottom w:w="28" w:type="dxa"/>
          <w:right w:w="28" w:type="dxa"/>
        </w:tblCellMar>
      </w:tblPr>
      <w:tblGrid>
        <w:gridCol w:w="1368"/>
        <w:gridCol w:w="1201"/>
        <w:gridCol w:w="1210"/>
        <w:gridCol w:w="109"/>
        <w:gridCol w:w="109"/>
        <w:gridCol w:w="109"/>
        <w:gridCol w:w="257"/>
        <w:gridCol w:w="257"/>
        <w:gridCol w:w="640"/>
        <w:gridCol w:w="109"/>
        <w:gridCol w:w="109"/>
        <w:gridCol w:w="109"/>
        <w:gridCol w:w="344"/>
        <w:gridCol w:w="344"/>
        <w:gridCol w:w="857"/>
        <w:gridCol w:w="109"/>
        <w:gridCol w:w="109"/>
        <w:gridCol w:w="109"/>
        <w:gridCol w:w="272"/>
        <w:gridCol w:w="272"/>
        <w:gridCol w:w="790"/>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lack of marketability (“DLOM”)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88"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99"/>
        <w:gridCol w:w="299"/>
        <w:gridCol w:w="751"/>
        <w:gridCol w:w="109"/>
        <w:gridCol w:w="109"/>
        <w:gridCol w:w="109"/>
        <w:gridCol w:w="344"/>
        <w:gridCol w:w="344"/>
        <w:gridCol w:w="857"/>
        <w:gridCol w:w="109"/>
        <w:gridCol w:w="109"/>
        <w:gridCol w:w="109"/>
        <w:gridCol w:w="272"/>
        <w:gridCol w:w="272"/>
        <w:gridCol w:w="790"/>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Delayed Draw Term Loan August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tbl>
      <w:tblPr>
        <w:tblW w:w="8838" w:type="dxa"/>
        <w:jc w:val="left"/>
        <w:tblInd w:w="0" w:type="dxa"/>
        <w:tblLayout w:type="fixed"/>
        <w:tblCellMar>
          <w:top w:w="28" w:type="dxa"/>
          <w:left w:w="28" w:type="dxa"/>
          <w:bottom w:w="28" w:type="dxa"/>
          <w:right w:w="28" w:type="dxa"/>
        </w:tblCellMar>
      </w:tblPr>
      <w:tblGrid>
        <w:gridCol w:w="1299"/>
        <w:gridCol w:w="1140"/>
        <w:gridCol w:w="1145"/>
        <w:gridCol w:w="109"/>
        <w:gridCol w:w="109"/>
        <w:gridCol w:w="109"/>
        <w:gridCol w:w="309"/>
        <w:gridCol w:w="309"/>
        <w:gridCol w:w="776"/>
        <w:gridCol w:w="109"/>
        <w:gridCol w:w="109"/>
        <w:gridCol w:w="109"/>
        <w:gridCol w:w="344"/>
        <w:gridCol w:w="344"/>
        <w:gridCol w:w="857"/>
        <w:gridCol w:w="109"/>
        <w:gridCol w:w="109"/>
        <w:gridCol w:w="109"/>
        <w:gridCol w:w="272"/>
        <w:gridCol w:w="272"/>
        <w:gridCol w:w="790"/>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Delayed Draw Term Loan October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028"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317"/>
        <w:gridCol w:w="317"/>
        <w:gridCol w:w="791"/>
        <w:gridCol w:w="109"/>
        <w:gridCol w:w="109"/>
        <w:gridCol w:w="109"/>
        <w:gridCol w:w="272"/>
        <w:gridCol w:w="272"/>
        <w:gridCol w:w="790"/>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Delayed Draw Term Loan January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3 Rollforward for Liabilities Measured at Fair Value on a Recurring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fair value of liabilities that are included within the Company’s accompanying Unaudited Condensed Consolidated Balance Sheets and are designated as Level 3:</w:t>
      </w:r>
    </w:p>
    <w:tbl>
      <w:tblPr>
        <w:tblW w:w="6310" w:type="dxa"/>
        <w:jc w:val="left"/>
        <w:tblInd w:w="0" w:type="dxa"/>
        <w:tblLayout w:type="fixed"/>
        <w:tblCellMar>
          <w:top w:w="28" w:type="dxa"/>
          <w:left w:w="28" w:type="dxa"/>
          <w:bottom w:w="28" w:type="dxa"/>
          <w:right w:w="28" w:type="dxa"/>
        </w:tblCellMar>
      </w:tblPr>
      <w:tblGrid>
        <w:gridCol w:w="1338"/>
        <w:gridCol w:w="1174"/>
        <w:gridCol w:w="1178"/>
        <w:gridCol w:w="216"/>
        <w:gridCol w:w="847"/>
        <w:gridCol w:w="111"/>
        <w:gridCol w:w="111"/>
        <w:gridCol w:w="111"/>
        <w:gridCol w:w="111"/>
        <w:gridCol w:w="216"/>
        <w:gridCol w:w="739"/>
        <w:gridCol w:w="158"/>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Delayed Draw Term Loan</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 January Draw</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Term Loan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SPA Warrant and Contingent Warrants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to preferred stock</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May, and December 2023 Warrants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 warrants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63" w:type="dxa"/>
        <w:jc w:val="left"/>
        <w:tblInd w:w="0" w:type="dxa"/>
        <w:tblLayout w:type="fixed"/>
        <w:tblCellMar>
          <w:top w:w="28" w:type="dxa"/>
          <w:left w:w="28" w:type="dxa"/>
          <w:bottom w:w="28" w:type="dxa"/>
          <w:right w:w="28" w:type="dxa"/>
        </w:tblCellMar>
      </w:tblPr>
      <w:tblGrid>
        <w:gridCol w:w="1527"/>
        <w:gridCol w:w="1339"/>
        <w:gridCol w:w="1348"/>
        <w:gridCol w:w="211"/>
        <w:gridCol w:w="721"/>
        <w:gridCol w:w="109"/>
        <w:gridCol w:w="109"/>
        <w:gridCol w:w="109"/>
        <w:gridCol w:w="109"/>
        <w:gridCol w:w="211"/>
        <w:gridCol w:w="61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Embedded derivatives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15.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815"/>
        <w:gridCol w:w="681"/>
        <w:gridCol w:w="690"/>
        <w:gridCol w:w="647"/>
        <w:gridCol w:w="647"/>
        <w:gridCol w:w="650"/>
        <w:gridCol w:w="253"/>
        <w:gridCol w:w="992"/>
        <w:gridCol w:w="130"/>
        <w:gridCol w:w="109"/>
        <w:gridCol w:w="109"/>
        <w:gridCol w:w="109"/>
        <w:gridCol w:w="211"/>
        <w:gridCol w:w="826"/>
        <w:gridCol w:w="109"/>
        <w:gridCol w:w="109"/>
        <w:gridCol w:w="109"/>
        <w:gridCol w:w="109"/>
        <w:gridCol w:w="253"/>
        <w:gridCol w:w="992"/>
        <w:gridCol w:w="130"/>
        <w:gridCol w:w="109"/>
        <w:gridCol w:w="109"/>
        <w:gridCol w:w="109"/>
        <w:gridCol w:w="211"/>
        <w:gridCol w:w="826"/>
        <w:gridCol w:w="161"/>
      </w:tblGrid>
      <w:tr>
        <w:trPr/>
        <w:tc>
          <w:tcPr>
            <w:tcW w:w="8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in fair value hierarchy</w:t>
            </w:r>
          </w:p>
        </w:tc>
        <w:tc>
          <w:tcPr>
            <w:tcW w:w="2848"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commitment assets</w:t>
            </w:r>
          </w:p>
        </w:tc>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w:t>
            </w:r>
          </w:p>
        </w:tc>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DOE Loan Facility</w:t>
            </w:r>
          </w:p>
        </w:tc>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737,812 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751,982 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Volume Commitment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The Company is currently negotiating a new long-term supply agreement with the counterparty. As part of the ongoing negotiations, during the fourth quarter of 2024, the Company paid the counterparty $1,250 as a shortfall penalty and transferred equipment with a net book value of approximately $600. As a result, the Company has been released of any minimum volume commitments as part of the original agreement.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March 13, 2025, the District Court entered the Final Judgment and Order of Dismissal.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current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The Company intends to vigorously contest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00" w:after="283"/>
        <w:jc w:val="both"/>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17. 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Unaudited Condensed Consolidated Statements of Operations and Comprehensive Income (Loss) was as follows:</w:t>
      </w:r>
    </w:p>
    <w:tbl>
      <w:tblPr>
        <w:tblW w:w="5994" w:type="dxa"/>
        <w:jc w:val="left"/>
        <w:tblInd w:w="0" w:type="dxa"/>
        <w:tblLayout w:type="fixed"/>
        <w:tblCellMar>
          <w:top w:w="28" w:type="dxa"/>
          <w:left w:w="28" w:type="dxa"/>
          <w:bottom w:w="28" w:type="dxa"/>
          <w:right w:w="28" w:type="dxa"/>
        </w:tblCellMar>
      </w:tblPr>
      <w:tblGrid>
        <w:gridCol w:w="1218"/>
        <w:gridCol w:w="1071"/>
        <w:gridCol w:w="1085"/>
        <w:gridCol w:w="246"/>
        <w:gridCol w:w="720"/>
        <w:gridCol w:w="127"/>
        <w:gridCol w:w="127"/>
        <w:gridCol w:w="127"/>
        <w:gridCol w:w="127"/>
        <w:gridCol w:w="246"/>
        <w:gridCol w:w="720"/>
        <w:gridCol w:w="180"/>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(“RSU”)</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$24,150 of unrecognized compensation expense attributable to unvested RSUs, expected to be recognized over a weighted-average remaining vesting period of 2.2 years.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Performance-Based Restricted Stock Units (“PRSU”)</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granted contingent shares to select key executives that may be earned based on the Company’s total shareholder return (“TSR”) over a two and three-year period following the grant date. 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key assumptions used to estimate the fair value of the TSR awards that were granted, and the resulting weighted average grant date fair value. </w:t>
      </w:r>
    </w:p>
    <w:p>
      <w:pPr>
        <w:pStyle w:val="TextBody"/>
        <w:bidi w:val="0"/>
        <w:spacing w:before="0" w:after="0"/>
        <w:jc w:val="both"/>
        <w:rPr/>
      </w:pPr>
      <w:r>
        <w:rPr/>
      </w:r>
    </w:p>
    <w:tbl>
      <w:tblPr>
        <w:tblW w:w="4394" w:type="dxa"/>
        <w:jc w:val="left"/>
        <w:tblInd w:w="0" w:type="dxa"/>
        <w:tblLayout w:type="fixed"/>
        <w:tblCellMar>
          <w:top w:w="28" w:type="dxa"/>
          <w:left w:w="28" w:type="dxa"/>
          <w:bottom w:w="28" w:type="dxa"/>
          <w:right w:w="28" w:type="dxa"/>
        </w:tblCellMar>
      </w:tblPr>
      <w:tblGrid>
        <w:gridCol w:w="1191"/>
        <w:gridCol w:w="1043"/>
        <w:gridCol w:w="1051"/>
        <w:gridCol w:w="225"/>
        <w:gridCol w:w="546"/>
        <w:gridCol w:w="338"/>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TSR awards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share price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correlation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dividend yield</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performance term</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years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risk-free interest rate</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 average volatility</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Peer group average correlation</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17. Stock-Based Compensation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2024, the Company also granted shares contingent upon the achievement of certain performance milestones related to the Credit Agreement that may be earned over the performance period following the grant date. The contingent share awards (“Milestone PRSU”) are paid out in stock at the end of the vesting period based on the Company’s achievement of the performance milestones.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$3,821 of unrecognized compensation expense attributable to unvested PRSUs, expected to be recognized over a weighted-average remaining vesting period of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$5 and $25 for the three months ended March 31, 2025 and 2024, respectively, related to taxable earnings from foreign operations. The 2024 expense also includes state margin tax adjustments. The income tax expense differs from the amount computed by applying the statutory U.S. federal income tax rate of 21% to the loss before income taxes. This is due to fair value adjustments - debt and warrants, derecognition of loan commitment asset, foreign operations and pre-tax losses for which no tax benefit can be recognized for U.S. income tax purposes.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March 31, 2025 and December 31, 2024 due to cumulative losses. Therefore, the Company has a valuation allowance against its net U.S. deferred tax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has unrecognized tax benefits associated with uncertain tax positions that, if recognized, would not affect the effective tax rate on income from continuing operations. The Company is currently under examination by the IRS related to tax year 2022. The Company is not under examination by any other taxing jurisdictions and none of the unrecognized tax benefits are expected to reverse within the next 12 months.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U.S. federal and various state jurisdictions, as well as in Italy and India. The open tax years for federal returns are 2021 and forward and open tax years for state returns are generally 2019 and forward. In addition, net operating losses generated in closed years and utilized in open years are subject to adjustment by the tax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19. Shareholders’ Deficit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Stock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such designations, voting and other rights and preferences as may be determined from time to time by the Company’s Board of Directors. The preferred stock has a par value of $0.0001 As of March 31, 2025 and December 31, 2024, there were no shares of preferred stock issued or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19. Shareholders’ Deficit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600,000,000 shares of common stock at $0.0001 par value as of March 31, 2025. The holders of the Company’s common stock are entitled to one vote for each share held. At March 31, 2025 and December 31, 2024, there were 227,049,683 and 221,791,205 shares of common stock issued and outstanding,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treasury stock of $488 and $308 for the three months ended March 31, 2025 and 2024, for shares withheld from employees to cover the payroll tax liability of RSUs vested. The treasury stock was immediately retired.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months ended March 31, 2025 and 2024. During the three months ended March 31, 2025, 50,000 IPO warrants that were issued to various counterparties became public warrants. As of March 31, 2025 and December 31, 2024, there were 7,102,254 and 7,052,254 public warrants outstanding for both periods,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sold 7,239,982 shares raising proceeds of $7,206, net of fees paid to Cowen, at an average selling price of $1.03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 Earnings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numerators and denominators used in computing basic and diluted net income (loss) per share for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20. Earnings Per Share </w:t>
      </w:r>
      <w:r>
        <w:rPr>
          <w:rFonts w:ascii="Times New Roman;sans-serif" w:hAnsi="Times New Roman;sans-serif"/>
          <w:b w:val="false"/>
          <w:color w:val="000000"/>
          <w:sz w:val="20"/>
        </w:rPr>
        <w:t>(cont.)</w:t>
      </w:r>
    </w:p>
    <w:tbl>
      <w:tblPr>
        <w:tblW w:w="9758" w:type="dxa"/>
        <w:jc w:val="left"/>
        <w:tblInd w:w="0" w:type="dxa"/>
        <w:tblLayout w:type="fixed"/>
        <w:tblCellMar>
          <w:top w:w="28" w:type="dxa"/>
          <w:left w:w="28" w:type="dxa"/>
          <w:bottom w:w="28" w:type="dxa"/>
          <w:right w:w="28" w:type="dxa"/>
        </w:tblCellMar>
      </w:tblPr>
      <w:tblGrid>
        <w:gridCol w:w="2462"/>
        <w:gridCol w:w="2158"/>
        <w:gridCol w:w="2175"/>
        <w:gridCol w:w="264"/>
        <w:gridCol w:w="922"/>
        <w:gridCol w:w="109"/>
        <w:gridCol w:w="109"/>
        <w:gridCol w:w="109"/>
        <w:gridCol w:w="109"/>
        <w:gridCol w:w="264"/>
        <w:gridCol w:w="922"/>
        <w:gridCol w:w="155"/>
      </w:tblGrid>
      <w:tr>
        <w:trPr/>
        <w:tc>
          <w:tcPr>
            <w:tcW w:w="2462"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for basic earnings per share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interest on convertible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change in fair value on embedded derivatives for convertible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 for change in fair value on SPA Warrant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change in fair value on April, May and December 2023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remeasurement of Series B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for diluted earnings per share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basic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225,474,247 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convertible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Series B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110,850,111 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dilutive common shares outstanding</w:t>
            </w:r>
          </w:p>
        </w:tc>
        <w:tc>
          <w:tcPr>
            <w:tcW w:w="11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436,368,282 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3" w:type="dxa"/>
        <w:jc w:val="left"/>
        <w:tblInd w:w="0" w:type="dxa"/>
        <w:tblLayout w:type="fixed"/>
        <w:tblCellMar>
          <w:top w:w="28" w:type="dxa"/>
          <w:left w:w="28" w:type="dxa"/>
          <w:bottom w:w="28" w:type="dxa"/>
          <w:right w:w="28" w:type="dxa"/>
        </w:tblCellMar>
      </w:tblPr>
      <w:tblGrid>
        <w:gridCol w:w="651"/>
        <w:gridCol w:w="573"/>
        <w:gridCol w:w="575"/>
        <w:gridCol w:w="211"/>
        <w:gridCol w:w="586"/>
        <w:gridCol w:w="109"/>
        <w:gridCol w:w="109"/>
        <w:gridCol w:w="109"/>
        <w:gridCol w:w="109"/>
        <w:gridCol w:w="211"/>
        <w:gridCol w:w="5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following potentially dilutive shares were excluded from the calculation of diluted net loss per share because their effect would have been anti-dilutive.</w:t>
      </w:r>
    </w:p>
    <w:tbl>
      <w:tblPr>
        <w:tblW w:w="5500" w:type="dxa"/>
        <w:jc w:val="left"/>
        <w:tblInd w:w="0" w:type="dxa"/>
        <w:tblLayout w:type="fixed"/>
        <w:tblCellMar>
          <w:top w:w="28" w:type="dxa"/>
          <w:left w:w="28" w:type="dxa"/>
          <w:bottom w:w="28" w:type="dxa"/>
          <w:right w:w="28" w:type="dxa"/>
        </w:tblCellMar>
      </w:tblPr>
      <w:tblGrid>
        <w:gridCol w:w="1162"/>
        <w:gridCol w:w="1022"/>
        <w:gridCol w:w="1025"/>
        <w:gridCol w:w="109"/>
        <w:gridCol w:w="109"/>
        <w:gridCol w:w="109"/>
        <w:gridCol w:w="573"/>
        <w:gridCol w:w="573"/>
        <w:gridCol w:w="818"/>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15,320,062 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1,585,056 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(if converted)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6,142,293 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basic earnings per share (“EPS”) is computed by dividing earnings available to common shareholders by the weighted average number of shares of common stock outstanding during the period. The SPA Warrant, Preferred Series B and 2023 Warrants are participating securities that do not have the obligation to share in the losses of the Company. Therefore, the more dilutive of the “if-converted” and “two-class” method must be applied when calculating EPS for the common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20. Earnings Per Share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accreted to the redemption value. The remeasurement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incurred a net loss for the three months ended March 31, 2024,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months ended March 31, 2024. The following potentially dilutive shares were excluded from the calculation of diluted net loss per share because their effect would have been anti-dilutive for the three months ended March 31, 2024:</w:t>
      </w:r>
    </w:p>
    <w:p>
      <w:pPr>
        <w:pStyle w:val="TextBody"/>
        <w:bidi w:val="0"/>
        <w:spacing w:before="0" w:after="0"/>
        <w:jc w:val="both"/>
        <w:rPr/>
      </w:pPr>
      <w:r>
        <w:rPr/>
      </w:r>
    </w:p>
    <w:tbl>
      <w:tblPr>
        <w:tblW w:w="6836" w:type="dxa"/>
        <w:jc w:val="left"/>
        <w:tblInd w:w="0" w:type="dxa"/>
        <w:tblLayout w:type="fixed"/>
        <w:tblCellMar>
          <w:top w:w="28" w:type="dxa"/>
          <w:left w:w="28" w:type="dxa"/>
          <w:bottom w:w="28" w:type="dxa"/>
          <w:right w:w="28" w:type="dxa"/>
        </w:tblCellMar>
      </w:tblPr>
      <w:tblGrid>
        <w:gridCol w:w="1163"/>
        <w:gridCol w:w="1019"/>
        <w:gridCol w:w="1028"/>
        <w:gridCol w:w="109"/>
        <w:gridCol w:w="109"/>
        <w:gridCol w:w="109"/>
        <w:gridCol w:w="963"/>
        <w:gridCol w:w="963"/>
        <w:gridCol w:w="1373"/>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PRSUs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9,048,602 </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61,411,393 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(if 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16,226,124 </w:t>
            </w:r>
          </w:p>
        </w:tc>
        <w:tc>
          <w:tcPr>
            <w:tcW w:w="1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21. Segment Reporting</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designs, develops, manufactures, and markets innovative zinc-based energy storage solutions for utility-scale, microgrid and commercial &amp; industrial (C&amp;I) applications. The Company operates and holds long-lived assets in a single geographical region, with nearly all of its revenue coming from customers in the United States.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reviews financial information on a consolidated basis and uses Gross profit (loss) and Net income (loss) to assess financial performance considering budget-to-actual variances when making key decisions on how to allocate company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shd w:fill="FFFFFF" w:val="clear"/>
        </w:rPr>
        <w:t>21. Segment Reporting</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segment information is summarized as follows:</w:t>
      </w:r>
    </w:p>
    <w:p>
      <w:pPr>
        <w:pStyle w:val="TextBody"/>
        <w:bidi w:val="0"/>
        <w:spacing w:before="0" w:after="0"/>
        <w:jc w:val="both"/>
        <w:rPr/>
      </w:pPr>
      <w:r>
        <w:rPr/>
      </w:r>
    </w:p>
    <w:tbl>
      <w:tblPr>
        <w:tblW w:w="6126"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291"/>
        <w:gridCol w:w="996"/>
        <w:gridCol w:w="150"/>
        <w:gridCol w:w="150"/>
        <w:gridCol w:w="150"/>
        <w:gridCol w:w="150"/>
        <w:gridCol w:w="291"/>
        <w:gridCol w:w="1100"/>
        <w:gridCol w:w="21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Other segment items include loss from write-down of property, plant and equipment, interest expense, net, change in fair value of debt, change in fair value of warrants, change in fair value of derivatives, and costs related to the credit and securities purchase transaction. </w:t>
      </w:r>
    </w:p>
    <w:p>
      <w:pPr>
        <w:pStyle w:val="TextBody"/>
        <w:bidi w:val="0"/>
        <w:spacing w:before="0" w:after="1"/>
        <w:jc w:val="both"/>
        <w:rPr/>
      </w:pPr>
      <w:r>
        <w:rPr/>
      </w:r>
    </w:p>
    <w:p>
      <w:pPr>
        <w:pStyle w:val="TextBody"/>
        <w:bidi w:val="0"/>
        <w:spacing w:lineRule="auto" w:line="288"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segment financial information is summarized as follows:</w:t>
      </w:r>
    </w:p>
    <w:tbl>
      <w:tblPr>
        <w:tblW w:w="6414"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76"/>
        <w:gridCol w:w="1083"/>
        <w:gridCol w:w="143"/>
        <w:gridCol w:w="143"/>
        <w:gridCol w:w="143"/>
        <w:gridCol w:w="143"/>
        <w:gridCol w:w="276"/>
        <w:gridCol w:w="1083"/>
        <w:gridCol w:w="202"/>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22. Subsequent Events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on June 21, 2024, the Company entered into a credit and guaranty agreement (the “Credit Agreement”), and was subsequently amended by that certain omnibus amendment entered into on November 26, 2024 (the “Credit Agreement Amendment”), by and among the Company, certain of the Company’s subsidiaries as guarantors party thereto, CCM Denali Debt Holdings, LP, acting through Cerberus Capital Management II, L.P. (“Cerberus”), as administrative agent and collateral agent and the lenders party thereto from time to time (the “Lenders”), pursuant to which the Lenders have provided a $210,500 secured multi-draw facility (the “Delayed Draw Term Loan”) that was made in four installments and a $105,000 revolving credit facility, to be made available at the Lenders’ sole discretion and only if the Delayed Draw Term Loan is fully funded, on terms and subject to conditions set forth in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22. Subsequent Events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2025, the Company entered into that certain First Amendment to Credit and Guaranty Agreement, by and among the Company, certain of the Company’s subsidiaries as guarantors thereto and the Lenders, pursuant to which, the measurement period for achieving Sales Milestone 4 (as defined in the Credit Agreement) was extended until July 31, 2025. On April 30, 2025, the Company and Cerberus mutually agreed that the Company achieved three of the four Fourth Milestone Components (as defined in the Credit Agreement) related to the Company’s materials cost, Z3 technology and automated line. No additional Preferred Stock or Warrants will be issued to Cerberus related to the three Fourth Milestone Components achieved by the Company. With this achievement, the Company has achieved, to date, a total of fifteen of the sixteen possible Milestone Components (as defined in the Credit Agreement). If the Company fails to meet Sales Milestone 4 on July 31, 2025, then the Applicable Percentage is subject to up to a final 1% increase, and as a result Cerberus would be entitled to receive Preferred Stock or Warrants aggregating to a maximum aggregate Applicable Percentage of 34% (as compared to the original maximum adjustment for all four Milestones of up to 49%), or assuming the number of the Company’s outstanding shares of common stock on a fully diluted basis does not change after April 30, 2025, Preferred Stock and Warrants with respect to an aggregate of 166,645,514 shares of common stock, including the securities already issued to Cerberus. </w:t>
      </w:r>
    </w:p>
    <w:p>
      <w:pPr>
        <w:pStyle w:val="TextBody"/>
        <w:bidi w:val="0"/>
        <w:spacing w:before="1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accompanying Unaudited Condensed Consolidated Financial Statements for the three months ended March 31, 2025 and 2024 and the Company’s Annual Report on Form 10-K for the year ended December 31, 2024,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utilizes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ans-serif" w:hAnsi="Times New Roman;sans-serif"/>
          <w:b w:val="false"/>
          <w:color w:val="000000"/>
          <w:sz w:val="20"/>
        </w:rPr>
        <w:t>In addition to its BESS, the Company currently offers: (a) a Battery Management System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ans-serif" w:hAnsi="Times New Roman;sans-serif"/>
          <w:b/>
          <w:color w:val="000000"/>
          <w:sz w:val="20"/>
        </w:rPr>
        <w: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invest in the design, development, and production of its next-generation product, the Eos Z3 battery. This new battery builds upon the same electrochemistry that has remained largely unchanged for nearly a decade. The Eos Z3 is engineered to reduce costs and weight while enhancing manufacturability and overall system performance. Compared to the previous Gen 2.3, the Z3 features a more cost-effective design with a simplified tub structure, 50% fewer cells, and 98% fewer welds per battery module. We believe that the Eos Z3 will offer customers twice the energy density per square foot, while maintaining the same level of safety and reliability as the previous generation.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transition to the Eos Z3 is progressing as planned, with the first fully-automated battery manufacturing line now installed and in commercial production. The Z3 uses the same chemistry, known for its ability to endure over 3 million cycles, but introduces a new mechanical design aimed at improving performance, reducing costs, and enhancing manufacturability. The Company began delivering Z3 battery modules in the third quarter of 2023. The Z3 incorporates valuable lessons learned from the past fifteen years, which the Company expects will drive efficiencies as it scales its state-of-the-art manufacturing capabilities.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simplicity, flexibility, and safety of its products are key attributes desired by the market. Moreover, the Company recognizes the competitive advantage offered by the Inflation Reduction Act, which provides production tax credits (PTC) for domestically manufactured battery components, as well as tax credits for customers involved in projects meeting domestic content requirements. The Company also plans to collaborate with a consortium of community leaders, universities, and supply chain partners to pursue funding opportunities under the Bipartisan Infrastructure Law of 2021.</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Department of Energy (“DOE”)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2024, the Company entered into the DOE Loan Facility. The DOE Loan Facility is a key step in advancing the Company's Project American Made Zinc Energy ("AMAZE") and is expected to fund the expansion of Eos’ manufacturing capacity to 8 GWh by 2027 to meet the growing demand for longer duration battery energy storage systems. The DOE Loan Facility provides for up to $303.5 million in funding, including capitalized interest.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March 31, 2025, the Company has received funding under the DOE Loan Facility for an aggregate amount of $68.3 million, at an interest rate of 4.791% for eligible project costs incurred through December 6, 2024. These costs are a portion of Tranche 1 of the DOE Loan Facility. Tranche 1 provides up to $102.0 million for eligible costs in connection with the design, construction, installation, startup and shakedown of a battery automation line and related tools, with a projected annual production capacity of approximately 1.25 GWh ("Line 1").</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1"/>
        <w:jc w:val="both"/>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w:t>
      </w:r>
      <w:r>
        <w:rPr>
          <w:rFonts w:ascii="Times New Roman;sans-serif" w:hAnsi="Times New Roman;sans-serif"/>
          <w:b w:val="false"/>
          <w:color w:val="000000"/>
          <w:sz w:val="20"/>
          <w:shd w:fill="FFFFFF" w:val="clear"/>
        </w:rPr>
        <w:t>lacing new energy storage facilities in service, which include our Gen 2.3 and Z3™ BESS, could qualify for an investment tax credit (“ITC”). In December 2024, the IRS and U.S. Department of the Treasury published final regulations that clarified certain investment tax credit eligibility requirements for Section 48 energy investment tax credits that were enacted as part of the IRA. The IRA offers an extra ten percent credit if the project is in an “energy community” and another ten percent credit if the project satisfies domestic content requirements. The ten percent bonus for domestic content could represent a strategic advantage for the Company resulting from the Company’s near-sourcing and Made in America strategy, and we believe that projects utilizing Eos batteries qualify for the bonus and meet safe harbor requirements. The Company is observing accelerated customer activity in 2025 as customers seek to commence construction and incur qualifying costs prior to the end of 2025 in order to secure eligibility for the current ITC safe harbor provisions, before fully transitioning to the technology-neutral Section 48E framework effective for projects initiated thereafter.</w:t>
      </w:r>
    </w:p>
    <w:p>
      <w:pPr>
        <w:pStyle w:val="TextBody"/>
        <w:bidi w:val="0"/>
        <w:spacing w:lineRule="auto" w:line="288" w:before="160" w:after="1"/>
        <w:jc w:val="both"/>
        <w:rPr/>
      </w:pPr>
      <w:r>
        <w:rPr>
          <w:rFonts w:ascii="Times New Roman;sans-serif" w:hAnsi="Times New Roman;sans-serif"/>
          <w:b w:val="false"/>
          <w:color w:val="000000"/>
          <w:sz w:val="20"/>
          <w:shd w:fill="FFFFFF" w:val="clear"/>
        </w:rPr>
        <w:t>Production Tax Credits under Internal Revenue Code 45X (“PTC”) can be claimed on battery components ma</w:t>
      </w:r>
      <w:r>
        <w:rPr>
          <w:rFonts w:ascii="Times New Roman;sans-serif" w:hAnsi="Times New Roman;sans-serif"/>
          <w:b w:val="false"/>
          <w:color w:val="000000"/>
          <w:sz w:val="20"/>
        </w:rPr>
        <w:t>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April 2024, the IRS issued final regulations related to applicable tax credit transferability and direct pay provisions of the Inflation Reduction Act. The Company has reviewed these regulations and believes they do not have a material impact on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Company Highlights</w:t>
      </w:r>
    </w:p>
    <w:p>
      <w:pPr>
        <w:pStyle w:val="TextBody"/>
        <w:bidi w:val="0"/>
        <w:spacing w:lineRule="auto" w:line="288" w:before="100" w:after="1"/>
        <w:ind w:left="0" w:right="0" w:hanging="360"/>
        <w:jc w:val="both"/>
        <w:rPr/>
      </w:pPr>
      <w:r>
        <w:rPr>
          <w:color w:val="000000"/>
        </w:rPr>
        <w:t>•</w:t>
      </w:r>
      <w:r>
        <w:rPr>
          <w:rFonts w:ascii="Times New Roman;sans-serif" w:hAnsi="Times New Roman;sans-serif"/>
          <w:b w:val="false"/>
          <w:color w:val="000000"/>
          <w:sz w:val="20"/>
        </w:rPr>
        <w:t>In January 2025, the Company successfully achieved all operational milestones that guaranteed the final $40.5 million under the fully funded $210.5 million Delayed Draw Term Loan ("DDTL") to further solidify its position as a leader in American energy storage systems. Successfully meeting these performance milestones will enable the Company to fuel its ongoing operations, U.S. production expansion, and the creation of an American energy storage powerhouse, without the need to raise additional capital via debt or additional equity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
        <w:ind w:left="0" w:right="0" w:hanging="360"/>
        <w:jc w:val="both"/>
        <w:rPr/>
      </w:pPr>
      <w:r>
        <w:rPr>
          <w:color w:val="000000"/>
        </w:rPr>
        <w:t>•</w:t>
      </w:r>
      <w:r>
        <w:rPr>
          <w:rFonts w:ascii="Times New Roman;sans-serif" w:hAnsi="Times New Roman;sans-serif"/>
          <w:b w:val="false"/>
          <w:color w:val="000000"/>
          <w:sz w:val="20"/>
        </w:rPr>
        <w:t>With the Delayed Draw Term Loan fully funded, combined with DOE Loan Facility's first disbursement in December 2024, Eos has a strong foundation and sufficient capital to continue implementing Project AMAZE. The Company is executing its strategy to scale production into strong customer demand for long duration energy storage. Cash from customer projects now play an important role in funding working capital and our American-made system can play a critical role in America achieving energy independence. The $210.5 million Delayed Draw Term Loan is now fully funded, driven by the Company consistently achieving key operational milestones related to the Company’s state-of-the-art manufacturing line, raw materials cost-out, Z3 technology performance improvement and orders backlog cash conversion. The Company surpassed its January raw materials cost-out target by 6% while delivering manufacturing cycle times below 10 seconds to further demonstrate continued operational efficiency and progress.</w:t>
      </w:r>
    </w:p>
    <w:p>
      <w:pPr>
        <w:pStyle w:val="TextBody"/>
        <w:bidi w:val="0"/>
        <w:spacing w:lineRule="auto" w:line="288" w:before="100" w:after="1"/>
        <w:ind w:left="0" w:right="0" w:hanging="360"/>
        <w:jc w:val="both"/>
        <w:rPr/>
      </w:pPr>
      <w:r>
        <w:rPr>
          <w:color w:val="000000"/>
        </w:rPr>
        <w:t>•</w:t>
      </w:r>
      <w:r>
        <w:rPr>
          <w:rFonts w:ascii="Times New Roman;sans-serif" w:hAnsi="Times New Roman;sans-serif"/>
          <w:b w:val="false"/>
          <w:color w:val="000000"/>
          <w:sz w:val="20"/>
        </w:rPr>
        <w:t xml:space="preserve">In March 2025, the Company announced an $8 million standalone BESS order for the Naval Base of San Diego. Fully funded by a grant from the California Energy Commission (“CEC”), this order highlights Eos’ critical role in supporting U.S. national security infrastructure with American-made energy storage. </w:t>
      </w:r>
    </w:p>
    <w:p>
      <w:pPr>
        <w:pStyle w:val="TextBody"/>
        <w:bidi w:val="0"/>
        <w:spacing w:lineRule="auto" w:line="288" w:before="100" w:after="1"/>
        <w:ind w:left="0" w:right="0" w:hanging="360"/>
        <w:jc w:val="both"/>
        <w:rPr/>
      </w:pPr>
      <w:r>
        <w:rPr>
          <w:color w:val="000000"/>
        </w:rPr>
        <w:t>•</w:t>
      </w:r>
      <w:r>
        <w:rPr>
          <w:rFonts w:ascii="Times New Roman;sans-serif" w:hAnsi="Times New Roman;sans-serif"/>
          <w:b w:val="false"/>
          <w:color w:val="000000"/>
          <w:sz w:val="20"/>
        </w:rPr>
        <w:t>In March 2025, the Company announced Nathan Kroeker’s transition from Chief Financial Officer role to become Eos' Chief Commercial Officer. In conjunction with this strategic transition, the Company has appointed Eric Javidi as its new Chief Financial Officer, bringing extensive investing, operating and organizational leadership experience in the energy and energy infrastructure spaces. Nathan's background as Chief Financial Officer gives him a unique advantage in understanding both the financial and commercial landscapes of the industry, allowing him to create customer-centric solutions that are not only impactful, but also financially sustainable.</w:t>
      </w:r>
    </w:p>
    <w:p>
      <w:pPr>
        <w:pStyle w:val="TextBody"/>
        <w:bidi w:val="0"/>
        <w:spacing w:lineRule="auto" w:line="288" w:before="100" w:after="1"/>
        <w:ind w:left="0" w:right="0" w:hanging="360"/>
        <w:jc w:val="both"/>
        <w:rPr/>
      </w:pPr>
      <w:r>
        <w:rPr>
          <w:color w:val="000000"/>
        </w:rPr>
        <w:t>•</w:t>
      </w:r>
      <w:r>
        <w:rPr>
          <w:rFonts w:ascii="Times New Roman;sans-serif" w:hAnsi="Times New Roman;sans-serif"/>
          <w:b w:val="false"/>
          <w:color w:val="000000"/>
          <w:sz w:val="20"/>
        </w:rPr>
        <w:t>In March 2025, the Company announced that Joseph Nigro, former CFO of Exelon Corporation (NADSDAQ: EXC) and CEO of Constellation Energy (then operating division of Exelon), joined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128" w:type="dxa"/>
        <w:jc w:val="left"/>
        <w:tblInd w:w="0" w:type="dxa"/>
        <w:tblLayout w:type="fixed"/>
        <w:tblCellMar>
          <w:top w:w="28" w:type="dxa"/>
          <w:left w:w="28" w:type="dxa"/>
          <w:bottom w:w="28" w:type="dxa"/>
          <w:right w:w="28" w:type="dxa"/>
        </w:tblCellMar>
      </w:tblPr>
      <w:tblGrid>
        <w:gridCol w:w="515"/>
        <w:gridCol w:w="453"/>
        <w:gridCol w:w="456"/>
        <w:gridCol w:w="291"/>
        <w:gridCol w:w="995"/>
        <w:gridCol w:w="150"/>
        <w:gridCol w:w="150"/>
        <w:gridCol w:w="150"/>
        <w:gridCol w:w="150"/>
        <w:gridCol w:w="291"/>
        <w:gridCol w:w="850"/>
        <w:gridCol w:w="150"/>
        <w:gridCol w:w="109"/>
        <w:gridCol w:w="109"/>
        <w:gridCol w:w="109"/>
        <w:gridCol w:w="308"/>
        <w:gridCol w:w="308"/>
        <w:gridCol w:w="281"/>
        <w:gridCol w:w="109"/>
        <w:gridCol w:w="109"/>
        <w:gridCol w:w="109"/>
        <w:gridCol w:w="199"/>
        <w:gridCol w:w="199"/>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revenues from the delivery of its BESS and service-related solutions. The Company expects revenues to increase as it scales production to meet customer demand.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Revenue increased by $3.9 million or 58% from $6.6 million. The increase for the three months is due to higher product sales and higher selling price.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tbl>
      <w:tblPr>
        <w:tblW w:w="7336" w:type="dxa"/>
        <w:jc w:val="left"/>
        <w:tblInd w:w="0" w:type="dxa"/>
        <w:tblLayout w:type="fixed"/>
        <w:tblCellMar>
          <w:top w:w="28" w:type="dxa"/>
          <w:left w:w="28" w:type="dxa"/>
          <w:bottom w:w="28" w:type="dxa"/>
          <w:right w:w="28" w:type="dxa"/>
        </w:tblCellMar>
      </w:tblPr>
      <w:tblGrid>
        <w:gridCol w:w="591"/>
        <w:gridCol w:w="520"/>
        <w:gridCol w:w="523"/>
        <w:gridCol w:w="278"/>
        <w:gridCol w:w="952"/>
        <w:gridCol w:w="143"/>
        <w:gridCol w:w="143"/>
        <w:gridCol w:w="143"/>
        <w:gridCol w:w="143"/>
        <w:gridCol w:w="278"/>
        <w:gridCol w:w="952"/>
        <w:gridCol w:w="143"/>
        <w:gridCol w:w="109"/>
        <w:gridCol w:w="109"/>
        <w:gridCol w:w="109"/>
        <w:gridCol w:w="308"/>
        <w:gridCol w:w="308"/>
        <w:gridCol w:w="281"/>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Cost of goods sold increased by $6.8 million or 24% from $28.2 million. The increase for the three months ended March 31, 2025 was primarily due to an increase in product sales volume, partially offset by a decrease in unit production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128" w:type="dxa"/>
        <w:jc w:val="left"/>
        <w:tblInd w:w="0" w:type="dxa"/>
        <w:tblLayout w:type="fixed"/>
        <w:tblCellMar>
          <w:top w:w="28" w:type="dxa"/>
          <w:left w:w="28" w:type="dxa"/>
          <w:bottom w:w="28" w:type="dxa"/>
          <w:right w:w="28" w:type="dxa"/>
        </w:tblCellMar>
      </w:tblPr>
      <w:tblGrid>
        <w:gridCol w:w="515"/>
        <w:gridCol w:w="453"/>
        <w:gridCol w:w="456"/>
        <w:gridCol w:w="305"/>
        <w:gridCol w:w="891"/>
        <w:gridCol w:w="157"/>
        <w:gridCol w:w="157"/>
        <w:gridCol w:w="157"/>
        <w:gridCol w:w="157"/>
        <w:gridCol w:w="305"/>
        <w:gridCol w:w="891"/>
        <w:gridCol w:w="157"/>
        <w:gridCol w:w="109"/>
        <w:gridCol w:w="109"/>
        <w:gridCol w:w="109"/>
        <w:gridCol w:w="308"/>
        <w:gridCol w:w="308"/>
        <w:gridCol w:w="281"/>
        <w:gridCol w:w="109"/>
        <w:gridCol w:w="109"/>
        <w:gridCol w:w="109"/>
        <w:gridCol w:w="199"/>
        <w:gridCol w:w="199"/>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salaries and other personnel-related costs, materials, third-party services, depreciation and amortization of intangible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Research and development costs increased by $1.6 million or 31% from $5.2 million. The increase for the three months was driven by higher payroll, stock based compensation and consulting costs for key growth areas in support of scaling the business.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7126" w:type="dxa"/>
        <w:jc w:val="left"/>
        <w:tblInd w:w="0" w:type="dxa"/>
        <w:tblLayout w:type="fixed"/>
        <w:tblCellMar>
          <w:top w:w="28" w:type="dxa"/>
          <w:left w:w="28" w:type="dxa"/>
          <w:bottom w:w="28" w:type="dxa"/>
          <w:right w:w="28" w:type="dxa"/>
        </w:tblCellMar>
      </w:tblPr>
      <w:tblGrid>
        <w:gridCol w:w="515"/>
        <w:gridCol w:w="453"/>
        <w:gridCol w:w="456"/>
        <w:gridCol w:w="278"/>
        <w:gridCol w:w="952"/>
        <w:gridCol w:w="143"/>
        <w:gridCol w:w="143"/>
        <w:gridCol w:w="143"/>
        <w:gridCol w:w="143"/>
        <w:gridCol w:w="278"/>
        <w:gridCol w:w="952"/>
        <w:gridCol w:w="143"/>
        <w:gridCol w:w="109"/>
        <w:gridCol w:w="109"/>
        <w:gridCol w:w="109"/>
        <w:gridCol w:w="308"/>
        <w:gridCol w:w="308"/>
        <w:gridCol w:w="281"/>
        <w:gridCol w:w="109"/>
        <w:gridCol w:w="109"/>
        <w:gridCol w:w="109"/>
        <w:gridCol w:w="199"/>
        <w:gridCol w:w="199"/>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primarily consist of payroll, personnel cost, outside professional services, facilities, depreciation, travel, marketing and public company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Selling, general and administrative expenses increased by $6.8 million or 47% from $14.2 million. The increase for the three months was primarily driven by payroll and stock based compensation costs relating to expanded headcount in key growth areas in support of scaling the business.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write-down of property, plant and equipment</w:t>
      </w:r>
    </w:p>
    <w:tbl>
      <w:tblPr>
        <w:tblW w:w="7814" w:type="dxa"/>
        <w:jc w:val="left"/>
        <w:tblInd w:w="0" w:type="dxa"/>
        <w:tblLayout w:type="fixed"/>
        <w:tblCellMar>
          <w:top w:w="28" w:type="dxa"/>
          <w:left w:w="28" w:type="dxa"/>
          <w:bottom w:w="28" w:type="dxa"/>
          <w:right w:w="28" w:type="dxa"/>
        </w:tblCellMar>
      </w:tblPr>
      <w:tblGrid>
        <w:gridCol w:w="1660"/>
        <w:gridCol w:w="1460"/>
        <w:gridCol w:w="1470"/>
        <w:gridCol w:w="370"/>
        <w:gridCol w:w="817"/>
        <w:gridCol w:w="191"/>
        <w:gridCol w:w="191"/>
        <w:gridCol w:w="191"/>
        <w:gridCol w:w="191"/>
        <w:gridCol w:w="370"/>
        <w:gridCol w:w="633"/>
        <w:gridCol w:w="270"/>
      </w:tblGrid>
      <w:tr>
        <w:trPr/>
        <w:tc>
          <w:tcPr>
            <w:tcW w:w="16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a loss of $0.6 million and $0.1 million from write-down of property, plant and equipment for the three months ended March 31, 2025 and 2024,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 for more automated processes.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net </w:t>
      </w:r>
    </w:p>
    <w:tbl>
      <w:tblPr>
        <w:tblW w:w="4991" w:type="dxa"/>
        <w:jc w:val="left"/>
        <w:tblInd w:w="0" w:type="dxa"/>
        <w:tblLayout w:type="fixed"/>
        <w:tblCellMar>
          <w:top w:w="28" w:type="dxa"/>
          <w:left w:w="28" w:type="dxa"/>
          <w:bottom w:w="28" w:type="dxa"/>
          <w:right w:w="28" w:type="dxa"/>
        </w:tblCellMar>
      </w:tblPr>
      <w:tblGrid>
        <w:gridCol w:w="640"/>
        <w:gridCol w:w="563"/>
        <w:gridCol w:w="567"/>
        <w:gridCol w:w="303"/>
        <w:gridCol w:w="777"/>
        <w:gridCol w:w="156"/>
        <w:gridCol w:w="156"/>
        <w:gridCol w:w="156"/>
        <w:gridCol w:w="156"/>
        <w:gridCol w:w="303"/>
        <w:gridCol w:w="993"/>
        <w:gridCol w:w="22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includes expenses for accrued interest, amortization of debt issuance costs and debt discounts, partially offset by capitalized interest costs on CIP assets. For the three months ended March 31, 2025, Interest expense, net decreased $4.1 million, mainly due to lower interest expense recognized from the Senior Secured Term Loan due to the payoff of the Atlas Credit Facility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 related party</w:t>
      </w:r>
    </w:p>
    <w:tbl>
      <w:tblPr>
        <w:tblW w:w="7975" w:type="dxa"/>
        <w:jc w:val="left"/>
        <w:tblInd w:w="0" w:type="dxa"/>
        <w:tblLayout w:type="fixed"/>
        <w:tblCellMar>
          <w:top w:w="28" w:type="dxa"/>
          <w:left w:w="28" w:type="dxa"/>
          <w:bottom w:w="28" w:type="dxa"/>
          <w:right w:w="28" w:type="dxa"/>
        </w:tblCellMar>
      </w:tblPr>
      <w:tblGrid>
        <w:gridCol w:w="1720"/>
        <w:gridCol w:w="1512"/>
        <w:gridCol w:w="1522"/>
        <w:gridCol w:w="284"/>
        <w:gridCol w:w="931"/>
        <w:gridCol w:w="146"/>
        <w:gridCol w:w="146"/>
        <w:gridCol w:w="146"/>
        <w:gridCol w:w="146"/>
        <w:gridCol w:w="284"/>
        <w:gridCol w:w="931"/>
        <w:gridCol w:w="207"/>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 Payable interest and amortization</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 interest and amortization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Interest expense, related party</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20"/>
        </w:rPr>
        <w:t xml:space="preserve">See Note 13,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debt - related party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fair value of debt - related party of $5.9 million for the three months ended March 31, 2025, relates to the Delayed Draw Term Loan.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change in fair value of warrants was composed of the items below:</w:t>
      </w:r>
    </w:p>
    <w:p>
      <w:pPr>
        <w:pStyle w:val="TextBody"/>
        <w:bidi w:val="0"/>
        <w:spacing w:before="0" w:after="0"/>
        <w:jc w:val="both"/>
        <w:rPr/>
      </w:pPr>
      <w:r>
        <w:rPr/>
      </w:r>
    </w:p>
    <w:tbl>
      <w:tblPr>
        <w:tblW w:w="6221" w:type="dxa"/>
        <w:jc w:val="left"/>
        <w:tblInd w:w="0" w:type="dxa"/>
        <w:tblLayout w:type="fixed"/>
        <w:tblCellMar>
          <w:top w:w="28" w:type="dxa"/>
          <w:left w:w="28" w:type="dxa"/>
          <w:bottom w:w="28" w:type="dxa"/>
          <w:right w:w="28" w:type="dxa"/>
        </w:tblCellMar>
      </w:tblPr>
      <w:tblGrid>
        <w:gridCol w:w="1085"/>
        <w:gridCol w:w="954"/>
        <w:gridCol w:w="960"/>
        <w:gridCol w:w="280"/>
        <w:gridCol w:w="1059"/>
        <w:gridCol w:w="145"/>
        <w:gridCol w:w="145"/>
        <w:gridCol w:w="145"/>
        <w:gridCol w:w="145"/>
        <w:gridCol w:w="280"/>
        <w:gridCol w:w="819"/>
        <w:gridCol w:w="20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9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2023 warrants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2023 warrants</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warrants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Change in fair value of warrants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(45,925)</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derivatives - related parties</w:t>
      </w:r>
    </w:p>
    <w:p>
      <w:pPr>
        <w:pStyle w:val="TextBody"/>
        <w:bidi w:val="0"/>
        <w:spacing w:before="0" w:after="0"/>
        <w:jc w:val="both"/>
        <w:rPr/>
      </w:pPr>
      <w:r>
        <w:rPr/>
      </w:r>
    </w:p>
    <w:tbl>
      <w:tblPr>
        <w:tblW w:w="8319" w:type="dxa"/>
        <w:jc w:val="left"/>
        <w:tblInd w:w="0" w:type="dxa"/>
        <w:tblLayout w:type="fixed"/>
        <w:tblCellMar>
          <w:top w:w="28" w:type="dxa"/>
          <w:left w:w="28" w:type="dxa"/>
          <w:bottom w:w="28" w:type="dxa"/>
          <w:right w:w="28" w:type="dxa"/>
        </w:tblCellMar>
      </w:tblPr>
      <w:tblGrid>
        <w:gridCol w:w="1843"/>
        <w:gridCol w:w="1625"/>
        <w:gridCol w:w="1632"/>
        <w:gridCol w:w="309"/>
        <w:gridCol w:w="1057"/>
        <w:gridCol w:w="159"/>
        <w:gridCol w:w="159"/>
        <w:gridCol w:w="159"/>
        <w:gridCol w:w="159"/>
        <w:gridCol w:w="309"/>
        <w:gridCol w:w="683"/>
        <w:gridCol w:w="225"/>
      </w:tblGrid>
      <w:tr>
        <w:trPr/>
        <w:tc>
          <w:tcPr>
            <w:tcW w:w="184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w:t>
            </w:r>
          </w:p>
        </w:tc>
        <w:tc>
          <w:tcPr>
            <w:tcW w:w="32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embedded derivatives - related parties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 related parties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color w:val="000000"/>
              </w:rPr>
            </w:pPr>
            <w:r>
              <w:rPr>
                <w:color w:val="000000"/>
              </w:rPr>
              <w:t>     </w:t>
            </w:r>
            <w:r>
              <w:rPr>
                <w:rFonts w:ascii="Times New Roman;sans-serif" w:hAnsi="Times New Roman;sans-serif"/>
                <w:b w:val="false"/>
                <w:color w:val="000000"/>
                <w:sz w:val="20"/>
              </w:rPr>
              <w:t>Change in fair value of derivatives - related parties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change in the fair value of embedded derivatives - related parties, was due to our convertible debt (See Note 13</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and the change in fair value of warrants - related parties was due to changes in fair value of our SPA Warrant and contingent warrants (See Note 14</w:t>
      </w:r>
      <w:r>
        <w:rPr>
          <w:rFonts w:ascii="Times New Roman;sans-serif" w:hAnsi="Times New Roman;sans-serif"/>
          <w:b w:val="false"/>
          <w:i/>
          <w:color w:val="000000"/>
          <w:sz w:val="20"/>
        </w:rPr>
        <w:t>, Warrants Liability</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w:t>
      </w:r>
    </w:p>
    <w:tbl>
      <w:tblPr>
        <w:tblW w:w="5264" w:type="dxa"/>
        <w:jc w:val="left"/>
        <w:tblInd w:w="0" w:type="dxa"/>
        <w:tblLayout w:type="fixed"/>
        <w:tblCellMar>
          <w:top w:w="28" w:type="dxa"/>
          <w:left w:w="28" w:type="dxa"/>
          <w:bottom w:w="28" w:type="dxa"/>
          <w:right w:w="28" w:type="dxa"/>
        </w:tblCellMar>
      </w:tblPr>
      <w:tblGrid>
        <w:gridCol w:w="738"/>
        <w:gridCol w:w="649"/>
        <w:gridCol w:w="653"/>
        <w:gridCol w:w="337"/>
        <w:gridCol w:w="864"/>
        <w:gridCol w:w="174"/>
        <w:gridCol w:w="174"/>
        <w:gridCol w:w="174"/>
        <w:gridCol w:w="174"/>
        <w:gridCol w:w="337"/>
        <w:gridCol w:w="744"/>
        <w:gridCol w:w="246"/>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For the three</w:t>
      </w:r>
      <w:r>
        <w:rPr>
          <w:color w:val="000000"/>
        </w:rPr>
        <w:t xml:space="preserve"> </w:t>
      </w:r>
      <w:r>
        <w:rPr>
          <w:rFonts w:ascii="Times New Roman;sans-serif" w:hAnsi="Times New Roman;sans-serif"/>
          <w:b w:val="false"/>
          <w:color w:val="000000"/>
          <w:sz w:val="20"/>
        </w:rPr>
        <w:t xml:space="preserve">months ended March 31, 2025, compared to the three months ended March 31, 2024, Other (expense) income increased by $0.7 million, respectively, primarily due to recognition of financing issuance costs from the Credit and Securities Purchase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4943" w:type="dxa"/>
        <w:jc w:val="left"/>
        <w:tblInd w:w="0" w:type="dxa"/>
        <w:tblLayout w:type="fixed"/>
        <w:tblCellMar>
          <w:top w:w="28" w:type="dxa"/>
          <w:left w:w="28" w:type="dxa"/>
          <w:bottom w:w="28" w:type="dxa"/>
          <w:right w:w="28" w:type="dxa"/>
        </w:tblCellMar>
      </w:tblPr>
      <w:tblGrid>
        <w:gridCol w:w="624"/>
        <w:gridCol w:w="549"/>
        <w:gridCol w:w="552"/>
        <w:gridCol w:w="417"/>
        <w:gridCol w:w="506"/>
        <w:gridCol w:w="215"/>
        <w:gridCol w:w="215"/>
        <w:gridCol w:w="215"/>
        <w:gridCol w:w="215"/>
        <w:gridCol w:w="417"/>
        <w:gridCol w:w="714"/>
        <w:gridCol w:w="30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income tax expense for the three months ended March 31, 2025 and 2024, attributable to taxable earnings from the Company’s foreign operations which were insignificant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1"/>
        <w:jc w:val="both"/>
        <w:rPr/>
      </w:pPr>
      <w:r>
        <w:rPr>
          <w:rFonts w:ascii="Times New Roman;sans-serif" w:hAnsi="Times New Roman;sans-serif"/>
          <w:b w:val="false"/>
          <w:color w:val="000000"/>
          <w:sz w:val="20"/>
        </w:rPr>
        <w:t>As disclosed in Note 3, Credit and Securities Purchase Transaction, on June 21, 2024, the Company entered into a financing transaction with CCM Denali Debt Holdings, LP, an affiliate of Cerberus Capital Management LP (herein after referred to as “Cerberus”, “Denali”, “Lender”, “Holder”). As a result of this transaction, Cerberus agreed to provide a $210.5 million secured multi-draw facility to be made in four installments (the “Delayed Draw Term Loan”) as well as a $105.0 million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the issuance date. This ownership percentage represents $814.3 Million in market capitalization based on the</w:t>
      </w:r>
      <w:r>
        <w:rPr>
          <w:color w:val="000000"/>
          <w:shd w:fill="FFFFFF" w:val="clear"/>
        </w:rPr>
        <w:t xml:space="preserve"> </w:t>
      </w:r>
      <w:r>
        <w:rPr>
          <w:rFonts w:ascii="Times New Roman;sans-serif" w:hAnsi="Times New Roman;sans-serif"/>
          <w:b w:val="false"/>
          <w:color w:val="000000"/>
          <w:sz w:val="20"/>
          <w:shd w:fill="FFFFFF" w:val="clear"/>
        </w:rPr>
        <w:t>May 01, 2025 cl</w:t>
      </w:r>
      <w:r>
        <w:rPr>
          <w:rFonts w:ascii="Times New Roman;sans-serif" w:hAnsi="Times New Roman;sans-serif"/>
          <w:b w:val="false"/>
          <w:color w:val="000000"/>
          <w:sz w:val="20"/>
        </w:rPr>
        <w:t>osing share price of the Company’s common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 13, Borrowings, on November 26, 2024, the Company successfully closed on the DOE Loan Facility, which provides the Company with up to $303.5 million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$102.0 million; Tranche 2: $117.3 million; Tranche 3: $71.8 million; and Tranche 4: $12.3 million), and any amounts which are not withdrawn under a specified tranche cannot be allocated to another tranche. Through March 31, 2025, the Company had drawn down $68.3 million under Tranche 1.</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2025, the Company had net income of $15.1 million, Adjustments to reconcile net income to cash used in operations are primarily from non-cash items on the Unaudited Condensed Consolidated Statements of Cash Flows. The non-cash items totaled $60.9 million. The Company incurred negative cash flows from operations of $28.9 million and had an accumulated deficit of $1,546.6 million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of March 31, 2025, the Company had $82.6 million of unrestricted cash and cash equivalents available to fund the Company’s operations</w:t>
      </w:r>
      <w:r>
        <w:rPr>
          <w:color w:val="000000"/>
        </w:rPr>
        <w:t xml:space="preserve"> </w:t>
      </w:r>
      <w:r>
        <w:rPr>
          <w:rFonts w:ascii="Times New Roman;sans-serif" w:hAnsi="Times New Roman;sans-serif"/>
          <w:b w:val="false"/>
          <w:color w:val="000000"/>
          <w:sz w:val="20"/>
        </w:rPr>
        <w:t>and working capital of $94.8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June 21, 2024, upon closing of the Credit and Securities Purchase Transaction, Cerberus funded the Company $75.0 million of the initial draw, and the Company received $71.3 million, net of the 5.0% original issue discount. On August 29, 2024, Cerberus funded the Company $30.0 million (“August Draw”), and the Company received $28.5 million, net of the 5.0% original issue discount. On November 1, 2024, Cerberus funded the Company $65 million related to the October 31, 2024 tranche (“October Draw” or “October Tranche”), and the Company received $61.8 million, net of the 5.0% original issue discount. On January 24, 2025, Cerberus funded the Company the final $40.5 million and the Company received $38.5 million, net of the 5.0% original issue discount, related to the January 31, 2025 tranche (“January 2025 Draw”). Subsequent to the January 2025 Draw, the Delayed Draw Term Loan has been fully funded.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Through March 31, 2025, under the DOE Loan Facility, the Company drew down $68.3 million for the eligible project cost that the Company had incurred through December 6, 2024. These costs are a portion of Tranche 1 of the DOE Loan Facility. Tranche 1 provides up to $102.0 million for eligible costs in connection with the design, construction, installation, startup and shakedown of a battery automation line and related tools. In the event the Company does not achieve certain funding milestone conditions and the DOE chooses not to continue funding, the Company would need to seek alternative sources of capital, which may not be available on favorable terms or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Credit and Securities Purchase Transaction and the DOE Loan Facility contain certain quarterly financial covenants, which include (a) Minimum Liquidity, (b) Minimum Consolidated EBITDA, and (c) Minimum Consolidated Revenue (collectively, the “financial covenants”). As of March 31, 2025, the only financial covenant in effect was Minimum Liquidity. As of March 31, 2025, the Company was in compliance with this covenant and non-financial covenants, and the Company expects to remain in compliance with the Minimum Liquidity covenant over the next twelve months beyond the issuance date. The Minimum Consolidated EBITDA and Minimum Consolidated Revenue financial covenants become effective beginning December 31, 2025. As of March 31, 2025, the Company expects that it may be unable to remain in compliance with the Minimum Consolidated EBITDA and Minimum Consolidated Revenue financial covenants beginning December 31, 2025, absent the Company’s ability to secure a waiver or amend the Credit and Securities Purchase Transaction and the DOE Loan Facility. The Company continues to be in regular communication with Cerberus and DOE regarding these covenants. In the event the Company is unable to comply with the financial and non-financial covenants beginning December 31, 2025, and the Company is unable to secure a waiver, Cerberus and the DOE may, at their discretion, enter into a forbearance agreement with the Company and/or exercise any and all of their existing rights and remedies, which may include, among other things, asserting their rights in the Company’s assets securing the loans. Moreover, the Company’s other lenders may exercise similar rights and remedies under the cross-default provisions of their respective borrowing agreements with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three months ended March 31, 2025, the Company closed on the following capital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2024, the Company secured a strategic investment of up to $315.5 million from Cerberus. The investment by Cerberus is structured as a $210.5 million Delayed Draw Term Loan to be made in four installments. On June 21, 2024 the first installment of $75.0 million was funded, and on August 29, 2024, the second draw of $30.0 million was funded, on October 31, 2024 the third draw of $65.0 million was funded, and on January 24, 2025, the final draw of $40.5 million was funded. As part of the strategic investment, a $105.0 million Revolving Facility can be made available to the Company at the Lenders’ sole discretion and only if the Delayed Draw Term Loan is fully 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60" w:after="283"/>
        <w:jc w:val="both"/>
        <w:rPr/>
      </w:pPr>
      <w:r>
        <w:rPr>
          <w:rFonts w:ascii="Times New Roman;sans-serif" w:hAnsi="Times New Roman;sans-serif"/>
          <w:b w:val="false"/>
          <w:color w:val="000000"/>
          <w:sz w:val="20"/>
        </w:rPr>
        <w:t>The Company expects capital expenditures and working capital requirements to increase as it seeks to execute its growth strategy, total capital expenditures for the three months ended March 31, 2025 and March 31, 2024 were $4.9 million and $4.0 million, respectively. See Note 7,</w:t>
      </w:r>
      <w:r>
        <w:rPr>
          <w:color w:val="000000"/>
        </w:rPr>
        <w:t xml:space="preserve">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Discussion and Analysis of 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flows from operating, investing and financing activities for the periods presented.</w:t>
      </w:r>
    </w:p>
    <w:tbl>
      <w:tblPr>
        <w:tblW w:w="8470" w:type="dxa"/>
        <w:jc w:val="left"/>
        <w:tblInd w:w="0" w:type="dxa"/>
        <w:tblLayout w:type="fixed"/>
        <w:tblCellMar>
          <w:top w:w="28" w:type="dxa"/>
          <w:left w:w="28" w:type="dxa"/>
          <w:bottom w:w="28" w:type="dxa"/>
          <w:right w:w="28" w:type="dxa"/>
        </w:tblCellMar>
      </w:tblPr>
      <w:tblGrid>
        <w:gridCol w:w="1253"/>
        <w:gridCol w:w="1102"/>
        <w:gridCol w:w="1110"/>
        <w:gridCol w:w="268"/>
        <w:gridCol w:w="268"/>
        <w:gridCol w:w="270"/>
        <w:gridCol w:w="230"/>
        <w:gridCol w:w="868"/>
        <w:gridCol w:w="118"/>
        <w:gridCol w:w="118"/>
        <w:gridCol w:w="118"/>
        <w:gridCol w:w="118"/>
        <w:gridCol w:w="230"/>
        <w:gridCol w:w="868"/>
        <w:gridCol w:w="118"/>
        <w:gridCol w:w="109"/>
        <w:gridCol w:w="109"/>
        <w:gridCol w:w="109"/>
        <w:gridCol w:w="211"/>
        <w:gridCol w:w="72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of $28.9 million for the three months ended March 31, 2025, adjusted for non-cash items of $60.9 million, primarily related to changes in fair value of warrants and derivatives and partially offset by stock compensation expense relating to expanded headcount in engineering, sales, manufacturing engineering and R&amp;D. Additionally, offsets included depreciation and amortization, non-cash interest expense and the change in fair value of debt. The net cash inflows from changes in operating assets and liabilities was $16.8 million, primarily driven by an increase in contract liabilities of $17.1 million due to customer cash receipts and increase in accounts payable of $8.1 million, partially offset by an increase in inventory of $6.1 million for future production and increased 2025 volumes, increase in accounts receivable of $4.1 million due to customer invoicing and increase in grant receivable of $1.8 million.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$40.5 million for the three months ended March 31, 2024, primarily driven by a net loss of $46.7 million, adjusted for non-cash items of $3.5 million, primarily related to stock compensation expense, depreciation and amortization, non-cash interest expense and changes in fair value of warrants and derivatives. The net cash inflows from changes in operating assets and liabilities was $2.7 million, primarily driven by increase in accrued expenses of $6.2 million, increase in interest payable of $2.9 million, decrease in inventory of $2.7 million, partially offset by increase in contract assets of $4.6 million, decrease in accounts payable of $2.6 million and increase in grant receivable of $1.5 million.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200" w:after="283"/>
        <w:jc w:val="both"/>
        <w:rPr/>
      </w:pPr>
      <w:r>
        <w:rPr>
          <w:rFonts w:ascii="Times New Roman;sans-serif" w:hAnsi="Times New Roman;sans-serif"/>
          <w:b w:val="false"/>
          <w:color w:val="000000"/>
          <w:sz w:val="20"/>
        </w:rPr>
        <w:t>Net cash flows used in investing activities for the</w:t>
      </w:r>
      <w:r>
        <w:rPr>
          <w:color w:val="000000"/>
        </w:rPr>
        <w:t xml:space="preserve"> </w:t>
      </w:r>
      <w:r>
        <w:rPr>
          <w:rFonts w:ascii="Times New Roman;sans-serif" w:hAnsi="Times New Roman;sans-serif"/>
          <w:b w:val="false"/>
          <w:color w:val="000000"/>
          <w:sz w:val="20"/>
        </w:rPr>
        <w:t>three months ended March 31, 2025 and March 31, 2024 was $4.9 million and $4.0 million, respectively, for payments made for purchases of property, plant and equipment for the improvement of manufacturing facilities.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$42.2 million for the three months ended March 31, 2025, primarily due to the proceeds received from the Credit and Securities Purchase Transaction of $38.5 million and from the exercise of warrants of $7.0 million. The proceeds were partially offset by payments on the equipment financing facility of $0.9 million and share repurchases from employees for tax withholding of $0.5 million.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$6.1 million for the three months ended March 31, 2024, primarily due to the issuance of common stock of $7.2 million. The proceeds were partially offset by payments on the equipment financing facility of $0.8 million and share repurchases from employees for tax withholding purposes of $0.3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obligations and commitments to make future payments under contracts. As of March 31, 2025, this is composed of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Future lease payments, including interest, under non-cancellable operating and financing leases of $3.6 million. The leases expire at various dates prior to 2028.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In accordance with the Insurer Letter Agreement, the Company shall pay to the Atlas Insurers on June 30, 2025, subject to the absence of certain events of default under the Credit Agreement, $4.0 million.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Principal and Interest payments related to the following debt obligations (see Note 13,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p>
    <w:tbl>
      <w:tblPr>
        <w:tblW w:w="7020" w:type="dxa"/>
        <w:jc w:val="left"/>
        <w:tblInd w:w="0" w:type="dxa"/>
        <w:tblLayout w:type="fixed"/>
        <w:tblCellMar>
          <w:top w:w="28" w:type="dxa"/>
          <w:left w:w="28" w:type="dxa"/>
          <w:bottom w:w="28" w:type="dxa"/>
          <w:right w:w="28" w:type="dxa"/>
        </w:tblCellMar>
      </w:tblPr>
      <w:tblGrid>
        <w:gridCol w:w="1859"/>
        <w:gridCol w:w="1624"/>
        <w:gridCol w:w="1647"/>
        <w:gridCol w:w="297"/>
        <w:gridCol w:w="1376"/>
        <w:gridCol w:w="217"/>
      </w:tblGrid>
      <w:tr>
        <w:trPr/>
        <w:tc>
          <w:tcPr>
            <w:tcW w:w="185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Debt Payments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Delayed Draw Term Loan - due June 2034 </w:t>
            </w:r>
            <w:r>
              <w:rPr>
                <w:rFonts w:ascii="Times New Roman;sans-serif" w:hAnsi="Times New Roman;sans-serif"/>
                <w:b w:val="false"/>
                <w:color w:val="000000"/>
                <w:sz w:val="13"/>
              </w:rPr>
              <w:t>(1)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2021 Convertible Note Payable - due June 2026 </w:t>
            </w:r>
            <w:r>
              <w:rPr>
                <w:rFonts w:ascii="Times New Roman;sans-serif" w:hAnsi="Times New Roman;sans-serif"/>
                <w:b w:val="false"/>
                <w:color w:val="000000"/>
                <w:sz w:val="13"/>
              </w:rPr>
              <w:t>(1)</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ans-serif" w:hAnsi="Times New Roman;sans-serif"/>
                <w:b w:val="false"/>
                <w:color w:val="000000"/>
                <w:sz w:val="20"/>
              </w:rPr>
              <w:t xml:space="preserve">AFG Convertible Notes - due June 2026 </w:t>
            </w:r>
            <w:r>
              <w:rPr>
                <w:rFonts w:ascii="Times New Roman;sans-serif" w:hAnsi="Times New Roman;sans-serif"/>
                <w:b w:val="false"/>
                <w:color w:val="000000"/>
                <w:sz w:val="13"/>
              </w:rPr>
              <w:t>(1)</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 and April 2026</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DOE Loan Facility - due June 2034 </w:t>
            </w:r>
            <w:r>
              <w:rPr>
                <w:rFonts w:ascii="Times New Roman;sans-serif" w:hAnsi="Times New Roman;sans-serif"/>
                <w:b w:val="false"/>
                <w:color w:val="000000"/>
                <w:sz w:val="13"/>
              </w:rPr>
              <w:t xml:space="preserve">(1) </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1,117,973 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As of March 31, 2025, the Company is obligated to repay future contractual interest payments for these borrowings in-kind.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 (“CAE”)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The Company’s significant accounting policies are described in the Company’s Annual Report on Form 10-K for the year ended December 31,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estimates that involve a significant level of estimation uncertainty and could have a material impact on our financial condition or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CAE’s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market risk exposures for the three months ended March 31, 2025, as compared to those discussed in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as of the end of the period covered by this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pPr>
      <w:r>
        <w:rPr>
          <w:rFonts w:ascii="Times New Roman;sans-serif" w:hAnsi="Times New Roman;sans-serif"/>
          <w:b w:val="false"/>
          <w:color w:val="000000"/>
          <w:sz w:val="20"/>
        </w:rPr>
        <w:t xml:space="preserve">The following is also disclosed in Note 16,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March 13, 2025, the District Court entered the Final Judgment and Order of Dismissal.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current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The Company intends to vigorously contest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there have been no additional material changes to the risk factors disclosed in our annual report on Form 10-K for the fiscal year ended December 31, 2024.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5. Other Information</w:t>
      </w:r>
    </w:p>
    <w:p>
      <w:pPr>
        <w:pStyle w:val="TextBody"/>
        <w:bidi w:val="0"/>
        <w:spacing w:lineRule="auto" w:line="288" w:before="16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directors and officers (as defined in Section 16 of the Exchange Act (“Section 16”)) may from time to time enter into plans for the purchase or sale of Eos stock that are intended to satisfy the affirmative defense conditions of Rule 10b5-1(c) under the Exchange Act.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2025, the following Section 16 officers adopted a “Rule 10b5-1 trading arrangement” (as defined in Item 408 under Regulation S-K of the Exchange Act):</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Joseph Mastrangelo, Chief Executive Officer and Director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Nathan Kroeker, Chief Commercial Officer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Michael Silberman, Chief Legal Officer and Corporate Secretary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Sumeet Puri, Chief Accounting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 10b5-1 trading arrangements described above terminate on March 14, 2026 and provide for the sale of a predetermined percentage of each Section 16 officer’s restricted stock unit award vesting, sufficient to cover the tax liability for each such Section 16 officer.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to Cerberus Credit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on June 21, 2024, the Company entered into a credit and guaranty agreement (the “Credit Agreement”), and was subsequently amended by that certain omnibus amendment entered into on November 26, 2024 (the “Credit Agreement Amendment”), by and among the Company, certain of the Company’s subsidiaries as guarantors party thereto, CCM Denali Debt Holdings, LP, acting through Cerberus Capital Management II, L.P. (“Cerberus”), as administrative agent and collateral agent and the lenders party thereto from time to time (the “Lenders”), pursuant to which the Lenders have provided a $210.5 million secured multi-draw facility (the “Delayed Draw Term Loan”) that was made in four installments and a $105 million revolving credit facility, to be made available at the Lenders’ sole discretion and only if the Delayed Draw Term Loan is fully funded, on terms and subject to conditions set forth in the Credit Agreement.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2025, the Company entered into that certain First Amendment to Credit and Guaranty Agreement, by and among the Company, certain of the Company’s subsidiaries as guarantors thereto and the Lenders, pursuant to which, the measurement period for achieving Sales Milestone 4 (as defined in the Credit Agreement) was extended until July 31, 2025. On April 30, 2025, the Company and Cerberus mutually agreed that the Company achieved three of the four Fourth Milestone Components (as defined in the Credit Agreement) related to the Company’s materials cost, Z3 technology and automated line. No additional Preferred Stock or Warrants will be issued to Cerberus related to the three Fourth Milestone Components achieved by the Company. With this achievement, the Company has achieved, to date, a total of fifteen of the sixteen possible Milestone Components (as defined in the Credit Agreement). If the Company fails to meet Sales Milestone 4 on July 31, 2025, then the Applicable Percentage is subject to up to a final 1% increase, and as a result Cerberus would be entitled to receive Preferred Stock or Warrants aggregating to a maximum aggregate Applicable Percentage of 34% (as compared to the original maximum adjustment for all four Milestones of up to 49%), or assuming the number of the Company’s outstanding shares of common stock on a fully diluted basis does not change after April 30, 2025, Preferred Stock and Warrants with respect to an aggregate of 166,645,514 shares of common stock, including the securities already issued to Cerberus. </w:t>
      </w:r>
    </w:p>
    <w:p>
      <w:pPr>
        <w:pStyle w:val="TextBody"/>
        <w:bidi w:val="0"/>
        <w:spacing w:before="160" w:after="283"/>
        <w:jc w:val="both"/>
        <w:rPr/>
      </w:pPr>
      <w:r>
        <w:rPr/>
      </w:r>
    </w:p>
    <w:p>
      <w:pPr>
        <w:pStyle w:val="TextBody"/>
        <w:bidi w:val="0"/>
        <w:spacing w:before="160" w:after="200"/>
        <w:jc w:val="both"/>
        <w:rPr/>
      </w:pPr>
      <w:r>
        <w:rPr/>
      </w:r>
    </w:p>
    <w:p>
      <w:pPr>
        <w:pStyle w:val="TextBody"/>
        <w:bidi w:val="0"/>
        <w:spacing w:before="16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38"/>
        <w:gridCol w:w="296"/>
        <w:gridCol w:w="298"/>
        <w:gridCol w:w="109"/>
        <w:gridCol w:w="109"/>
        <w:gridCol w:w="109"/>
        <w:gridCol w:w="1400"/>
        <w:gridCol w:w="1155"/>
        <w:gridCol w:w="1158"/>
        <w:gridCol w:w="109"/>
        <w:gridCol w:w="109"/>
        <w:gridCol w:w="109"/>
        <w:gridCol w:w="333"/>
        <w:gridCol w:w="333"/>
        <w:gridCol w:w="335"/>
        <w:gridCol w:w="109"/>
        <w:gridCol w:w="109"/>
        <w:gridCol w:w="109"/>
        <w:gridCol w:w="319"/>
        <w:gridCol w:w="319"/>
        <w:gridCol w:w="320"/>
        <w:gridCol w:w="109"/>
        <w:gridCol w:w="109"/>
        <w:gridCol w:w="109"/>
        <w:gridCol w:w="270"/>
        <w:gridCol w:w="270"/>
        <w:gridCol w:w="271"/>
        <w:gridCol w:w="109"/>
        <w:gridCol w:w="109"/>
        <w:gridCol w:w="109"/>
        <w:gridCol w:w="466"/>
        <w:gridCol w:w="319"/>
        <w:gridCol w:w="370"/>
      </w:tblGrid>
      <w:tr>
        <w:trPr/>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19, 2022</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Series A-1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Series A-2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30,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Designation of Series B-1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Certificate of Designation of Series B-2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Certificate of Designation of Series B-</w:t>
              </w:r>
            </w:hyperlink>
            <w:hyperlink r:id="rId10">
              <w:r>
                <w:rPr>
                  <w:rStyle w:val="InternetLink"/>
                  <w:rFonts w:ascii="Times New Roman;sans-serif" w:hAnsi="Times New Roman;sans-serif"/>
                  <w:b w:val="false"/>
                  <w:color w:val="000080"/>
                  <w:sz w:val="20"/>
                  <w:u w:val="single"/>
                </w:rPr>
                <w:t>3</w:t>
              </w:r>
            </w:hyperlink>
            <w:hyperlink r:id="rId11">
              <w:r>
                <w:rPr>
                  <w:rStyle w:val="InternetLink"/>
                  <w:rFonts w:ascii="Times New Roman;sans-serif" w:hAnsi="Times New Roman;sans-serif"/>
                  <w:b w:val="false"/>
                  <w:color w:val="000080"/>
                  <w:sz w:val="20"/>
                  <w:u w:val="single"/>
                </w:rPr>
                <w:t xml:space="preserve">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80"/>
                  <w:sz w:val="20"/>
                  <w:u w:val="single"/>
                </w:rPr>
                <w:t>Certificate of Designation of Series B-</w:t>
              </w:r>
            </w:hyperlink>
            <w:hyperlink r:id="rId13">
              <w:r>
                <w:rPr>
                  <w:rStyle w:val="InternetLink"/>
                  <w:rFonts w:ascii="Times New Roman;sans-serif" w:hAnsi="Times New Roman;sans-serif"/>
                  <w:b w:val="false"/>
                  <w:color w:val="000080"/>
                  <w:sz w:val="20"/>
                  <w:u w:val="single"/>
                </w:rPr>
                <w:t>4</w:t>
              </w:r>
            </w:hyperlink>
            <w:hyperlink r:id="rId14">
              <w:r>
                <w:rPr>
                  <w:rStyle w:val="InternetLink"/>
                  <w:rFonts w:ascii="Times New Roman;sans-serif" w:hAnsi="Times New Roman;sans-serif"/>
                  <w:b w:val="false"/>
                  <w:color w:val="000080"/>
                  <w:sz w:val="20"/>
                  <w:u w:val="single"/>
                </w:rPr>
                <w:t xml:space="preserve">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27,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Offer Letter, dated March 3, 2025, by and between the Company and Eric Javidi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Eos Energy Enterprises, Inc. Short-Term Incentive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2025</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5eos-firstamendmentt.htm">
              <w:r>
                <w:rPr>
                  <w:rStyle w:val="InternetLink"/>
                  <w:rFonts w:ascii="Times New Roman;sans-serif" w:hAnsi="Times New Roman;sans-serif"/>
                  <w:b w:val="false"/>
                  <w:color w:val="0000FF"/>
                  <w:sz w:val="20"/>
                  <w:u w:val="single"/>
                </w:rPr>
                <w:t>First Amendment to Credit and Guaranty Agreement, dated April 30,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50625.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50625.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50625.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1381"/>
        <w:gridCol w:w="1358"/>
        <w:gridCol w:w="1361"/>
        <w:gridCol w:w="109"/>
        <w:gridCol w:w="109"/>
        <w:gridCol w:w="109"/>
        <w:gridCol w:w="342"/>
        <w:gridCol w:w="342"/>
        <w:gridCol w:w="344"/>
        <w:gridCol w:w="109"/>
        <w:gridCol w:w="109"/>
        <w:gridCol w:w="109"/>
        <w:gridCol w:w="294"/>
        <w:gridCol w:w="294"/>
        <w:gridCol w:w="295"/>
        <w:gridCol w:w="109"/>
        <w:gridCol w:w="109"/>
        <w:gridCol w:w="109"/>
        <w:gridCol w:w="270"/>
        <w:gridCol w:w="270"/>
        <w:gridCol w:w="271"/>
        <w:gridCol w:w="109"/>
        <w:gridCol w:w="109"/>
        <w:gridCol w:w="109"/>
        <w:gridCol w:w="223"/>
        <w:gridCol w:w="223"/>
        <w:gridCol w:w="331"/>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0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p>
      <w:pPr>
        <w:pStyle w:val="TextBody"/>
        <w:bidi w:val="0"/>
        <w:spacing w:lineRule="auto" w:line="288" w:before="1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before="1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d261d55663d4128a945e54e4798861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289" w:type="dxa"/>
        <w:jc w:val="left"/>
        <w:tblInd w:w="0" w:type="dxa"/>
        <w:tblLayout w:type="fixed"/>
        <w:tblCellMar>
          <w:top w:w="28" w:type="dxa"/>
          <w:left w:w="28" w:type="dxa"/>
          <w:bottom w:w="28" w:type="dxa"/>
          <w:right w:w="28" w:type="dxa"/>
        </w:tblCellMar>
      </w:tblPr>
      <w:tblGrid>
        <w:gridCol w:w="591"/>
        <w:gridCol w:w="520"/>
        <w:gridCol w:w="523"/>
        <w:gridCol w:w="512"/>
        <w:gridCol w:w="512"/>
        <w:gridCol w:w="512"/>
        <w:gridCol w:w="914"/>
        <w:gridCol w:w="914"/>
        <w:gridCol w:w="12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r>
    </w:tbl>
    <w:tbl>
      <w:tblPr>
        <w:tblW w:w="4678"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706"/>
        <w:gridCol w:w="706"/>
        <w:gridCol w:w="10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Eric Javidi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Javidi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200" w:after="283"/>
        <w:jc w:val="both"/>
        <w:rPr/>
      </w:pPr>
      <w:r>
        <w:rPr/>
      </w:r>
    </w:p>
    <w:p>
      <w:pPr>
        <w:pStyle w:val="TextBody"/>
        <w:bidi w:val="0"/>
        <w:spacing w:before="0" w:after="0"/>
        <w:jc w:val="center"/>
        <w:rPr/>
      </w:pPr>
      <w:bookmarkStart w:id="0" w:name="ex105eos-firstamendmentt.htm"/>
      <w:bookmarkStart w:id="1" w:name="ksex105eosfirstamendmentt"/>
      <w:bookmarkEnd w:id="0"/>
      <w:bookmarkEnd w:id="1"/>
      <w:r>
        <w:rPr/>
        <w:drawing>
          <wp:inline distT="0" distB="0" distL="0" distR="0">
            <wp:extent cx="10048875" cy="13001625"/>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jc w:val="center"/>
        <w:rPr>
          <w:color w:val="FFFFFF"/>
          <w:sz w:val="2"/>
        </w:rPr>
      </w:pPr>
      <w:r>
        <w:rPr>
          <w:color w:val="FFFFFF"/>
          <w:sz w:val="2"/>
        </w:rPr>
        <w:t xml:space="preserve">4907-2962-2537 v.5 CERTAIN INFORMATION IN THIS EXHIBIT MARKED [*] HAS BEEN EXCLUDED FROM THIS EXHIBIT BECAUSE IT IS BOTH (A) NOT MATERIAL AND (B) WOULD BE COMPETITIVELY HARMFUL IF PUBLICLY DISCLOSED FIRST AMENDMENT TO CREDIT AND GUARANTY AGREEMENT This FIRST AMENDMENT TO CREDIT AND GUARANTY AGREEMENT (this “Agreement”) is made as of April 30, 2025 (the “Amendment Effective Date”), by and among EOS ENERGY ENTERPRISES, INC., a Delaware corporation, as borrower (the “Borrower”) and grantor, the guarantors and other grantors party hereto, the Lenders party hereto, and CERBERUS US SERVICING, LLC, as Administrative Agent (in such capacity, the “Administrative Agent”) and Collateral Agent (in such capacity, the “Collateral Agent”, together with the Administrative Agent, the “Agent”). RECITALS: WHEREAS, the Borrower, the other Credit Parties, CCM Denali Debt Holdings, LP (the “Prior Administrative Agent”) and Lenders are party to that certain Credit and Guaranty Agreement, dated as of June 21, 2024 (as amended by the First Omnibus Amendment to Credit Documents, dated as of November 26, 2024, and as further amended, amended and restated, supplemented, extended, refinanced and/or otherwise modified and in effect prior to the date hereof, the “Existing Credit Agreement”; the Existing Credit Agreement as amended by this Agreement, the “Credit Agreement”; unless otherwise defined herein, capitalized terms used herein that are not otherwise defined herein shall have the respective meanings assigned to such terms in the Credit Agreement). WHEREAS, the Borrower has requested that the Lenders and the Agent agree to make certain amendments to the Existing Credit Agreement. WHEREAS, the Borrower, the Lenders and the Agent have so agreed on the terms and conditions set forth herein. NOW, THEREFORE, in consideration of the premises and the agreements, provisions and covenants herein contained, the parties hereto agree as follows: 1. Amendment to the Credit Agreement. Effective as of the Amendment Effective Date: (a) Schedule 1.1 to the Existing Credit Agreement is hereby deleted in its entirety and replaced with the Schedule 1.1 attached as Exhibit A hereto and made a part hereof; 2. Effectiveness. This Agreement shall become effective upon the Administrative Agent’s receipt of counterparts of this Agreement duly executed by the Borrower, each Lender and the Agent. 3. Representations and Warranties. Each Credit Party hereby represents and warrants as follows: (a) Authority. Each Credit Party has the requisite corporate or limited liability company power and authority to execute and deliver this Agreement, and to perform its obligations hereunder and under the Credit Documents (as amended or modified hereby) to which it is a party. The execution, delivery and performance by each Credit Party of this Agreement have been duly approved by all necessary corporate or limited liability company action, have received all necessary governmental approval, if any, and do not contravene any law or any contractual restriction binding on any Credit Party. No other corporate or limited liability company proceedings are necessary to consummate such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4907-2962-2537 v.5 -2- (b) Enforceability. This Agreement has been duly executed and delivered by the Credit Parties. This Agreement and each Credit Document (as amended or modified hereby) is the legal, valid and binding obligation of each Credit Party, enforceable against each Credit Party in accordance with its terms, and is in full force and effect. (c) Representations and Warranties. The representations and warranties made the Credit Parties contained in each Credit Document are true and correct in all material respects (except that such materiality qualifier shall not be applicable to any representations and warranties that already are qualified or modified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(d) No Default. No event has occurred and is continuing that constitutes a Default or Event of Default as of the date hereof or would result from the execution and delivery of this Agreement. 4. Reference to and Effect on the Credit Agreement. (a) Upon the effectiveness hereof, each reference to the “Credit Agreement” in the Credit Document shall mean and be a reference to the “Credit Agreement” (as defined herein). (b) The Credit Agreement and all other documents, instruments and agreements executed and/or delivered in connection therewith shall remain in full force and effect and are hereby ratified and confirmed. Each Credit Party hereby (i) agrees that, except as specifically provided herein, this Agreement and the transactions contemplated hereby shall not limit or diminish the obligations of the Credit Parties arising under or pursuant to the Credit Agreement or the other Credit Documents to which it is a party, (ii) reaffirms its obligations under the Credit Agreement and each and every other Credit Document to which it is a party and (iii) reaffirms all Liens on the Collateral which have been granted by it in favor of the Administrative Agent pursuant to any of the Credit Documents and all filings made with any Governmental Authority in connection with such Liens. Without in any way limiting the foregoing, this Agreement shall not constitute a novation of the Credit Documents or any Obligations. (c) The execution, delivery and effectiveness of this Agreement shall not operate as a waiver of any right, power or remedy of the Administrative Agent or the Lenders (including in connection with any Default or Event of Default), nor constitute a waiver of any provision of the Credit Agreement or any other documents, instruments and agreements executed and/or delivered in connection therewith (or any Default or Event of Default thereunder). (d) This Agreement is a Credit Document. 5. Release. Each Credit Party hereby remises, releases, acquits, satisfies and forever discharges Agent, the Lenders and their respective agents, employees, officers, directors, predecessors, attorneys and all others acting or purporting to act on behalf of or at the direction of Agent or the Lenders (collectively, “Releasees”), of and from any and all manner of actions, causes of action, suits, damages, claims and demands, in each case, that as of the date hereof are known or reasonably should be known to such Credit Party, in law or in equity, which such Credit Party ever had, now has or, to the extent arising from or in connection with any act, omission or state of facts taken or existing on or prior to the date hereof, may have after the date hereof against any Releasees in connection with the Credit Agreement or the other Credit Documents, including, but not limited to, the rights to contest (i) the right of Agent and each Lender to exercise its rights and remedies described in the Credit Agreement and the other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4907-2962-2537 v.5 -3- Documents, (ii) any provision of the Credit Agreement or the other Credit Documents or (iii) any conduct of Agent, the Lenders or other Releasees relating to or arising out of the Credit Agreement or the other Credit Documents on or prior to the date hereof. 6. Governing Law; Consent to Jurisdiction; Waiver of Jury Trial. This Agreement shall be construed in accordance with and governed by the law of the State of New York. Sections 10.15 (Consent to Jurisdiction) and 10.16 (Waiver of Jury Trial) of the Credit Agreement are hereby incorporated by reference, mutatis mutandis. 7. Expenses; Headings; Electronic Execution; Counterparts. Sections 10.2 (Expenses), 10.13 (Headings), 10.25 (Electronic Execution of Assignments and Credit Documents) and 10.19 (Counterparts) of the Credit Agreement are hereby incorporated by reference, mutatis mutandis.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Amendment to Credit and Guaranty Agreement IN WITNESS WHEREOF, each of the undersigned has executed this Agreement as of the date set forth above. CREDIT PARTIES: EOS ENERGY ENTERPRISES, INC. By: /s/ Joseph Mastrangelo Name: Joseph Mastrangelo Title: Chief Executive Officer &amp; President EOS ENERGY ENTERPRISES INTERMEDIATE HOLDINGS, LLC By: /s/ Joseph Mastrangelo Name: Joseph Mastrangelo Title: Chief Executive Officer &amp; President EOS ENERGY STORAGE LLC By: /s/ Joseph Mastrangelo Name: Joseph Mastrangelo Title: Chief Executive Officer &amp; President EOS SERVICES LLC By: /s/ Joseph Mastrangelo Name: Joseph Mastrangelo Title: Chief Executive Officer &amp; President HI-POWER, LLC By: /s/ Joseph Mastrangelo Name: Joseph Mastrangelo Title: Chief Executive Officer &amp; President EOS INGENUITY LAB, LLC By: /s/ Joseph Mastrangelo Name: Joseph Mastrangelo Title: Chief Executive Officer &amp;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Amendment to Credit and Guaranty Agreement EOS ENTERPRISE HOLDINGS, LLC By: /s/ Joseph Mastrangelo Name: Joseph Mastrangelo Title: Chief Executive Officer &amp; President EOS ENERGY TECHNOLOGY HOLDINGS, LLC By: /s/ Joseph Mastrangelo Name: Joseph Mastrangelo Title: Chief Executive Officer &amp;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Amendment to Credit and Guaranty Agreement AGENTS AND LENDERS: CERBERUS US SERVICING, LLC, as Administrative Agent and Collateral Agent By: /s/ Alexander D. Benjamin Name: Alexander D. Benjamin Title: Authorized Signatory CCM DENALI DEBT HOLDINGS, LP, as a Lender By: /s/ Alexander D. Benjamin Name: Alexander D. Benjamin Title: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4907-2962-2537 v.5 Exhibit A Schedule 1.1 to the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Schedule 1.1 Milestone Schedule 1. Delayed Draw Term Loan Milestones. The Lenders’ several obligations to make any Delayed Draw Term Loan shall be subject to the satisfaction of all conditions precedent set forth in Section 3.2 of the Credit Agreement and each of the applicable Milestones set forth below. a. Tranche 1 Term Loan. The Lenders’ several obligations to make the Tranche 1 Term Loan pursuant to Section 2.1(a)(ii) of the Credit Agreement shall be subject to the achievement of the First Milestone on the First Milestone Test Date. In the event that the Borrower fails to achieve the First Milestone on the First Milestone Test Date, each of the Tranche 1 Commitment, the Tranche 2 Commitment and the Tranche 3 Commitment shall (subject to Section 3 below) be automatically terminated, effective immediately after the First Milestone Test Date. b. Tranche 2 Term Loan. The Lenders’ several obligations to make the Tranche 2 Term Loan pursuant to Section 2.1(a)(iii) of the Credit Agreement shall be subject to the achievement of the Second Milestone on the Second Milestone Test Date. In the event that the Borrower fails to achieve the Second Milestone on the Second Milestone Test Date, the Tranche 2 Commitment and the Tranche 3 Commitment shall (subject to Section 3 below) be automatically terminated, effective immediately after the Second Milestone Test Date. c. Tranche 3 Term Loan. The Lenders’ several obligations to make the Tranche 3 Term Loan pursuant to Section 2.1(a)(iv) of the Credit Agreement shall be subject to the achievement of the Third Milestone on the Third Milestone Test Date. In the event that the Borrower fails to achieve the Third Milestone on the Third Milestone Test Date, the Tranche 3 Commitment shall (subject to Section 3 below) be automatically terminated, effective immediately after the Third Milestone Test Date. 2. Applicable Percentage Milestones. The Applicable Percentage shall be subject to increase or, solely in the case of achieving the Fourth Milestone Components, decrease, as set forth below. Each adjustment to the Applicable Percentage set forth below is iterative, such that the failure to achieve each applicable Milestone Component shall result in a separate adjustment that is separate from, and in addition to, any preceding or succeeding adjustment to the Applicable Percentage. Each adjustment to the Applicable Percentage set forth below is in addition to, and separate from, any increases in the Applicable Percentage as set forth in the definition thereof upon the making of any applicable Delayed Draw Term Loan. a. First Milestone Adjustments. Subject to Sections 2(d) and (e) below, the Applicable Percentage shall be increased by [*] percent ([*]%) for each failure to achieve any First Milestone Component, in each case on the First Milestone Test Date, subject to a maximum increase of four percent (4%) for the failure to achieve First Milestone Components. By way of example, the failure to achieve Automation Milestone 1 and Cost Milestone 1, combined with the achievement of each of Sales Milestone 1 and Technology Milestone 1, in each case on First Milestone Test Date, would result in an Applicable Percentage increase of [*] percent ([*]%). b. Second Milestone Adjustments. Subject to Sections 2(d) and (e) below, the Applicable Percentage shall be increased by [*] percent ([*]%) for each failure to achieve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Second Milestone Component, in each case on the Second Milestone Test Date, subject to a maximum increase of four percent (4%) for the failure to achieve Second Milestone Components. By way of example, the failure to achieve Automation Milestone 2 and Cost Milestone 2, combined with the achievement of each of Sales Milestone 2 and Technology Milestone 2, in each case on the Second Milestone Test Date, would result in an Applicable Percentage increase of [*] percent ([*]%). c. Third Milestone Adjustments. Subject to Sections 2(d) and (e) below, the Applicable Percentage shall be increased by [*] percent ([*]%) for each failure to achieve any Third Milestone Component, in each case on the Third Milestone Test Date, subject to a maximum increase of four percent (4%) for the failure to achieve Third Milestone Components. By way of example, the failure to achieve Automation Milestone 3 and Cost Milestone 3, combined with the achievement of each of Sales Milestone 3 and Technology Milestone 3, in each case on the Third Milestone Test Date, would result in an Applicable Percentage increase of [*] percent ([*]%). d. Fourth Milestone Adjustments. Subject to Section 2(e) below, the Applicable Percentage shall be increased by [*] percent ([*]%) for each failure to achieve any Fourth Milestone Component, in each case on the Fourth Milestone Test Date, subject to a maximum increase of four percent (4%) for the failure to achieve Fourth Milestone Components; provided, that upon the achievement of any Fourth Milestone Component (in its entirety, not including fractional achievement), if, from and after the Closing Date through and including the Fourth Milestone Test Date, none of the Borrower or any of its Subsidiaries has received any Net Cash Proceeds from the incurrence of any Indebtedness (other than the Term Loans, any Revolving Loans or any Indebtedness permitted by Section 6.1(i) or (j)) or the issuance of any Capital Stock, then any increase to the Applicable Percentage previously made pursuant to any of Sections 2(a), (b) and (c) above due to the failure to achieve any Milestone Component of the same category (e.g., automation) shall be of no further force and effect as of the Fourth Milestone Test Date, and as a result the cumulative increase of the Applicable Percentage due to the prior failure to achieve any Milestone Component of such category shall be reduced to [*]. By way of example, the failure to achieve any of Automation Milestone 1, Automation Milestone 2 or Automation Milestone 3, followed by the achievement of Automation Milestone 4, would result in a cumulative adjustment to the Applicable Percentage of [*] with respect to the automation category of Milestones (so long as from and after the Closing Date through and including the Fourth Milestone Test Date, none of the Borrower or any of its Subsidiaries has received any Net Cash Proceeds from the incurrence of any Indebtedness (other than the Term Loans, any Revolving Loans or any Indebtedness permitted by Section 6.1(i) or (j)) or the issuance of any Capital Stock). In the foregoing example, any adjustments to the Applicable Percentage prior to the Fourth Milestone would remain in effect, notwithstanding the achievement of any Fourth Milestone Component, if after the Closing Date through and including the Fourth Milestone Test Date, the Borrower or any of its Subsidiaries received any Net Cash Proceeds from the incurrence of any Indebtedness (other than the Term Loans, any Revolving Loans or any Indebtedness permitted by Section 6.1(i) or (j)) or the issuance of any Capital Stock. In the event of any decrease to the Applicable Percentage as a result of the achievement of any Fourth Milestone Component such that the Equity Instruments held by Lenders or their assignees or designees, as applicable, exceed the Equity Instruments required in order to satisfy the Equity Instruments Coverage Condition, such Lender, assignee or designee holding any Equity Instruments shall promptly, upon request, cooperate with Borrower to amend, forfeit or return such Equity Instruments as necessary to give effect to such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e. Fractional Adjustments. In the case of any Milestone Component that has more than one sub-component, if such Milestone Component has not been achieved but one or more of such sub-components have been achieved, then the total increase to the Applicable Percentage with respect to such Milestone Component shall be equal to [*] percent ([*]%) multiplied by a fraction where (x) the numerator is the number of sub-components of such Milestone Components that were not achieved and (y) the denominator is the total number of sub-components of such Milestone Component. 3. Milestone Certificates. The achievement of all Milestones and Milestone Components set forth herein shall be evidenced by delivery to the Administrative Agent of a certificate of an Authorized Officer in form and substance satisfactory to the Administrative Agent in its sole discretion that certifies achievement or failure of such Milestone and/or Milestone Components and attaching such as the Administrative Agent may request in its sole discretion demonstrating such achievement or failure of such Milestone and/or Milestone Components. The failure to deliver such certificate on or prior to the date that is five (5) Business Days after the applicable Test Date shall be deemed to constitute a failure to achieve each Milestone and/or Milestone Components to which such Test Date is applicable. For the avoidance of doubt, the parties understand and agree that achievement or failure of certain Milestone Components may require evaluation of results to verify satisfaction of the criteria thereof. Administrative Agent may, in its sole discretion, extend or otherwise stay any termination of Commitments pending further determination of whether any such Milestone Component has been satisfied or failed. Upon determination by Agent in its sole discretion that any such Milestone Component has been satisfied after the occurrence of the applicable Test Date or the date on which such certificate is required, such Milestone Component shall be deemed to have been satisfied as of the applicable Test Date. Any Applicable Percentage increase resulting from the failure to achieve any Milestone Component shall be deemed to have occurred immediately and automatically upon (i) delivery of the certificate or (ii) upon the failure to deliver such certificate on or prior to the date that is five (5) Business Days after the applicable Test Date. 4. Defined Terms; Interpretation, etc. a. Capitalized terms used in this Schedule 1.1 and not otherwise defined herein have the respective meanings assigned thereto in the Credit Agreement. b. The rules of construction specified in Section 1.3 of the Credit Agreement also apply to this Schedule 1.1. c. Other Defined Terms. As used in this Agreement, the following terms have the meanings specified below: “Aggregate Cost” means the actual cost of the actual materials and components that were put into the actual EOS Cubes produced, as measured by the documented BOM, updated not less often than monthly and supported by invoices to vendors, calculated using Borrower’s accounting practices as in effect on the Closing Date and in accordance with GAAP, which for the avoidance of doubt does not include any labor costs or overhead costs. “Automation Milestone 1” means the achievement of each of (i) Cycle Time (Automated) of not more than [*] and (ii) Quality Yield of not less than [*] percent ([*]%). “Automation Milestone 2” means the achievement of each of (i) Cycle Time (Blended) of not more than [*] seconds and (ii) Quality Yield of not less than [*] percent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1"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“Automation Milestone 3” means the achievement of each of (i) Cycle Time (Blended) of not more than [*] seconds and (ii) Quality Yield of not less than [*] percent ([*]%). “Automation Milestone 4” means the achievement of each of (i) Cycle Time (Blended) of not more than [*] seconds and (ii) Quality Yield of not less than [*] percent ([*]%). “Cost Milestone 1” means that (i) the Aggregate Cost of EOS Cubes, including without limitation battery modules, enclosures, BOC, BMS and electrical materials (including and accounting for scrap) produced during the calendar month preceding the month ending on the First Milestone Test Date, divided by (ii) the number of EOS Cubes produced during such month, equals an amount that is not more than [*] Dollars ($[*]). “Cost Milestone 2” means that (i) the Aggregate Cost of EOS Cubes, including without limitation battery modules, enclosures, BOC, BMS and electrical materials (including and accounting for scrap) produced during the calendar month preceding the month ending on the Second Milestone Test Date, divided by (ii) the number of EOS Cubes produced during such month, equals an amount that is not more than [*] Dollars ($[*]). “Cost Milestone 3” means that (i) the Aggregate Cost of EOS Cubes, including without limitation battery modules, enclosures, BOC, BMS and electrical materials (including and accounting for scrap) produced during the calendar month preceding the month ending on the Third Milestone Test Date, divided by (ii) the number of EOS Cubes produced during such month, equals an amount that is not more than [*] Dollars ($[*]). “Cost Milestone 4” means that (i) the Aggregate Cost of EOS Cubes, including without limitation battery modules, enclosures, BOC, BMS and electrical materials (including and accounting for scrap) produced during the calendar month preceding the month ending on the Fourth Milestone Test Date, divided by (ii) the number of EOS Cubes produced during such month, equals an amount that is not more than [*] Dollars ($[*]). “Cycle Time (Automated)” means the number of seconds obtained by dividing (i) the total number of Z3 battery modules produced by Line 1 (as a fully automated operating line of production) per hour (averaged over a [*]-hour test period) by (ii) [*] seconds, as measured for such [*]- hour period at the end of the line, completed on or prior to the First Milestone Test Date. “Cycle Time (Blended)” means the number of seconds obtained by dividing (i) the total number of Z3 battery modules produced by Line 1 (as a fully operating line of production) over total Effective Hours (averaged on a per-hour basis over such Effective Hours) by (ii) [*] seconds, as measured throughout the full calendar month ending on the applicable Milestone Test Date. “Draw Period” means the Tranche 1 Term Loan Draw Period, the Tranche 2 Term Loan Draw Period or Tranche 3 Term Loan Draw Period, as applicable. “Effective Hours” means hours of production, excluding breaks, maintenance, test/training runs, engineering builds, power outages, startup and other planned and unplanned business interruption. “First Milestone” means the achievement of all First Milestone Components. “First Milestone Component” means each of Automation Milestone 1, Cost Milestone 1, Sales Milestone 1 or Technology Milestone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“First Milestone Test Date” means August 31, 2024. “Fourth Milestone” means the achievement of all Fourth Milestone Components. “Fourth Milestone Component” means each of Automation Milestone 4, Cost Milestone 4, Sales Milestone 4 or Technology Milestone 4. “Fourth Milestone Test Date” means April 30, 2025; provided, however, with respect to Sales Milestone 4, “Fourth Milestone Test Date” means July 31, 2025. “Milestone” means the First Milestone, the Second Milestone, the Third Milestone or the Fourth Milestone, as applicable. “Milestone Component” means the First Milestone Components, the Second Milestone Components, the Third Milestone Components or the Fourth Milestone Components, as applicable. “Milestone Test Date” means the First Milestone Test Date, Second Milestone Test Date, Third Milestone Test Date, or the Fourth Milestone Test Date, as applicable. “Quality Yield” means the percentage obtained by dividing (i) the number of Z3 battery modules accepted during the Effective Hours, as measured by the quality acceptance criteria at the end of Line 1 (as a fully operating line of production), by (ii) the number of Z3 battery modules produced during the Effective Hours, in each case measured over the course of the full calendar month ending on the applicable Milestone Test Date. “Sales Milestone 1” means the achievement of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First Milestone Test Date. For the avoidance of doubt any deposits or payments refunded or otherwise returned to any customer for any shall reduce the calculation of deposits or payments (as applicable) for purposes of the foregoing. For the avoidance of doubt, such computation of receipts shall include all such receipts from the Closing Date through such Milestone Test Date. “Sales Milestone 2”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Second Milestone Test Date and (ii)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Second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“Sales Milestone 3”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Third Milestone Test Date and (ii) receipt of not less than [*] Dollars ($[*]) of aggregate payments from customers through and including completion of factory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acceptance tests of EOS Cubes pursuant to the terms of purchase orders for, or other similar customer agreements for the purchase of, EOS Cubes powered by Z3 battery modules, through and including the Third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“Sales Milestone 4”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Fourth Milestone Test Date and (ii)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Fourth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“Second Milestone” means the achievement of all Second Milestone Components. “Second Milestone Component” means each of Automation Milestone 2, Cost Milestone 2, Sales Milestone 2 or Technology Milestone 2. “Second Milestone Test Date” means October 31, 2024. “Technology Milestone 1” means the completion of Z3 version 3.5 battery module product performance tests using standard capacity test protocol that demonstrated capacity of EOS Cubes powered by Z3 battery modules of not less than [*] kilowatt hours, determined using standard cell test protocol (with energy density normalized to the geometric area of the felt), not later than the First Milestone Test Date. “Technology Milestone 2” means the completion of Z3 version 3.5 battery module product performance tests using standard capacity test protocol1 that demonstrated each of the following for both units under test not later than the Second Milestone Test Date: (i) completion of not less than [*] battery standard battery test cycles2, (ii) minimum of [*] kilowatt hours discharged at [*] kilowatts ([*] hour test), (iii) minimum of [*] kilowatt hours discharged at [*] kilowatts ([*] hour test), and (iv) a ratio of total energy output produced by discharge from Z3 battery modules to total energy input required by the charging of Z3 battery modules measured over the course of [*] hours of continuous operation of not less than [*]. “Technology Milestone 3” means the completion of Z3 version 3.5 battery module product performance tests using standard capacity test protocol that demonstrated each of the following for both units under test not later than the Third Milestone Test Date: (i) completion of not less than [*] standard battery test cycles, (ii) minimum of [*] kilowatt hours discharged at [*] kilowatts ([*] hour test), 1 Detailed engineering specifications for standard capacity test protocol will be jointly developed by Administrative Agent and Borrower no later than July 15, 2024. Test specifications will be placed under revision control in the Borrower’s engineering system, and subsequent changes tracked under change control and Administrative Agent’s signature approval will be required on all changes. 2 Detailed engineering specifications for standard battery test cycle will be jointly developed by Administrative Agent and Borrower no later than July 15, 2024. Test specifications will be placed under revision control in the Borrower’s engineering system, and subsequent changes tracked under change control and Administrative Agent’s signature approval will be required on all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4913-3884-5449 v.3 (iii) minimum of [*] kilowatt hours discharged at [*] kilowatts ([*] hour test), (iv) DC round trip efficiency of not less than [*]% ([*]t hour test at [*] kilowatts), and (v) cumulative downtime (excluding any downtime related to any factors outside of the EOS Cube itself (e.g., inverter, exogenous events)) of less than [*] hours. “Technology Milestone 4” means the completion of Z3 version 3.5 battery module product performance tests using standard capacity test protocol that demonstrated each of the following for both units under test not later than the Fourth Milestone Test Date: (i) completion of not less than [*] standard battery test cycles, (ii) minimum of [*] kilowatt hours discharged at [*] kilowatts ([*] hour test), (iii) minimum of [*] kilowatt hours discharged at [*] kilowatts ([*] hour test), (iv) DC round trip efficiency of not less than [*]% ([*] hour test at [*] kilowatts), and (v) cumulative downtime (excluding any downtime related to any factors outside of the EOS Cube itself (e.g., inverter, exogenous events)) of less than [*] hours. “Test Date” means the First Milestone Test Date, the Second Milestone Test Date, the Third Milestone Test Date or the Fourth Milestone Test Date, as applicable. “Third Milestone” means the achievement of all Third Milestone Components. “Third Milestone Component” means each of Automation Milestone 3, Cost Milestone 3, Sales Milestone 3 or Technology Milestone 3. “Third Milestone Test Date” means January 31, 2025. “Tranche 1 Term Loan Draw Period” means the period commencing on the date on which both (i) the conditions precedent set forth in Section 3.2 of the Credit Agreement have been satisfied and (ii) the First Milestone has been achieved (it being understood that the First Milestone cannot be achieved prior to the First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First Milestone Test Date), and (ii) the date that is 30 calendar days after the First Milestone Test Date. “Tranche 2 Term Loan Draw Period” means the period commencing on the date on which both (i) the conditions precedent set forth in Section 3.2 of the Credit Agreement have been satisfied and (ii) the Second Milestone has been achieved (it being understood that the Second Milestone cannot be achieved prior to the Second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Second Milestone Test Date), and (ii) the date that is 30 calendar days after the Second Milestone Test Date. “Tranche 3 Term Loan Draw Period” means the period commencing on the date on which both (i) the conditions precedent set forth in Section 3.2 of the Credit Agreement have been satisfied and (ii) the Third Milestone has been achieved (it being understood that the Third Milestone cannot be achieved prior to the Third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Third Milestone Test Date), and (ii) the date that is 30 calendar days after the Third Milestone Test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Joseph Mastrangelo,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19"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Eric Javidi,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32"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Javidi</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Javidi</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2025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119"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2025 as filed with the Securities and Exchange Commission on the date hereof (the “Report”), I, Eric Javidi,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459"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Javidi</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Javidi</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80507724000051/secondcertificateofamend.htm" TargetMode="External"/><Relationship Id="rId4" Type="http://schemas.openxmlformats.org/officeDocument/2006/relationships/hyperlink" Target="https://www.sec.gov/Archives/edgar/data/1805077/000162828022014885/secondamendedandrestatedby.htm" TargetMode="External"/><Relationship Id="rId5" Type="http://schemas.openxmlformats.org/officeDocument/2006/relationships/hyperlink" Target="https://www.sec.gov/Archives/edgar/data/1805077/000121390024054998/ea020831801ex3-1_eosener.htm" TargetMode="External"/><Relationship Id="rId6" Type="http://schemas.openxmlformats.org/officeDocument/2006/relationships/hyperlink" Target="https://www.sec.gov/Archives/edgar/data/1805077/000121390024074175/ea021300401ex3-1_eosenergy.htm" TargetMode="External"/><Relationship Id="rId7" Type="http://schemas.openxmlformats.org/officeDocument/2006/relationships/hyperlink" Target="https://www.sec.gov/Archives/edgar/data/1805077/000121390024078188/ea021432401ex3-1_eosenergy.htm" TargetMode="External"/><Relationship Id="rId8" Type="http://schemas.openxmlformats.org/officeDocument/2006/relationships/hyperlink" Target="https://www.sec.gov/Archives/edgar/data/1805077/000121390024078188/ea021432401ex3-2_eosenergy.htm" TargetMode="External"/><Relationship Id="rId9" Type="http://schemas.openxmlformats.org/officeDocument/2006/relationships/hyperlink" Target="https://www.sec.gov/Archives/edgar/data/1805077/000121390024094161/ea021975701ex3-1_eosenergy.htm" TargetMode="External"/><Relationship Id="rId10" Type="http://schemas.openxmlformats.org/officeDocument/2006/relationships/hyperlink" Target="https://www.sec.gov/Archives/edgar/data/1805077/000121390024094161/ea021975701ex3-1_eosenergy.htm" TargetMode="External"/><Relationship Id="rId11" Type="http://schemas.openxmlformats.org/officeDocument/2006/relationships/hyperlink" Target="https://www.sec.gov/Archives/edgar/data/1805077/000121390024094161/ea021975701ex3-1_eosenergy.htm" TargetMode="External"/><Relationship Id="rId12" Type="http://schemas.openxmlformats.org/officeDocument/2006/relationships/hyperlink" Target="https://www.sec.gov/Archives/edgar/data/1805077/000121390025006768/ea022872901ex3-1_eos.htm" TargetMode="External"/><Relationship Id="rId13" Type="http://schemas.openxmlformats.org/officeDocument/2006/relationships/hyperlink" Target="https://www.sec.gov/Archives/edgar/data/1805077/000121390025006768/ea022872901ex3-1_eos.htm" TargetMode="External"/><Relationship Id="rId14" Type="http://schemas.openxmlformats.org/officeDocument/2006/relationships/hyperlink" Target="https://www.sec.gov/Archives/edgar/data/1805077/000121390025006768/ea022872901ex3-1_eos.htm" TargetMode="External"/><Relationship Id="rId15" Type="http://schemas.openxmlformats.org/officeDocument/2006/relationships/hyperlink" Target="https://www.sec.gov/Archives/edgar/data/1805077/000180507725000019/javidiericrevisedofferle.htm" TargetMode="External"/><Relationship Id="rId16" Type="http://schemas.openxmlformats.org/officeDocument/2006/relationships/hyperlink" Target="https://www.sec.gov/Archives/edgar/data/1805077/000180507725000019/eossticompensationplanef.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34441</Words>
  <Characters>188215</Characters>
  <CharactersWithSpaces>220999</CharactersWithSpaces>
  <Paragraphs>2882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ex105eos-firstamendmentt</dc:title>
</cp:coreProperties>
</file>