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774618.xml.htm"/>
      <w:bookmarkStart w:id="1" w:name="kswkform4_17877746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Mastrangelo Joe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EOS ENERGY ENTERPRISES,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ALLEGHENY CENTER, NOVA TOWER 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Eos Energy Enterprises, Inc.</w:t>
              </w:r>
            </w:hyperlink>
            <w:r>
              <w:rPr/>
              <w:t xml:space="preserve"> [ </w:t>
            </w:r>
            <w:r>
              <w:rPr>
                <w:rFonts w:ascii="Times;serif" w:hAnsi="Times;serif"/>
                <w:color w:val="0000FF"/>
                <w:sz w:val="24"/>
                <w:shd w:fill="FFFFFF" w:val="clear"/>
              </w:rPr>
              <w:t>EOSE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611,406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611,406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611,406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received a grant of RSUs under the Issuer's 2020 Incentive Plan, which will vest in three installments on each of the first three anniversaries of the grant date, subject to continued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Sumeet Puri as attorney-in-fact for Joe Mastrangelo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3309" TargetMode="External"/><Relationship Id="rId5" Type="http://schemas.openxmlformats.org/officeDocument/2006/relationships/hyperlink" Target="http://www.sec.gov/cgi-bin/browse-edgar?action=getcompany&amp;CIK=00018050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641</Words>
  <Characters>3484</Characters>
  <CharactersWithSpaces>4050</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