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1036240.xml.htm"/>
      <w:bookmarkStart w:id="1" w:name="kswkform3_1781036240"/>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Lagi Alessandro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EOS ENERGY ENTERPRISES,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3920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EDISON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08820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06/08/2026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Eos Energy Enterprises, Inc.</w:t>
              </w:r>
            </w:hyperlink>
            <w:r>
              <w:rPr/>
              <w:t xml:space="preserve"> [ </w:t>
            </w:r>
            <w:r>
              <w:rPr>
                <w:rFonts w:ascii="Times;serif" w:hAnsi="Times;serif"/>
                <w:color w:val="0000FF"/>
                <w:sz w:val="24"/>
                <w:shd w:fill="FFFFFF" w:val="clear"/>
              </w:rPr>
              <w:t>EOSE</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12,114</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Silberman as attorney-in-fact for Alessandro Lagi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alessandrolagipoavform3.htm"/>
      <w:bookmarkStart w:id="3" w:name="ksalessandrolagipoavform3"/>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KNOW ALL BY THESE PRESENTS, that the undersigned hereby constitutes and appoints Michael Silberman, Nathan Kroeker, Michelle Buczkowski, Matthew Ogrodnik, Zechariah Faulkner, and Sumeet Puri (collectively, “Authorized Officers”), and such other members, managers, officers, agents, representatives, and employees of Eos Energy Enterprises, Inc. (the “Company”) and/or each of the Company’s subsidiaries, as applicable, as any of the Authorized Officers shall deem appropriate, his true and lawful attorney-in-fact to: (1) execute for and on behalf of the undersigned, in the undersigned’s capacity as a representative of the Company, any and all Form 3, 4 or 5 reports required to be filed by the undersigned in accordance with Section 16(a) of the Securities Exchange Act of 1934, as amended (“Exchange Act”), and the rules thereunder with respect to transactions in securities of the Company; (2) do and perform any and all acts for and on behalf of the undersigned which may be necessary or desirable to complete and execute any such Form 3, 4 or 5 report and timely file such report with the U.S. Securities and Exchange Commission and any stock exchange or similar authority; and (3)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her/his discretion. 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her/his substitute or substitutes, shall lawfully do or cause to be done by virtue of this Power of Attorney and the rights and powers herein granted. The undersigned acknowledges that no such attorney-in-fact, in serving in such capacity at the request of the undersigned, is hereby assuming, nor is the Company hereby assuming, any of the undersigned’s responsibilities to comply with Section 16 of the Exchange Act. 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attorneys-in-fact. IN WITNESS WHEREOF, the undersigned has caused this Power of Attorney to be executed as of the 30th day of April, 2026. Signature: /s/Alessandro Lagi Print Name: Alessandro Lagi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33360" TargetMode="External"/><Relationship Id="rId3" Type="http://schemas.openxmlformats.org/officeDocument/2006/relationships/hyperlink" Target="http://www.sec.gov/cgi-bin/browse-edgar?action=getcompany&amp;CIK=000180507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894</Words>
  <Characters>4827</Characters>
  <CharactersWithSpaces>5680</CharactersWithSpaces>
  <Paragraphs>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alessandrolagipoavform3</dc:title>
</cp:coreProperties>
</file>