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272551.xml.htm"/>
      <w:bookmarkStart w:id="1" w:name="kswkform4_17852725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Kroeker 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EOS ENERGY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ALLEGHENY CENTER, NOVA TOWER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Eos Energy Enterprises, Inc.</w:t>
              </w:r>
            </w:hyperlink>
            <w:r>
              <w:rPr/>
              <w:t xml:space="preserve"> [ </w:t>
            </w:r>
            <w:r>
              <w:rPr>
                <w:rFonts w:ascii="Times;serif" w:hAnsi="Times;serif"/>
                <w:color w:val="0000FF"/>
                <w:sz w:val="24"/>
                <w:shd w:fill="FFFFFF" w:val="clear"/>
              </w:rPr>
              <w:t>EOSE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220,834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997,944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110,417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3.36</w:t>
            </w:r>
            <w:r>
              <w:rPr>
                <w:rFonts w:ascii="Times;serif" w:hAnsi="Times;serif"/>
                <w:color w:val="008000"/>
                <w:position w:val="7"/>
                <w:sz w:val="16"/>
                <w:sz w:val="20"/>
                <w:shd w:fill="FFFFFF" w:val="clear"/>
              </w:rPr>
              <w:t>(3)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887,527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220,834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220,834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220,833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automatically pursuant to a Rule 10b5-1 trading plan adopted by the reporting person on September 15, 2025 to cover estimated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$3.23 to $3.48,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received a grant of RSUs under the Issuer's 2020 Incentive Plan, which will vest in three installments on each of the first three anniversaries of the grant date, subject to continued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Sumeet Puri as attorney-in-fact for Nathan Kroeker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13718" TargetMode="External"/><Relationship Id="rId5" Type="http://schemas.openxmlformats.org/officeDocument/2006/relationships/hyperlink" Target="http://www.sec.gov/cgi-bin/browse-edgar?action=getcompany&amp;CIK=00018050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4160</Characters>
  <CharactersWithSpaces>4838</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