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149294.xml.htm"/>
      <w:bookmarkStart w:id="1" w:name="kswkform4_17841492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Song Haiyan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29,980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RSUs that settle in cash or common stock, which will vest on the earlier of (i) the first anniversary of the grant date and (ii) immediately prior to the date of the next annual shareholders meeting of the Company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Marie Martin as attorney-in-fact for Haiyan Song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4708"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3457</Characters>
  <CharactersWithSpaces>4036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