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6893.xml.htm"/>
      <w:bookmarkStart w:id="1" w:name="kswkform4_17851868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DIMITRIEF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5,942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as part of the Company's annual compensation review process and reflects an adjustment based on benchmarking against market compensation practices.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RSUs that settle in common stock, which will vest on the earlier of (i) the first anniversary of the grant date and (ii) immediately prior to the date of the next annual shareholders meeting of the Company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Alexander Dimitrief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32"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667</Words>
  <Characters>3623</Characters>
  <CharactersWithSpaces>4215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