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311150</wp:posOffset>
            </wp:positionH>
            <wp:positionV relativeFrom="page">
              <wp:posOffset>662940</wp:posOffset>
            </wp:positionV>
            <wp:extent cx="69348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4835" cy="8890"/>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688975</wp:posOffset>
            </wp:positionV>
            <wp:extent cx="69348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4835"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306" w:lineRule="exact"/>
        <w:rPr>
          <w:sz w:val="24"/>
          <w:szCs w:val="24"/>
          <w:color w:val="auto"/>
        </w:rPr>
      </w:pPr>
    </w:p>
    <w:p>
      <w:pPr>
        <w:ind w:left="3880" w:right="1600" w:hanging="3692"/>
        <w:spacing w:after="0" w:line="230" w:lineRule="auto"/>
        <w:tabs>
          <w:tab w:leader="none" w:pos="494" w:val="left"/>
        </w:tabs>
        <w:numPr>
          <w:ilvl w:val="0"/>
          <w:numId w:val="1"/>
        </w:numPr>
        <w:rPr>
          <w:rFonts w:ascii="MS PGothic" w:cs="MS PGothic" w:eastAsia="MS PGothic" w:hAnsi="MS PGothic"/>
          <w:sz w:val="36"/>
          <w:szCs w:val="36"/>
          <w:color w:val="auto"/>
          <w:vertAlign w:val="superscript"/>
        </w:rPr>
      </w:pPr>
      <w:r>
        <w:rPr>
          <w:rFonts w:ascii="Arial" w:cs="Arial" w:eastAsia="Arial" w:hAnsi="Arial"/>
          <w:sz w:val="18"/>
          <w:szCs w:val="18"/>
          <w:b w:val="1"/>
          <w:bCs w:val="1"/>
          <w:color w:val="auto"/>
        </w:rPr>
        <w:t>QUARTERLY REPORT PURSUANT TO SECTION 13 OR 15(d) OF THE SECURITIES EXCHANGE ACT OF 1934 For the quarterly period ended June 30, 2023</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181" w:lineRule="exact"/>
        <w:rPr>
          <w:sz w:val="24"/>
          <w:szCs w:val="24"/>
          <w:color w:val="auto"/>
        </w:rPr>
      </w:pPr>
    </w:p>
    <w:p>
      <w:pPr>
        <w:ind w:left="500" w:right="1580" w:hanging="337"/>
        <w:spacing w:after="0" w:line="391" w:lineRule="auto"/>
        <w:tabs>
          <w:tab w:leader="none" w:pos="504"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1847215</wp:posOffset>
            </wp:positionH>
            <wp:positionV relativeFrom="paragraph">
              <wp:posOffset>-107315</wp:posOffset>
            </wp:positionV>
            <wp:extent cx="285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75" w:lineRule="exact"/>
        <w:rPr>
          <w:sz w:val="24"/>
          <w:szCs w:val="24"/>
          <w:color w:val="auto"/>
        </w:rPr>
      </w:pPr>
    </w:p>
    <w:p>
      <w:pPr>
        <w:ind w:left="4260"/>
        <w:spacing w:after="0"/>
        <w:rPr>
          <w:sz w:val="20"/>
          <w:szCs w:val="20"/>
          <w:color w:val="auto"/>
        </w:rPr>
      </w:pPr>
      <w:r>
        <w:rPr>
          <w:rFonts w:ascii="Arial" w:cs="Arial" w:eastAsia="Arial" w:hAnsi="Arial"/>
          <w:sz w:val="18"/>
          <w:szCs w:val="18"/>
          <w:b w:val="1"/>
          <w:bCs w:val="1"/>
          <w:color w:val="auto"/>
        </w:rPr>
        <w:t>Commission file number 001-39291</w:t>
      </w:r>
    </w:p>
    <w:p>
      <w:pPr>
        <w:spacing w:after="0" w:line="144"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EOS ENERGY ENTERPRISES,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316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91"/>
              </w:rPr>
              <w:t>Delaware</w:t>
            </w: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340" w:type="dxa"/>
            <w:vAlign w:val="bottom"/>
          </w:tcPr>
          <w:p>
            <w:pPr>
              <w:jc w:val="right"/>
              <w:ind w:right="830"/>
              <w:spacing w:after="0"/>
              <w:rPr>
                <w:sz w:val="20"/>
                <w:szCs w:val="20"/>
                <w:color w:val="auto"/>
              </w:rPr>
            </w:pPr>
            <w:r>
              <w:rPr>
                <w:rFonts w:ascii="Arial" w:cs="Arial" w:eastAsia="Arial" w:hAnsi="Arial"/>
                <w:sz w:val="18"/>
                <w:szCs w:val="18"/>
                <w:b w:val="1"/>
                <w:bCs w:val="1"/>
                <w:color w:val="auto"/>
              </w:rPr>
              <w:t>84-4290188</w:t>
            </w:r>
          </w:p>
        </w:tc>
        <w:tc>
          <w:tcPr>
            <w:tcW w:w="440" w:type="dxa"/>
            <w:vAlign w:val="bottom"/>
          </w:tcPr>
          <w:p>
            <w:pPr>
              <w:spacing w:after="0"/>
              <w:rPr>
                <w:sz w:val="20"/>
                <w:szCs w:val="20"/>
                <w:color w:val="auto"/>
              </w:rPr>
            </w:pPr>
          </w:p>
        </w:tc>
      </w:tr>
      <w:tr>
        <w:trPr>
          <w:trHeight w:val="230"/>
        </w:trPr>
        <w:tc>
          <w:tcPr>
            <w:tcW w:w="6920" w:type="dxa"/>
            <w:vAlign w:val="bottom"/>
            <w:gridSpan w:val="6"/>
          </w:tcPr>
          <w:p>
            <w:pPr>
              <w:jc w:val="center"/>
              <w:ind w:right="86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520" w:type="dxa"/>
            <w:vAlign w:val="bottom"/>
          </w:tcPr>
          <w:p>
            <w:pPr>
              <w:spacing w:after="0"/>
              <w:rPr>
                <w:sz w:val="20"/>
                <w:szCs w:val="20"/>
                <w:color w:val="auto"/>
              </w:rPr>
            </w:pPr>
          </w:p>
        </w:tc>
        <w:tc>
          <w:tcPr>
            <w:tcW w:w="3780" w:type="dxa"/>
            <w:vAlign w:val="bottom"/>
            <w:gridSpan w:val="2"/>
          </w:tcPr>
          <w:p>
            <w:pPr>
              <w:jc w:val="center"/>
              <w:ind w:left="110"/>
              <w:spacing w:after="0"/>
              <w:rPr>
                <w:sz w:val="20"/>
                <w:szCs w:val="20"/>
                <w:color w:val="auto"/>
              </w:rPr>
            </w:pPr>
            <w:r>
              <w:rPr>
                <w:rFonts w:ascii="Arial" w:cs="Arial" w:eastAsia="Arial" w:hAnsi="Arial"/>
                <w:sz w:val="18"/>
                <w:szCs w:val="18"/>
                <w:color w:val="auto"/>
                <w:w w:val="94"/>
              </w:rPr>
              <w:t>(I.R.S. Employer Identification No.)</w:t>
            </w:r>
          </w:p>
        </w:tc>
      </w:tr>
      <w:tr>
        <w:trPr>
          <w:trHeight w:val="499"/>
        </w:trPr>
        <w:tc>
          <w:tcPr>
            <w:tcW w:w="1620" w:type="dxa"/>
            <w:vAlign w:val="bottom"/>
          </w:tcPr>
          <w:p>
            <w:pPr>
              <w:spacing w:after="0"/>
              <w:rPr>
                <w:sz w:val="24"/>
                <w:szCs w:val="24"/>
                <w:color w:val="auto"/>
              </w:rPr>
            </w:pPr>
          </w:p>
        </w:tc>
        <w:tc>
          <w:tcPr>
            <w:tcW w:w="316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90"/>
              </w:rPr>
              <w:t>3920 Park Avenue</w:t>
            </w:r>
          </w:p>
        </w:tc>
        <w:tc>
          <w:tcPr>
            <w:tcW w:w="300" w:type="dxa"/>
            <w:vAlign w:val="bottom"/>
          </w:tcPr>
          <w:p>
            <w:pPr>
              <w:spacing w:after="0"/>
              <w:rPr>
                <w:sz w:val="24"/>
                <w:szCs w:val="24"/>
                <w:color w:val="auto"/>
              </w:rPr>
            </w:pPr>
          </w:p>
        </w:tc>
        <w:tc>
          <w:tcPr>
            <w:tcW w:w="1840" w:type="dxa"/>
            <w:vAlign w:val="bottom"/>
            <w:gridSpan w:val="2"/>
          </w:tcPr>
          <w:p>
            <w:pPr>
              <w:ind w:left="1100"/>
              <w:spacing w:after="0"/>
              <w:rPr>
                <w:sz w:val="20"/>
                <w:szCs w:val="20"/>
                <w:color w:val="auto"/>
              </w:rPr>
            </w:pPr>
            <w:r>
              <w:rPr>
                <w:rFonts w:ascii="Arial" w:cs="Arial" w:eastAsia="Arial" w:hAnsi="Arial"/>
                <w:sz w:val="18"/>
                <w:szCs w:val="18"/>
                <w:b w:val="1"/>
                <w:bCs w:val="1"/>
                <w:color w:val="auto"/>
              </w:rPr>
              <w:t>Edison</w:t>
            </w:r>
          </w:p>
        </w:tc>
        <w:tc>
          <w:tcPr>
            <w:tcW w:w="520" w:type="dxa"/>
            <w:vAlign w:val="bottom"/>
          </w:tcPr>
          <w:p>
            <w:pPr>
              <w:ind w:left="200"/>
              <w:spacing w:after="0"/>
              <w:rPr>
                <w:sz w:val="20"/>
                <w:szCs w:val="20"/>
                <w:color w:val="auto"/>
              </w:rPr>
            </w:pPr>
            <w:r>
              <w:rPr>
                <w:rFonts w:ascii="Arial" w:cs="Arial" w:eastAsia="Arial" w:hAnsi="Arial"/>
                <w:sz w:val="18"/>
                <w:szCs w:val="18"/>
                <w:b w:val="1"/>
                <w:bCs w:val="1"/>
                <w:color w:val="auto"/>
              </w:rPr>
              <w:t>NJ</w:t>
            </w:r>
          </w:p>
        </w:tc>
        <w:tc>
          <w:tcPr>
            <w:tcW w:w="3340" w:type="dxa"/>
            <w:vAlign w:val="bottom"/>
          </w:tcPr>
          <w:p>
            <w:pPr>
              <w:jc w:val="right"/>
              <w:ind w:right="1030"/>
              <w:spacing w:after="0"/>
              <w:rPr>
                <w:sz w:val="20"/>
                <w:szCs w:val="20"/>
                <w:color w:val="auto"/>
              </w:rPr>
            </w:pPr>
            <w:r>
              <w:rPr>
                <w:rFonts w:ascii="Arial" w:cs="Arial" w:eastAsia="Arial" w:hAnsi="Arial"/>
                <w:sz w:val="18"/>
                <w:szCs w:val="18"/>
                <w:b w:val="1"/>
                <w:bCs w:val="1"/>
                <w:color w:val="auto"/>
              </w:rPr>
              <w:t>08820</w:t>
            </w:r>
          </w:p>
        </w:tc>
        <w:tc>
          <w:tcPr>
            <w:tcW w:w="440" w:type="dxa"/>
            <w:vAlign w:val="bottom"/>
          </w:tcPr>
          <w:p>
            <w:pPr>
              <w:spacing w:after="0"/>
              <w:rPr>
                <w:sz w:val="24"/>
                <w:szCs w:val="24"/>
                <w:color w:val="auto"/>
              </w:rPr>
            </w:pPr>
          </w:p>
        </w:tc>
      </w:tr>
      <w:tr>
        <w:trPr>
          <w:trHeight w:val="230"/>
        </w:trPr>
        <w:tc>
          <w:tcPr>
            <w:tcW w:w="4780" w:type="dxa"/>
            <w:vAlign w:val="bottom"/>
            <w:gridSpan w:val="3"/>
          </w:tcPr>
          <w:p>
            <w:pPr>
              <w:jc w:val="center"/>
              <w:ind w:left="1190"/>
              <w:spacing w:after="0"/>
              <w:rPr>
                <w:sz w:val="20"/>
                <w:szCs w:val="20"/>
                <w:color w:val="auto"/>
              </w:rPr>
            </w:pPr>
            <w:r>
              <w:rPr>
                <w:rFonts w:ascii="Arial" w:cs="Arial" w:eastAsia="Arial" w:hAnsi="Arial"/>
                <w:sz w:val="18"/>
                <w:szCs w:val="18"/>
                <w:color w:val="auto"/>
                <w:w w:val="92"/>
              </w:rPr>
              <w:t>(Address of Principal Executive Offices)</w:t>
            </w: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780" w:type="dxa"/>
            <w:vAlign w:val="bottom"/>
            <w:gridSpan w:val="2"/>
          </w:tcPr>
          <w:p>
            <w:pPr>
              <w:jc w:val="center"/>
              <w:ind w:left="110"/>
              <w:spacing w:after="0"/>
              <w:rPr>
                <w:sz w:val="20"/>
                <w:szCs w:val="20"/>
                <w:color w:val="auto"/>
              </w:rPr>
            </w:pPr>
            <w:r>
              <w:rPr>
                <w:rFonts w:ascii="Arial" w:cs="Arial" w:eastAsia="Arial" w:hAnsi="Arial"/>
                <w:sz w:val="18"/>
                <w:szCs w:val="18"/>
                <w:color w:val="auto"/>
                <w:w w:val="91"/>
              </w:rPr>
              <w:t>(Zip Code)</w:t>
            </w:r>
          </w:p>
        </w:tc>
      </w:tr>
      <w:tr>
        <w:trPr>
          <w:trHeight w:val="418"/>
        </w:trPr>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72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(732) 225-8400</w:t>
            </w: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30"/>
        </w:trPr>
        <w:tc>
          <w:tcPr>
            <w:tcW w:w="16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260" w:type="dxa"/>
            <w:vAlign w:val="bottom"/>
            <w:gridSpan w:val="7"/>
          </w:tcPr>
          <w:p>
            <w:pPr>
              <w:jc w:val="center"/>
              <w:ind w:right="294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365"/>
        </w:trPr>
        <w:tc>
          <w:tcPr>
            <w:tcW w:w="478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16"/>
        </w:trPr>
        <w:tc>
          <w:tcPr>
            <w:tcW w:w="4780" w:type="dxa"/>
            <w:vAlign w:val="bottom"/>
            <w:gridSpan w:val="3"/>
          </w:tcPr>
          <w:p>
            <w:pPr>
              <w:jc w:val="center"/>
              <w:ind w:right="110"/>
              <w:spacing w:after="0"/>
              <w:rPr>
                <w:sz w:val="20"/>
                <w:szCs w:val="20"/>
                <w:color w:val="auto"/>
              </w:rPr>
            </w:pPr>
            <w:r>
              <w:rPr>
                <w:rFonts w:ascii="Arial" w:cs="Arial" w:eastAsia="Arial" w:hAnsi="Arial"/>
                <w:sz w:val="18"/>
                <w:szCs w:val="18"/>
                <w:b w:val="1"/>
                <w:bCs w:val="1"/>
                <w:color w:val="auto"/>
                <w:w w:val="86"/>
              </w:rPr>
              <w:t>Title of each class</w:t>
            </w:r>
          </w:p>
        </w:tc>
        <w:tc>
          <w:tcPr>
            <w:tcW w:w="21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Trading Symbol(s)</w:t>
            </w:r>
          </w:p>
        </w:tc>
        <w:tc>
          <w:tcPr>
            <w:tcW w:w="520" w:type="dxa"/>
            <w:vAlign w:val="bottom"/>
          </w:tcPr>
          <w:p>
            <w:pPr>
              <w:spacing w:after="0"/>
              <w:rPr>
                <w:sz w:val="18"/>
                <w:szCs w:val="18"/>
                <w:color w:val="auto"/>
              </w:rPr>
            </w:pPr>
          </w:p>
        </w:tc>
        <w:tc>
          <w:tcPr>
            <w:tcW w:w="37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162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34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0"/>
        </w:trPr>
        <w:tc>
          <w:tcPr>
            <w:tcW w:w="4780" w:type="dxa"/>
            <w:vAlign w:val="bottom"/>
            <w:gridSpan w:val="3"/>
            <w:shd w:val="clear" w:color="auto" w:fill="CCEEFF"/>
          </w:tcPr>
          <w:p>
            <w:pPr>
              <w:jc w:val="center"/>
              <w:ind w:right="110"/>
              <w:spacing w:after="0"/>
              <w:rPr>
                <w:sz w:val="20"/>
                <w:szCs w:val="20"/>
                <w:color w:val="auto"/>
              </w:rPr>
            </w:pPr>
            <w:r>
              <w:rPr>
                <w:rFonts w:ascii="Arial" w:cs="Arial" w:eastAsia="Arial" w:hAnsi="Arial"/>
                <w:sz w:val="18"/>
                <w:szCs w:val="18"/>
                <w:color w:val="auto"/>
                <w:w w:val="89"/>
              </w:rPr>
              <w:t>Common stock, par value $0.0001 per share</w:t>
            </w:r>
          </w:p>
        </w:tc>
        <w:tc>
          <w:tcPr>
            <w:tcW w:w="3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1"/>
              </w:rPr>
              <w:t>EOSE</w:t>
            </w:r>
          </w:p>
        </w:tc>
        <w:tc>
          <w:tcPr>
            <w:tcW w:w="52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4780" w:type="dxa"/>
            <w:vAlign w:val="bottom"/>
            <w:gridSpan w:val="3"/>
          </w:tcPr>
          <w:p>
            <w:pPr>
              <w:jc w:val="center"/>
              <w:ind w:right="110"/>
              <w:spacing w:after="0"/>
              <w:rPr>
                <w:sz w:val="20"/>
                <w:szCs w:val="20"/>
                <w:color w:val="auto"/>
              </w:rPr>
            </w:pPr>
            <w:r>
              <w:rPr>
                <w:rFonts w:ascii="Arial" w:cs="Arial" w:eastAsia="Arial" w:hAnsi="Arial"/>
                <w:sz w:val="18"/>
                <w:szCs w:val="18"/>
                <w:color w:val="auto"/>
                <w:w w:val="88"/>
              </w:rPr>
              <w:t>Warrants, each exercisable for one share of common stock</w:t>
            </w:r>
          </w:p>
        </w:tc>
        <w:tc>
          <w:tcPr>
            <w:tcW w:w="300" w:type="dxa"/>
            <w:vAlign w:val="bottom"/>
          </w:tcPr>
          <w:p>
            <w:pPr>
              <w:spacing w:after="0"/>
              <w:rPr>
                <w:sz w:val="20"/>
                <w:szCs w:val="20"/>
                <w:color w:val="auto"/>
              </w:rPr>
            </w:pPr>
          </w:p>
        </w:tc>
        <w:tc>
          <w:tcPr>
            <w:tcW w:w="184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EOSEW</w:t>
            </w:r>
          </w:p>
        </w:tc>
        <w:tc>
          <w:tcPr>
            <w:tcW w:w="520" w:type="dxa"/>
            <w:vAlign w:val="bottom"/>
          </w:tcPr>
          <w:p>
            <w:pPr>
              <w:spacing w:after="0"/>
              <w:rPr>
                <w:sz w:val="20"/>
                <w:szCs w:val="20"/>
                <w:color w:val="auto"/>
              </w:rPr>
            </w:pPr>
          </w:p>
        </w:tc>
        <w:tc>
          <w:tcPr>
            <w:tcW w:w="378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The Nasdaq Stock Market LLC</w:t>
            </w:r>
          </w:p>
        </w:tc>
      </w:tr>
    </w:tbl>
    <w:p>
      <w:pPr>
        <w:spacing w:after="0" w:line="201" w:lineRule="exact"/>
        <w:rPr>
          <w:sz w:val="24"/>
          <w:szCs w:val="24"/>
          <w:color w:val="auto"/>
        </w:rPr>
      </w:pPr>
    </w:p>
    <w:p>
      <w:pPr>
        <w:ind w:right="240"/>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p>
      <w:pPr>
        <w:spacing w:after="0" w:line="176" w:lineRule="exact"/>
        <w:rPr>
          <w:sz w:val="24"/>
          <w:szCs w:val="24"/>
          <w:color w:val="auto"/>
        </w:rPr>
      </w:pPr>
    </w:p>
    <w:p>
      <w:pPr>
        <w:ind w:right="100"/>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p>
      <w:pPr>
        <w:spacing w:after="0" w:line="176" w:lineRule="exact"/>
        <w:rPr>
          <w:sz w:val="24"/>
          <w:szCs w:val="24"/>
          <w:color w:val="auto"/>
        </w:rPr>
      </w:pPr>
    </w:p>
    <w:p>
      <w:pPr>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61"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33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00" w:type="dxa"/>
            <w:vAlign w:val="bottom"/>
          </w:tcPr>
          <w:p>
            <w:pPr>
              <w:ind w:left="1680"/>
              <w:spacing w:after="0" w:line="181" w:lineRule="exact"/>
              <w:rPr>
                <w:sz w:val="20"/>
                <w:szCs w:val="20"/>
                <w:color w:val="auto"/>
              </w:rPr>
            </w:pPr>
            <w:r>
              <w:rPr>
                <w:rFonts w:ascii="MS PGothic" w:cs="MS PGothic" w:eastAsia="MS PGothic" w:hAnsi="MS PGothic"/>
                <w:sz w:val="18"/>
                <w:szCs w:val="18"/>
                <w:color w:val="auto"/>
              </w:rPr>
              <w:t>☐</w:t>
            </w:r>
          </w:p>
        </w:tc>
        <w:tc>
          <w:tcPr>
            <w:tcW w:w="3640" w:type="dxa"/>
            <w:vAlign w:val="bottom"/>
          </w:tcPr>
          <w:p>
            <w:pPr>
              <w:ind w:left="160"/>
              <w:spacing w:after="0"/>
              <w:rPr>
                <w:sz w:val="20"/>
                <w:szCs w:val="20"/>
                <w:color w:val="auto"/>
              </w:rPr>
            </w:pPr>
            <w:r>
              <w:rPr>
                <w:rFonts w:ascii="Arial" w:cs="Arial" w:eastAsia="Arial" w:hAnsi="Arial"/>
                <w:sz w:val="18"/>
                <w:szCs w:val="18"/>
                <w:color w:val="auto"/>
              </w:rPr>
              <w:t>Accelerated filer</w:t>
            </w:r>
          </w:p>
        </w:tc>
        <w:tc>
          <w:tcPr>
            <w:tcW w:w="168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300" w:type="dxa"/>
            <w:vAlign w:val="bottom"/>
          </w:tcPr>
          <w:p>
            <w:pPr>
              <w:spacing w:after="0"/>
              <w:rPr>
                <w:sz w:val="20"/>
                <w:szCs w:val="20"/>
                <w:color w:val="auto"/>
              </w:rPr>
            </w:pPr>
            <w:r>
              <w:rPr>
                <w:rFonts w:ascii="Arial" w:cs="Arial" w:eastAsia="Arial" w:hAnsi="Arial"/>
                <w:sz w:val="18"/>
                <w:szCs w:val="18"/>
                <w:color w:val="auto"/>
              </w:rPr>
              <w:t>Non-accelerated filer</w:t>
            </w:r>
          </w:p>
        </w:tc>
        <w:tc>
          <w:tcPr>
            <w:tcW w:w="2000" w:type="dxa"/>
            <w:vAlign w:val="bottom"/>
          </w:tcPr>
          <w:p>
            <w:pPr>
              <w:ind w:left="1680"/>
              <w:spacing w:after="0" w:line="181" w:lineRule="exact"/>
              <w:rPr>
                <w:sz w:val="20"/>
                <w:szCs w:val="20"/>
                <w:color w:val="auto"/>
              </w:rPr>
            </w:pPr>
            <w:r>
              <w:rPr>
                <w:rFonts w:ascii="MS PGothic" w:cs="MS PGothic" w:eastAsia="MS PGothic" w:hAnsi="MS PGothic"/>
                <w:sz w:val="18"/>
                <w:szCs w:val="18"/>
                <w:color w:val="auto"/>
              </w:rPr>
              <w:t>☒</w:t>
            </w:r>
          </w:p>
        </w:tc>
        <w:tc>
          <w:tcPr>
            <w:tcW w:w="3640" w:type="dxa"/>
            <w:vAlign w:val="bottom"/>
          </w:tcPr>
          <w:p>
            <w:pPr>
              <w:ind w:left="160"/>
              <w:spacing w:after="0"/>
              <w:rPr>
                <w:sz w:val="20"/>
                <w:szCs w:val="20"/>
                <w:color w:val="auto"/>
              </w:rPr>
            </w:pPr>
            <w:r>
              <w:rPr>
                <w:rFonts w:ascii="Arial" w:cs="Arial" w:eastAsia="Arial" w:hAnsi="Arial"/>
                <w:sz w:val="18"/>
                <w:szCs w:val="18"/>
                <w:color w:val="auto"/>
              </w:rPr>
              <w:t>Smaller reporting company</w:t>
            </w:r>
          </w:p>
        </w:tc>
        <w:tc>
          <w:tcPr>
            <w:tcW w:w="168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Emerging growth company</w:t>
            </w:r>
          </w:p>
        </w:tc>
        <w:tc>
          <w:tcPr>
            <w:tcW w:w="168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1"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line="207" w:lineRule="exact"/>
        <w:tabs>
          <w:tab w:leader="none" w:pos="7640" w:val="left"/>
          <w:tab w:leader="none" w:pos="842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had outstanding 133,994,506 shares of common stock as of August 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765175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203200</wp:posOffset>
            </wp:positionV>
            <wp:extent cx="69348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34835"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229235</wp:posOffset>
            </wp:positionV>
            <wp:extent cx="69348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34835" cy="8890"/>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9500" w:type="dxa"/>
            <w:vAlign w:val="bottom"/>
          </w:tcPr>
          <w:p>
            <w:pPr>
              <w:ind w:left="4060"/>
              <w:spacing w:after="0"/>
              <w:rPr>
                <w:sz w:val="20"/>
                <w:szCs w:val="20"/>
                <w:color w:val="auto"/>
              </w:rPr>
            </w:pPr>
            <w:r>
              <w:rPr>
                <w:rFonts w:ascii="Arial" w:cs="Arial" w:eastAsia="Arial" w:hAnsi="Arial"/>
                <w:sz w:val="18"/>
                <w:szCs w:val="18"/>
                <w:b w:val="1"/>
                <w:bCs w:val="1"/>
                <w:color w:val="auto"/>
              </w:rPr>
              <w:t>Table of Contents</w:t>
            </w:r>
          </w:p>
        </w:tc>
        <w:tc>
          <w:tcPr>
            <w:tcW w:w="860" w:type="dxa"/>
            <w:vAlign w:val="bottom"/>
          </w:tcPr>
          <w:p>
            <w:pPr>
              <w:spacing w:after="0"/>
              <w:rPr>
                <w:sz w:val="20"/>
                <w:szCs w:val="20"/>
                <w:color w:val="auto"/>
              </w:rPr>
            </w:pPr>
          </w:p>
        </w:tc>
      </w:tr>
      <w:tr>
        <w:trPr>
          <w:trHeight w:val="257"/>
        </w:trPr>
        <w:tc>
          <w:tcPr>
            <w:tcW w:w="880" w:type="dxa"/>
            <w:vAlign w:val="bottom"/>
          </w:tcPr>
          <w:p>
            <w:pPr>
              <w:spacing w:after="0"/>
              <w:rPr>
                <w:sz w:val="22"/>
                <w:szCs w:val="22"/>
                <w:color w:val="auto"/>
              </w:rPr>
            </w:pPr>
          </w:p>
        </w:tc>
        <w:tc>
          <w:tcPr>
            <w:tcW w:w="9500" w:type="dxa"/>
            <w:vAlign w:val="bottom"/>
          </w:tcPr>
          <w:p>
            <w:pPr>
              <w:spacing w:after="0"/>
              <w:rPr>
                <w:sz w:val="22"/>
                <w:szCs w:val="22"/>
                <w:color w:val="auto"/>
              </w:rPr>
            </w:pPr>
          </w:p>
        </w:tc>
        <w:tc>
          <w:tcPr>
            <w:tcW w:w="860" w:type="dxa"/>
            <w:vAlign w:val="bottom"/>
          </w:tcPr>
          <w:p>
            <w:pPr>
              <w:ind w:left="260"/>
              <w:spacing w:after="0"/>
              <w:rPr>
                <w:sz w:val="20"/>
                <w:szCs w:val="20"/>
                <w:color w:val="auto"/>
              </w:rPr>
            </w:pPr>
            <w:r>
              <w:rPr>
                <w:rFonts w:ascii="Arial" w:cs="Arial" w:eastAsia="Arial" w:hAnsi="Arial"/>
                <w:sz w:val="18"/>
                <w:szCs w:val="18"/>
                <w:color w:val="auto"/>
              </w:rPr>
              <w:t>Page</w:t>
            </w:r>
          </w:p>
        </w:tc>
      </w:tr>
      <w:tr>
        <w:trPr>
          <w:trHeight w:val="229"/>
        </w:trPr>
        <w:tc>
          <w:tcPr>
            <w:tcW w:w="880" w:type="dxa"/>
            <w:vAlign w:val="bottom"/>
            <w:shd w:val="clear" w:color="auto" w:fill="CCEEFF"/>
          </w:tcPr>
          <w:p>
            <w:pPr>
              <w:spacing w:after="0"/>
              <w:rPr>
                <w:sz w:val="19"/>
                <w:szCs w:val="19"/>
                <w:color w:val="auto"/>
              </w:rPr>
            </w:pPr>
          </w:p>
        </w:tc>
        <w:tc>
          <w:tcPr>
            <w:tcW w:w="9500" w:type="dxa"/>
            <w:vAlign w:val="bottom"/>
            <w:shd w:val="clear" w:color="auto" w:fill="CCEEFF"/>
          </w:tcPr>
          <w:p>
            <w:pPr>
              <w:ind w:left="3320"/>
              <w:spacing w:after="0"/>
              <w:rPr>
                <w:sz w:val="20"/>
                <w:szCs w:val="20"/>
                <w:color w:val="auto"/>
              </w:rPr>
            </w:pPr>
            <w:r>
              <w:rPr>
                <w:rFonts w:ascii="Arial" w:cs="Arial" w:eastAsia="Arial" w:hAnsi="Arial"/>
                <w:sz w:val="18"/>
                <w:szCs w:val="18"/>
                <w:color w:val="auto"/>
              </w:rPr>
              <w:t>PART I - FINANCIAL INFORMATION</w:t>
            </w:r>
          </w:p>
        </w:tc>
        <w:tc>
          <w:tcPr>
            <w:tcW w:w="860" w:type="dxa"/>
            <w:vAlign w:val="bottom"/>
            <w:shd w:val="clear" w:color="auto" w:fill="CCEEFF"/>
          </w:tcPr>
          <w:p>
            <w:pPr>
              <w:spacing w:after="0"/>
              <w:rPr>
                <w:sz w:val="19"/>
                <w:szCs w:val="19"/>
                <w:color w:val="auto"/>
              </w:rPr>
            </w:pPr>
          </w:p>
        </w:tc>
      </w:tr>
      <w:tr>
        <w:trPr>
          <w:trHeight w:val="230"/>
        </w:trPr>
        <w:tc>
          <w:tcPr>
            <w:tcW w:w="880" w:type="dxa"/>
            <w:vAlign w:val="bottom"/>
          </w:tcPr>
          <w:p>
            <w:pPr>
              <w:ind w:left="20"/>
              <w:spacing w:after="0"/>
              <w:rPr>
                <w:sz w:val="20"/>
                <w:szCs w:val="20"/>
                <w:color w:val="auto"/>
              </w:rPr>
            </w:pPr>
            <w:r>
              <w:rPr>
                <w:rFonts w:ascii="Arial" w:cs="Arial" w:eastAsia="Arial" w:hAnsi="Arial"/>
                <w:sz w:val="18"/>
                <w:szCs w:val="18"/>
                <w:color w:val="auto"/>
              </w:rPr>
              <w:t>Item 1.</w:t>
            </w:r>
          </w:p>
        </w:tc>
        <w:tc>
          <w:tcPr>
            <w:tcW w:w="9500" w:type="dxa"/>
            <w:vAlign w:val="bottom"/>
          </w:tcPr>
          <w:p>
            <w:pPr>
              <w:ind w:left="100"/>
              <w:spacing w:after="0"/>
              <w:rPr>
                <w:sz w:val="20"/>
                <w:szCs w:val="20"/>
                <w:color w:val="auto"/>
              </w:rPr>
            </w:pPr>
            <w:r>
              <w:rPr>
                <w:rFonts w:ascii="Arial" w:cs="Arial" w:eastAsia="Arial" w:hAnsi="Arial"/>
                <w:sz w:val="18"/>
                <w:szCs w:val="18"/>
                <w:color w:val="auto"/>
              </w:rPr>
              <w:t>Financial Statements</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4</w:t>
            </w:r>
          </w:p>
        </w:tc>
      </w:tr>
      <w:tr>
        <w:trPr>
          <w:trHeight w:val="229"/>
        </w:trPr>
        <w:tc>
          <w:tcPr>
            <w:tcW w:w="880" w:type="dxa"/>
            <w:vAlign w:val="bottom"/>
            <w:shd w:val="clear" w:color="auto" w:fill="CCEEFF"/>
          </w:tcPr>
          <w:p>
            <w:pPr>
              <w:spacing w:after="0"/>
              <w:rPr>
                <w:sz w:val="19"/>
                <w:szCs w:val="19"/>
                <w:color w:val="auto"/>
              </w:rPr>
            </w:pPr>
          </w:p>
        </w:tc>
        <w:tc>
          <w:tcPr>
            <w:tcW w:w="9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Unaudited Condensed Consolidated Balance Sheets as of June 30, 2023 and December 31, 2022</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r>
      <w:tr>
        <w:trPr>
          <w:trHeight w:val="188"/>
        </w:trPr>
        <w:tc>
          <w:tcPr>
            <w:tcW w:w="880" w:type="dxa"/>
            <w:vAlign w:val="bottom"/>
          </w:tcPr>
          <w:p>
            <w:pPr>
              <w:spacing w:after="0"/>
              <w:rPr>
                <w:sz w:val="16"/>
                <w:szCs w:val="16"/>
                <w:color w:val="auto"/>
              </w:rPr>
            </w:pPr>
          </w:p>
        </w:tc>
        <w:tc>
          <w:tcPr>
            <w:tcW w:w="9500" w:type="dxa"/>
            <w:vAlign w:val="bottom"/>
          </w:tcPr>
          <w:p>
            <w:pPr>
              <w:ind w:left="100"/>
              <w:spacing w:after="0" w:line="189" w:lineRule="exact"/>
              <w:rPr>
                <w:sz w:val="20"/>
                <w:szCs w:val="20"/>
                <w:color w:val="auto"/>
              </w:rPr>
            </w:pPr>
            <w:r>
              <w:rPr>
                <w:rFonts w:ascii="Arial" w:cs="Arial" w:eastAsia="Arial" w:hAnsi="Arial"/>
                <w:sz w:val="18"/>
                <w:szCs w:val="18"/>
                <w:color w:val="auto"/>
                <w:w w:val="93"/>
              </w:rPr>
              <w:t>Unaudited Condensed Consolidated Statements of Operations and Comprehensive Loss for the Three and Six Months Ended</w:t>
            </w:r>
          </w:p>
        </w:tc>
        <w:tc>
          <w:tcPr>
            <w:tcW w:w="860" w:type="dxa"/>
            <w:vAlign w:val="bottom"/>
          </w:tcPr>
          <w:p>
            <w:pPr>
              <w:spacing w:after="0"/>
              <w:rPr>
                <w:sz w:val="16"/>
                <w:szCs w:val="16"/>
                <w:color w:val="auto"/>
              </w:rPr>
            </w:pPr>
          </w:p>
        </w:tc>
      </w:tr>
      <w:tr>
        <w:trPr>
          <w:trHeight w:val="230"/>
        </w:trPr>
        <w:tc>
          <w:tcPr>
            <w:tcW w:w="880" w:type="dxa"/>
            <w:vAlign w:val="bottom"/>
          </w:tcPr>
          <w:p>
            <w:pPr>
              <w:spacing w:after="0"/>
              <w:rPr>
                <w:sz w:val="20"/>
                <w:szCs w:val="20"/>
                <w:color w:val="auto"/>
              </w:rPr>
            </w:pPr>
          </w:p>
        </w:tc>
        <w:tc>
          <w:tcPr>
            <w:tcW w:w="9500" w:type="dxa"/>
            <w:vAlign w:val="bottom"/>
          </w:tcPr>
          <w:p>
            <w:pPr>
              <w:ind w:left="100"/>
              <w:spacing w:after="0"/>
              <w:rPr>
                <w:sz w:val="20"/>
                <w:szCs w:val="20"/>
                <w:color w:val="auto"/>
              </w:rPr>
            </w:pPr>
            <w:r>
              <w:rPr>
                <w:rFonts w:ascii="Arial" w:cs="Arial" w:eastAsia="Arial" w:hAnsi="Arial"/>
                <w:sz w:val="18"/>
                <w:szCs w:val="18"/>
                <w:color w:val="auto"/>
              </w:rPr>
              <w:t>June 30, 2023 and 2022</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6</w:t>
            </w:r>
          </w:p>
        </w:tc>
      </w:tr>
      <w:tr>
        <w:trPr>
          <w:trHeight w:val="188"/>
        </w:trPr>
        <w:tc>
          <w:tcPr>
            <w:tcW w:w="880" w:type="dxa"/>
            <w:vAlign w:val="bottom"/>
            <w:shd w:val="clear" w:color="auto" w:fill="CCEEFF"/>
          </w:tcPr>
          <w:p>
            <w:pPr>
              <w:spacing w:after="0"/>
              <w:rPr>
                <w:sz w:val="16"/>
                <w:szCs w:val="16"/>
                <w:color w:val="auto"/>
              </w:rPr>
            </w:pPr>
          </w:p>
        </w:tc>
        <w:tc>
          <w:tcPr>
            <w:tcW w:w="950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w w:val="92"/>
              </w:rPr>
              <w:t>Unaudited Condensed Consolidated Statements of Shareholders’ (Deficit) Equity for the Three and Six Months Ended June 30,</w:t>
            </w:r>
          </w:p>
        </w:tc>
        <w:tc>
          <w:tcPr>
            <w:tcW w:w="860" w:type="dxa"/>
            <w:vAlign w:val="bottom"/>
            <w:shd w:val="clear" w:color="auto" w:fill="CCEEFF"/>
          </w:tcPr>
          <w:p>
            <w:pPr>
              <w:spacing w:after="0"/>
              <w:rPr>
                <w:sz w:val="16"/>
                <w:szCs w:val="16"/>
                <w:color w:val="auto"/>
              </w:rPr>
            </w:pPr>
          </w:p>
        </w:tc>
      </w:tr>
      <w:tr>
        <w:trPr>
          <w:trHeight w:val="230"/>
        </w:trPr>
        <w:tc>
          <w:tcPr>
            <w:tcW w:w="880" w:type="dxa"/>
            <w:vAlign w:val="bottom"/>
            <w:shd w:val="clear" w:color="auto" w:fill="CCEEFF"/>
          </w:tcPr>
          <w:p>
            <w:pPr>
              <w:spacing w:after="0"/>
              <w:rPr>
                <w:sz w:val="20"/>
                <w:szCs w:val="20"/>
                <w:color w:val="auto"/>
              </w:rPr>
            </w:pPr>
          </w:p>
        </w:tc>
        <w:tc>
          <w:tcPr>
            <w:tcW w:w="9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2023 and 2022</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r>
      <w:tr>
        <w:trPr>
          <w:trHeight w:val="230"/>
        </w:trPr>
        <w:tc>
          <w:tcPr>
            <w:tcW w:w="880" w:type="dxa"/>
            <w:vAlign w:val="bottom"/>
          </w:tcPr>
          <w:p>
            <w:pPr>
              <w:spacing w:after="0"/>
              <w:rPr>
                <w:sz w:val="19"/>
                <w:szCs w:val="19"/>
                <w:color w:val="auto"/>
              </w:rPr>
            </w:pPr>
          </w:p>
        </w:tc>
        <w:tc>
          <w:tcPr>
            <w:tcW w:w="9500" w:type="dxa"/>
            <w:vAlign w:val="bottom"/>
          </w:tcPr>
          <w:p>
            <w:pPr>
              <w:ind w:left="100"/>
              <w:spacing w:after="0"/>
              <w:rPr>
                <w:sz w:val="20"/>
                <w:szCs w:val="20"/>
                <w:color w:val="auto"/>
              </w:rPr>
            </w:pPr>
            <w:r>
              <w:rPr>
                <w:rFonts w:ascii="Arial" w:cs="Arial" w:eastAsia="Arial" w:hAnsi="Arial"/>
                <w:sz w:val="18"/>
                <w:szCs w:val="18"/>
                <w:color w:val="auto"/>
              </w:rPr>
              <w:t>Unaudited Condensed Consolidated Statements of Cash Flows for the Six Months Ended June 30, 2023 and 2022</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9</w:t>
            </w:r>
          </w:p>
        </w:tc>
      </w:tr>
      <w:tr>
        <w:trPr>
          <w:trHeight w:val="229"/>
        </w:trPr>
        <w:tc>
          <w:tcPr>
            <w:tcW w:w="880" w:type="dxa"/>
            <w:vAlign w:val="bottom"/>
            <w:shd w:val="clear" w:color="auto" w:fill="CCEEFF"/>
          </w:tcPr>
          <w:p>
            <w:pPr>
              <w:spacing w:after="0"/>
              <w:rPr>
                <w:sz w:val="19"/>
                <w:szCs w:val="19"/>
                <w:color w:val="auto"/>
              </w:rPr>
            </w:pPr>
          </w:p>
        </w:tc>
        <w:tc>
          <w:tcPr>
            <w:tcW w:w="9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Notes to the Unaudited Condensed Consolidated Financial Statements</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r>
      <w:tr>
        <w:trPr>
          <w:trHeight w:val="230"/>
        </w:trPr>
        <w:tc>
          <w:tcPr>
            <w:tcW w:w="880" w:type="dxa"/>
            <w:vAlign w:val="bottom"/>
          </w:tcPr>
          <w:p>
            <w:pPr>
              <w:ind w:left="20"/>
              <w:spacing w:after="0"/>
              <w:rPr>
                <w:sz w:val="20"/>
                <w:szCs w:val="20"/>
                <w:color w:val="auto"/>
              </w:rPr>
            </w:pPr>
            <w:r>
              <w:rPr>
                <w:rFonts w:ascii="Arial" w:cs="Arial" w:eastAsia="Arial" w:hAnsi="Arial"/>
                <w:sz w:val="18"/>
                <w:szCs w:val="18"/>
                <w:color w:val="auto"/>
              </w:rPr>
              <w:t>Item 2.</w:t>
            </w:r>
          </w:p>
        </w:tc>
        <w:tc>
          <w:tcPr>
            <w:tcW w:w="9500" w:type="dxa"/>
            <w:vAlign w:val="bottom"/>
          </w:tcPr>
          <w:p>
            <w:pPr>
              <w:ind w:left="1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32</w:t>
            </w:r>
          </w:p>
        </w:tc>
      </w:tr>
      <w:tr>
        <w:trPr>
          <w:trHeight w:val="229"/>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3.</w:t>
            </w:r>
          </w:p>
        </w:tc>
        <w:tc>
          <w:tcPr>
            <w:tcW w:w="9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Quantitative and Qualitative Disclosures About Market Risk</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color w:val="auto"/>
              </w:rPr>
              <w:t>Item 4.</w:t>
            </w:r>
          </w:p>
        </w:tc>
        <w:tc>
          <w:tcPr>
            <w:tcW w:w="9500" w:type="dxa"/>
            <w:vAlign w:val="bottom"/>
          </w:tcPr>
          <w:p>
            <w:pPr>
              <w:ind w:left="100"/>
              <w:spacing w:after="0"/>
              <w:rPr>
                <w:sz w:val="20"/>
                <w:szCs w:val="20"/>
                <w:color w:val="auto"/>
              </w:rPr>
            </w:pPr>
            <w:r>
              <w:rPr>
                <w:rFonts w:ascii="Arial" w:cs="Arial" w:eastAsia="Arial" w:hAnsi="Arial"/>
                <w:sz w:val="18"/>
                <w:szCs w:val="18"/>
                <w:color w:val="auto"/>
              </w:rPr>
              <w:t>Controls and Procedures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42</w:t>
            </w:r>
          </w:p>
        </w:tc>
      </w:tr>
      <w:tr>
        <w:trPr>
          <w:trHeight w:val="257"/>
        </w:trPr>
        <w:tc>
          <w:tcPr>
            <w:tcW w:w="880" w:type="dxa"/>
            <w:vAlign w:val="bottom"/>
            <w:shd w:val="clear" w:color="auto" w:fill="CCEEFF"/>
          </w:tcPr>
          <w:p>
            <w:pPr>
              <w:spacing w:after="0"/>
              <w:rPr>
                <w:sz w:val="22"/>
                <w:szCs w:val="22"/>
                <w:color w:val="auto"/>
              </w:rPr>
            </w:pPr>
          </w:p>
        </w:tc>
        <w:tc>
          <w:tcPr>
            <w:tcW w:w="95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30"/>
        </w:trPr>
        <w:tc>
          <w:tcPr>
            <w:tcW w:w="880" w:type="dxa"/>
            <w:vAlign w:val="bottom"/>
          </w:tcPr>
          <w:p>
            <w:pPr>
              <w:spacing w:after="0"/>
              <w:rPr>
                <w:sz w:val="19"/>
                <w:szCs w:val="19"/>
                <w:color w:val="auto"/>
              </w:rPr>
            </w:pPr>
          </w:p>
        </w:tc>
        <w:tc>
          <w:tcPr>
            <w:tcW w:w="9500" w:type="dxa"/>
            <w:vAlign w:val="bottom"/>
          </w:tcPr>
          <w:p>
            <w:pPr>
              <w:ind w:left="3480"/>
              <w:spacing w:after="0"/>
              <w:rPr>
                <w:sz w:val="20"/>
                <w:szCs w:val="20"/>
                <w:color w:val="auto"/>
              </w:rPr>
            </w:pPr>
            <w:r>
              <w:rPr>
                <w:rFonts w:ascii="Arial" w:cs="Arial" w:eastAsia="Arial" w:hAnsi="Arial"/>
                <w:sz w:val="18"/>
                <w:szCs w:val="18"/>
                <w:color w:val="auto"/>
              </w:rPr>
              <w:t>PART II - OTHER INFORMATION</w:t>
            </w:r>
          </w:p>
        </w:tc>
        <w:tc>
          <w:tcPr>
            <w:tcW w:w="860" w:type="dxa"/>
            <w:vAlign w:val="bottom"/>
          </w:tcPr>
          <w:p>
            <w:pPr>
              <w:spacing w:after="0"/>
              <w:rPr>
                <w:sz w:val="19"/>
                <w:szCs w:val="19"/>
                <w:color w:val="auto"/>
              </w:rPr>
            </w:pPr>
          </w:p>
        </w:tc>
      </w:tr>
      <w:tr>
        <w:trPr>
          <w:trHeight w:val="229"/>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1.</w:t>
            </w:r>
          </w:p>
        </w:tc>
        <w:tc>
          <w:tcPr>
            <w:tcW w:w="9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Legal Proceedings</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color w:val="auto"/>
              </w:rPr>
              <w:t>Item 1a.</w:t>
            </w:r>
          </w:p>
        </w:tc>
        <w:tc>
          <w:tcPr>
            <w:tcW w:w="9500" w:type="dxa"/>
            <w:vAlign w:val="bottom"/>
          </w:tcPr>
          <w:p>
            <w:pPr>
              <w:ind w:left="100"/>
              <w:spacing w:after="0"/>
              <w:rPr>
                <w:sz w:val="20"/>
                <w:szCs w:val="20"/>
                <w:color w:val="auto"/>
              </w:rPr>
            </w:pPr>
            <w:r>
              <w:rPr>
                <w:rFonts w:ascii="Arial" w:cs="Arial" w:eastAsia="Arial" w:hAnsi="Arial"/>
                <w:sz w:val="18"/>
                <w:szCs w:val="18"/>
                <w:color w:val="auto"/>
              </w:rPr>
              <w:t>Risk Factors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43</w:t>
            </w:r>
          </w:p>
        </w:tc>
      </w:tr>
      <w:tr>
        <w:trPr>
          <w:trHeight w:val="230"/>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2.</w:t>
            </w:r>
          </w:p>
        </w:tc>
        <w:tc>
          <w:tcPr>
            <w:tcW w:w="9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Unregistered Sales of Equity Securities and Use of Proceeds</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color w:val="auto"/>
              </w:rPr>
              <w:t>Item 3.</w:t>
            </w:r>
          </w:p>
        </w:tc>
        <w:tc>
          <w:tcPr>
            <w:tcW w:w="9500" w:type="dxa"/>
            <w:vAlign w:val="bottom"/>
          </w:tcPr>
          <w:p>
            <w:pPr>
              <w:ind w:left="100"/>
              <w:spacing w:after="0"/>
              <w:rPr>
                <w:sz w:val="20"/>
                <w:szCs w:val="20"/>
                <w:color w:val="auto"/>
              </w:rPr>
            </w:pPr>
            <w:r>
              <w:rPr>
                <w:rFonts w:ascii="Arial" w:cs="Arial" w:eastAsia="Arial" w:hAnsi="Arial"/>
                <w:sz w:val="18"/>
                <w:szCs w:val="18"/>
                <w:color w:val="auto"/>
              </w:rPr>
              <w:t>Defaults Upon Senior Securities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43</w:t>
            </w:r>
          </w:p>
        </w:tc>
      </w:tr>
      <w:tr>
        <w:trPr>
          <w:trHeight w:val="229"/>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4.</w:t>
            </w:r>
          </w:p>
        </w:tc>
        <w:tc>
          <w:tcPr>
            <w:tcW w:w="9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Mine Safety Disclosures</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r>
      <w:tr>
        <w:trPr>
          <w:trHeight w:val="230"/>
        </w:trPr>
        <w:tc>
          <w:tcPr>
            <w:tcW w:w="880" w:type="dxa"/>
            <w:vAlign w:val="bottom"/>
          </w:tcPr>
          <w:p>
            <w:pPr>
              <w:ind w:left="20"/>
              <w:spacing w:after="0"/>
              <w:rPr>
                <w:sz w:val="20"/>
                <w:szCs w:val="20"/>
                <w:color w:val="auto"/>
              </w:rPr>
            </w:pPr>
            <w:r>
              <w:rPr>
                <w:rFonts w:ascii="Arial" w:cs="Arial" w:eastAsia="Arial" w:hAnsi="Arial"/>
                <w:sz w:val="18"/>
                <w:szCs w:val="18"/>
                <w:color w:val="auto"/>
              </w:rPr>
              <w:t>Item 5.</w:t>
            </w:r>
          </w:p>
        </w:tc>
        <w:tc>
          <w:tcPr>
            <w:tcW w:w="9500" w:type="dxa"/>
            <w:vAlign w:val="bottom"/>
          </w:tcPr>
          <w:p>
            <w:pPr>
              <w:ind w:left="100"/>
              <w:spacing w:after="0"/>
              <w:rPr>
                <w:sz w:val="20"/>
                <w:szCs w:val="20"/>
                <w:color w:val="auto"/>
              </w:rPr>
            </w:pPr>
            <w:r>
              <w:rPr>
                <w:rFonts w:ascii="Arial" w:cs="Arial" w:eastAsia="Arial" w:hAnsi="Arial"/>
                <w:sz w:val="18"/>
                <w:szCs w:val="18"/>
                <w:color w:val="auto"/>
              </w:rPr>
              <w:t>Other Information</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44</w:t>
            </w:r>
          </w:p>
        </w:tc>
      </w:tr>
      <w:tr>
        <w:trPr>
          <w:trHeight w:val="229"/>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6.</w:t>
            </w:r>
          </w:p>
        </w:tc>
        <w:tc>
          <w:tcPr>
            <w:tcW w:w="9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Exhibits</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r>
      <w:tr>
        <w:trPr>
          <w:trHeight w:val="230"/>
        </w:trPr>
        <w:tc>
          <w:tcPr>
            <w:tcW w:w="880" w:type="dxa"/>
            <w:vAlign w:val="bottom"/>
          </w:tcPr>
          <w:p>
            <w:pPr>
              <w:ind w:left="20"/>
              <w:spacing w:after="0"/>
              <w:rPr>
                <w:sz w:val="20"/>
                <w:szCs w:val="20"/>
                <w:color w:val="auto"/>
              </w:rPr>
            </w:pPr>
            <w:r>
              <w:rPr>
                <w:rFonts w:ascii="Arial" w:cs="Arial" w:eastAsia="Arial" w:hAnsi="Arial"/>
                <w:sz w:val="18"/>
                <w:szCs w:val="18"/>
                <w:color w:val="auto"/>
                <w:w w:val="97"/>
              </w:rPr>
              <w:t>Signatures</w:t>
            </w:r>
          </w:p>
        </w:tc>
        <w:tc>
          <w:tcPr>
            <w:tcW w:w="950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1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All statements included in this Quarterly Report on Form 10-Q (“Quarterly Report”), other than statements or characterizations of historical fact, are forward-looking statements within the meaning of the Private Securities Litigation Reform Act of 1995. The words “anticipate,” “believe,” “continue,” “could,” “estimate,” “expect,” “intends,” “may,” “might,” “plan,” “possible,” “potential,” “predict,” “project,” “should,” “would” and similar expressions, as they relate to us, are intended to identify forward-looking statements. These statements appear in a number of places in this Quarterly Report and include statements regarding the intent, belief or current expectations of Eos Energy Enterprises, Inc. Forward-looking statements are based on our management’s beliefs, as well as assumptions made by, and information currently available to, them. Because such statements are based on expectations as to future financial and operating results and are not statements of fact, actual results may differ materially from those projected. Factors which may cause actual results to differ materially from current expectations include, but are not limited to:</w:t>
      </w:r>
    </w:p>
    <w:p>
      <w:pPr>
        <w:spacing w:after="0" w:line="9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changes adversely affecting the business in which we are engaged;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forecast trends accurately;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generate cash, service indebtedness and incur additional indebtedness;</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raise financing in the future;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customer’s ability to secure project financing;</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amount of final tax credits available to our customers or to Eos Energy Enterprises, Inc. pursuant to the Inflation Reduction Act;</w:t>
      </w:r>
    </w:p>
    <w:p>
      <w:pPr>
        <w:spacing w:after="0" w:line="63" w:lineRule="exact"/>
        <w:rPr>
          <w:rFonts w:ascii="Arial" w:cs="Arial" w:eastAsia="Arial" w:hAnsi="Arial"/>
          <w:sz w:val="18"/>
          <w:szCs w:val="18"/>
          <w:color w:val="auto"/>
        </w:rPr>
      </w:pPr>
    </w:p>
    <w:p>
      <w:pPr>
        <w:ind w:left="660" w:right="60" w:hanging="328"/>
        <w:spacing w:after="0" w:line="313" w:lineRule="auto"/>
        <w:tabs>
          <w:tab w:leader="none" w:pos="6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uncertainties around our ability to secure conditional commitment in a timely manner or at all, or final approval of a loan from the Department of Energy, the Loan Programs Office, or the timing of funding and the final size of any loan if approved;</w:t>
      </w:r>
    </w:p>
    <w:p>
      <w:pPr>
        <w:ind w:left="660" w:right="200" w:hanging="328"/>
        <w:spacing w:after="0" w:line="331" w:lineRule="auto"/>
        <w:tabs>
          <w:tab w:leader="none" w:pos="655"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the possibility of a government shutdown while we remain in the due diligence phase with the U.S. Department of Energy Loan Programs Office or while we await notice of a decision regarding the issuance of a loan from the Department of Energy Loan Programs Office;</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develop efficient manufacturing processes to scale and to forecast related costs and efficiencies accurately;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fluctuations in our revenue and operating results;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competition from existing or new competitors;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failure to convert firm order backlog and pipeline to revenue;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associated with security breaches in our information technology systems;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related to legal proceedings or claims;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risks associated with evolving energy policies in the United States and other countries and the potential costs of regulatory compliance;</w:t>
      </w:r>
    </w:p>
    <w:p>
      <w:pPr>
        <w:spacing w:after="0" w:line="74" w:lineRule="exact"/>
        <w:rPr>
          <w:rFonts w:ascii="Arial" w:cs="Arial" w:eastAsia="Arial" w:hAnsi="Arial"/>
          <w:sz w:val="17"/>
          <w:szCs w:val="17"/>
          <w:i w:val="1"/>
          <w:iCs w:val="1"/>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associated with changes to U.S. trade environment;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resulting from the impact of global pandemics, including the novel coronavirus, Covid-19;</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maintain the listing of our shares of common stock on NASDAQ;</w:t>
      </w:r>
    </w:p>
    <w:p>
      <w:pPr>
        <w:spacing w:after="0" w:line="63" w:lineRule="exact"/>
        <w:rPr>
          <w:rFonts w:ascii="Arial" w:cs="Arial" w:eastAsia="Arial" w:hAnsi="Arial"/>
          <w:sz w:val="18"/>
          <w:szCs w:val="18"/>
          <w:i w:val="1"/>
          <w:iCs w:val="1"/>
          <w:color w:val="auto"/>
        </w:rPr>
      </w:pPr>
    </w:p>
    <w:p>
      <w:pPr>
        <w:ind w:left="660" w:right="180" w:hanging="328"/>
        <w:spacing w:after="0" w:line="313" w:lineRule="auto"/>
        <w:tabs>
          <w:tab w:leader="none" w:pos="6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grow our business and manage growth profitably, maintain relationships with customers and suppliers and retain our management and key employees;</w:t>
      </w: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adverse changes in general economic conditions, including inflationary pressures and increased interest rates;</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risk from supply chain disruptions and other impacts of geopolitical conflict;</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applicable laws or regulations;</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other factors detailed under the section entitled “Risk Factors”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Should one or more of these risks or uncertainties materialize, or should any of our assumptions prove incorrect, actual results may vary in material respects from those projected in these forward-looking statements. Forward-looking statements speak only as of the date they are made. Readers are cautioned not to put undue reliance on forward-looking statements, and, except as required by law, the Company assumes no obligation and does not intend to update or revise these forward-looking statements, whether as a result of new information, future events, or otherwise. See also Part I, Item 1A, </w:t>
      </w:r>
      <w:r>
        <w:rPr>
          <w:rFonts w:ascii="Arial" w:cs="Arial" w:eastAsia="Arial" w:hAnsi="Arial"/>
          <w:sz w:val="16"/>
          <w:szCs w:val="16"/>
          <w:i w:val="1"/>
          <w:iCs w:val="1"/>
          <w:color w:val="auto"/>
        </w:rPr>
        <w:t>“Risk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Factors” </w:t>
      </w:r>
      <w:r>
        <w:rPr>
          <w:rFonts w:ascii="Arial" w:cs="Arial" w:eastAsia="Arial" w:hAnsi="Arial"/>
          <w:sz w:val="16"/>
          <w:szCs w:val="16"/>
          <w:color w:val="auto"/>
        </w:rPr>
        <w:t>disclosures contained in the Company’s Annual Report on Form 10-K for the year ended December 31, 2022 for additional discussion of the risks</w:t>
      </w:r>
      <w:r>
        <w:rPr>
          <w:rFonts w:ascii="Arial" w:cs="Arial" w:eastAsia="Arial" w:hAnsi="Arial"/>
          <w:sz w:val="16"/>
          <w:szCs w:val="16"/>
          <w:i w:val="1"/>
          <w:iCs w:val="1"/>
          <w:color w:val="auto"/>
        </w:rPr>
        <w:t xml:space="preserve"> </w:t>
      </w:r>
      <w:r>
        <w:rPr>
          <w:rFonts w:ascii="Arial" w:cs="Arial" w:eastAsia="Arial" w:hAnsi="Arial"/>
          <w:sz w:val="16"/>
          <w:szCs w:val="16"/>
          <w:color w:val="auto"/>
        </w:rPr>
        <w:t>and uncertainties that could cause the Company’s actual results to differ materially from those expressed or implied in its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EOS ENERGY ENTERPRISES, INC.</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7"/>
                <w:szCs w:val="17"/>
                <w:color w:val="auto"/>
              </w:rPr>
            </w:pPr>
          </w:p>
        </w:tc>
        <w:tc>
          <w:tcPr>
            <w:tcW w:w="1460" w:type="dxa"/>
            <w:vAlign w:val="bottom"/>
          </w:tcPr>
          <w:p>
            <w:pPr>
              <w:jc w:val="right"/>
              <w:ind w:right="210"/>
              <w:spacing w:after="0"/>
              <w:rPr>
                <w:sz w:val="20"/>
                <w:szCs w:val="20"/>
                <w:color w:val="auto"/>
              </w:rPr>
            </w:pPr>
            <w:r>
              <w:rPr>
                <w:rFonts w:ascii="Arial" w:cs="Arial" w:eastAsia="Arial" w:hAnsi="Arial"/>
                <w:sz w:val="18"/>
                <w:szCs w:val="18"/>
                <w:b w:val="1"/>
                <w:bCs w:val="1"/>
                <w:color w:val="auto"/>
                <w:w w:val="97"/>
              </w:rPr>
              <w:t>December 31,</w:t>
            </w:r>
          </w:p>
        </w:tc>
      </w:tr>
      <w:tr>
        <w:trPr>
          <w:trHeight w:val="237"/>
        </w:trPr>
        <w:tc>
          <w:tcPr>
            <w:tcW w:w="77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r>
      <w:tr>
        <w:trPr>
          <w:trHeight w:val="229"/>
        </w:trPr>
        <w:tc>
          <w:tcPr>
            <w:tcW w:w="7760" w:type="dxa"/>
            <w:vAlign w:val="bottom"/>
          </w:tcPr>
          <w:p>
            <w:pPr>
              <w:ind w:left="3540"/>
              <w:spacing w:after="0"/>
              <w:rPr>
                <w:sz w:val="20"/>
                <w:szCs w:val="20"/>
                <w:color w:val="auto"/>
              </w:rPr>
            </w:pPr>
            <w:r>
              <w:rPr>
                <w:rFonts w:ascii="Arial" w:cs="Arial" w:eastAsia="Arial" w:hAnsi="Arial"/>
                <w:sz w:val="18"/>
                <w:szCs w:val="18"/>
                <w:b w:val="1"/>
                <w:bCs w:val="1"/>
                <w:color w:val="auto"/>
              </w:rPr>
              <w:t>ASSETS</w:t>
            </w: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29"/>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17,076</w:t>
            </w:r>
          </w:p>
        </w:tc>
      </w:tr>
      <w:tr>
        <w:trPr>
          <w:trHeight w:val="230"/>
        </w:trPr>
        <w:tc>
          <w:tcPr>
            <w:tcW w:w="776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2,725</w:t>
            </w:r>
          </w:p>
        </w:tc>
      </w:tr>
      <w:tr>
        <w:trPr>
          <w:trHeight w:val="229"/>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w:t>
            </w:r>
          </w:p>
        </w:tc>
      </w:tr>
      <w:tr>
        <w:trPr>
          <w:trHeight w:val="229"/>
        </w:trPr>
        <w:tc>
          <w:tcPr>
            <w:tcW w:w="7760" w:type="dxa"/>
            <w:vAlign w:val="bottom"/>
          </w:tcPr>
          <w:p>
            <w:pPr>
              <w:ind w:left="180"/>
              <w:spacing w:after="0"/>
              <w:rPr>
                <w:sz w:val="20"/>
                <w:szCs w:val="20"/>
                <w:color w:val="auto"/>
              </w:rPr>
            </w:pPr>
            <w:r>
              <w:rPr>
                <w:rFonts w:ascii="Arial" w:cs="Arial" w:eastAsia="Arial" w:hAnsi="Arial"/>
                <w:sz w:val="18"/>
                <w:szCs w:val="18"/>
                <w:color w:val="auto"/>
              </w:rPr>
              <w:t>Inventory, net</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16,630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23,260</w:t>
            </w:r>
          </w:p>
        </w:tc>
      </w:tr>
      <w:tr>
        <w:trPr>
          <w:trHeight w:val="230"/>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Vendor deposits</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4,789</w:t>
            </w:r>
          </w:p>
        </w:tc>
      </w:tr>
      <w:tr>
        <w:trPr>
          <w:trHeight w:val="229"/>
        </w:trPr>
        <w:tc>
          <w:tcPr>
            <w:tcW w:w="7760" w:type="dxa"/>
            <w:vAlign w:val="bottom"/>
          </w:tcPr>
          <w:p>
            <w:pPr>
              <w:ind w:left="180"/>
              <w:spacing w:after="0"/>
              <w:rPr>
                <w:sz w:val="20"/>
                <w:szCs w:val="20"/>
                <w:color w:val="auto"/>
              </w:rPr>
            </w:pPr>
            <w:r>
              <w:rPr>
                <w:rFonts w:ascii="Arial" w:cs="Arial" w:eastAsia="Arial" w:hAnsi="Arial"/>
                <w:sz w:val="18"/>
                <w:szCs w:val="18"/>
                <w:color w:val="auto"/>
              </w:rPr>
              <w:t>Notes receivable, net</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 assets, current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w:t>
            </w:r>
          </w:p>
        </w:tc>
      </w:tr>
      <w:tr>
        <w:trPr>
          <w:trHeight w:val="229"/>
        </w:trPr>
        <w:tc>
          <w:tcPr>
            <w:tcW w:w="776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2,289</w:t>
            </w:r>
          </w:p>
        </w:tc>
      </w:tr>
      <w:tr>
        <w:trPr>
          <w:trHeight w:val="229"/>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w:t>
            </w:r>
          </w:p>
        </w:tc>
      </w:tr>
      <w:tr>
        <w:trPr>
          <w:trHeight w:val="223"/>
        </w:trPr>
        <w:tc>
          <w:tcPr>
            <w:tcW w:w="7760" w:type="dxa"/>
            <w:vAlign w:val="bottom"/>
          </w:tcPr>
          <w:p>
            <w:pPr>
              <w:ind w:left="340"/>
              <w:spacing w:after="0"/>
              <w:rPr>
                <w:sz w:val="20"/>
                <w:szCs w:val="20"/>
                <w:color w:val="auto"/>
              </w:rPr>
            </w:pPr>
            <w:r>
              <w:rPr>
                <w:rFonts w:ascii="Arial" w:cs="Arial" w:eastAsia="Arial" w:hAnsi="Arial"/>
                <w:sz w:val="18"/>
                <w:szCs w:val="18"/>
                <w:b w:val="1"/>
                <w:bCs w:val="1"/>
                <w:color w:val="auto"/>
              </w:rPr>
              <w:t>Total current assets</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63,971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55,147</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27,169</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4,331</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Notes receivable, long-term, net</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827</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 net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4,316</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Long-term restricted cash</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11,550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11,422</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3,336</w:t>
            </w:r>
          </w:p>
        </w:tc>
      </w:tr>
      <w:tr>
        <w:trPr>
          <w:trHeight w:val="196"/>
        </w:trPr>
        <w:tc>
          <w:tcPr>
            <w:tcW w:w="7760" w:type="dxa"/>
            <w:vAlign w:val="bottom"/>
          </w:tcPr>
          <w:p>
            <w:pPr>
              <w:ind w:left="340"/>
              <w:spacing w:after="0" w:line="196" w:lineRule="exact"/>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108,950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106,788</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24"/>
        </w:trPr>
        <w:tc>
          <w:tcPr>
            <w:tcW w:w="7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7760" w:type="dxa"/>
            <w:vAlign w:val="bottom"/>
          </w:tcPr>
          <w:p>
            <w:pPr>
              <w:ind w:left="3320"/>
              <w:spacing w:after="0"/>
              <w:rPr>
                <w:sz w:val="20"/>
                <w:szCs w:val="20"/>
                <w:color w:val="auto"/>
              </w:rPr>
            </w:pPr>
            <w:r>
              <w:rPr>
                <w:rFonts w:ascii="Arial" w:cs="Arial" w:eastAsia="Arial" w:hAnsi="Arial"/>
                <w:sz w:val="18"/>
                <w:szCs w:val="18"/>
                <w:b w:val="1"/>
                <w:bCs w:val="1"/>
                <w:color w:val="auto"/>
              </w:rPr>
              <w:t>LIABILITIES</w:t>
            </w: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776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15,401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34,669</w:t>
            </w:r>
          </w:p>
        </w:tc>
      </w:tr>
      <w:tr>
        <w:trPr>
          <w:trHeight w:val="230"/>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15,359</w:t>
            </w:r>
          </w:p>
        </w:tc>
      </w:tr>
      <w:tr>
        <w:trPr>
          <w:trHeight w:val="230"/>
        </w:trPr>
        <w:tc>
          <w:tcPr>
            <w:tcW w:w="7760" w:type="dxa"/>
            <w:vAlign w:val="bottom"/>
          </w:tcPr>
          <w:p>
            <w:pPr>
              <w:ind w:left="180"/>
              <w:spacing w:after="0"/>
              <w:rPr>
                <w:sz w:val="20"/>
                <w:szCs w:val="20"/>
                <w:color w:val="auto"/>
              </w:rPr>
            </w:pPr>
            <w:r>
              <w:rPr>
                <w:rFonts w:ascii="Arial" w:cs="Arial" w:eastAsia="Arial" w:hAnsi="Arial"/>
                <w:sz w:val="18"/>
                <w:szCs w:val="18"/>
                <w:color w:val="auto"/>
              </w:rPr>
              <w:t>Operating lease liability, current</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1,106</w:t>
            </w:r>
          </w:p>
        </w:tc>
      </w:tr>
      <w:tr>
        <w:trPr>
          <w:trHeight w:val="229"/>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current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w:t>
            </w:r>
          </w:p>
        </w:tc>
      </w:tr>
      <w:tr>
        <w:trPr>
          <w:trHeight w:val="230"/>
        </w:trPr>
        <w:tc>
          <w:tcPr>
            <w:tcW w:w="7760" w:type="dxa"/>
            <w:vAlign w:val="bottom"/>
          </w:tcPr>
          <w:p>
            <w:pPr>
              <w:ind w:left="180"/>
              <w:spacing w:after="0"/>
              <w:rPr>
                <w:sz w:val="20"/>
                <w:szCs w:val="20"/>
                <w:color w:val="auto"/>
              </w:rPr>
            </w:pPr>
            <w:r>
              <w:rPr>
                <w:rFonts w:ascii="Arial" w:cs="Arial" w:eastAsia="Arial" w:hAnsi="Arial"/>
                <w:sz w:val="18"/>
                <w:szCs w:val="18"/>
                <w:color w:val="auto"/>
              </w:rPr>
              <w:t>Convertible notes payable, current - related party</w:t>
            </w:r>
          </w:p>
        </w:tc>
        <w:tc>
          <w:tcPr>
            <w:tcW w:w="3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2,688</w:t>
            </w:r>
          </w:p>
        </w:tc>
      </w:tr>
      <w:tr>
        <w:trPr>
          <w:trHeight w:val="230"/>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 liabilities, current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w:t>
            </w:r>
          </w:p>
        </w:tc>
      </w:tr>
      <w:tr>
        <w:trPr>
          <w:trHeight w:val="230"/>
        </w:trPr>
        <w:tc>
          <w:tcPr>
            <w:tcW w:w="77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current liabilities</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77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current liabilities</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60,576</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Long-term liabilities:</w:t>
            </w: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liability</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4,130</w:t>
            </w:r>
          </w:p>
        </w:tc>
      </w:tr>
      <w:tr>
        <w:trPr>
          <w:trHeight w:val="230"/>
        </w:trPr>
        <w:tc>
          <w:tcPr>
            <w:tcW w:w="776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87,606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87,321</w:t>
            </w:r>
          </w:p>
        </w:tc>
      </w:tr>
      <w:tr>
        <w:trPr>
          <w:trHeight w:val="230"/>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 notes payable - related party</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82,950</w:t>
            </w:r>
          </w:p>
        </w:tc>
      </w:tr>
      <w:tr>
        <w:trPr>
          <w:trHeight w:val="230"/>
        </w:trPr>
        <w:tc>
          <w:tcPr>
            <w:tcW w:w="7760" w:type="dxa"/>
            <w:vAlign w:val="bottom"/>
          </w:tcPr>
          <w:p>
            <w:pPr>
              <w:ind w:left="180"/>
              <w:spacing w:after="0"/>
              <w:rPr>
                <w:sz w:val="20"/>
                <w:szCs w:val="20"/>
                <w:color w:val="auto"/>
              </w:rPr>
            </w:pPr>
            <w:r>
              <w:rPr>
                <w:rFonts w:ascii="Arial" w:cs="Arial" w:eastAsia="Arial" w:hAnsi="Arial"/>
                <w:sz w:val="18"/>
                <w:szCs w:val="18"/>
                <w:color w:val="auto"/>
              </w:rPr>
              <w:t>Contract liabilities, long-term</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956</w:t>
            </w:r>
          </w:p>
        </w:tc>
      </w:tr>
      <w:tr>
        <w:trPr>
          <w:trHeight w:val="229"/>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Warrants liability - related party</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77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3,488</w:t>
            </w:r>
          </w:p>
        </w:tc>
      </w:tr>
      <w:tr>
        <w:trPr>
          <w:trHeight w:val="223"/>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long-term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295,450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178,923</w:t>
            </w:r>
          </w:p>
        </w:tc>
      </w:tr>
      <w:tr>
        <w:trPr>
          <w:trHeight w:val="223"/>
        </w:trPr>
        <w:tc>
          <w:tcPr>
            <w:tcW w:w="7760" w:type="dxa"/>
            <w:vAlign w:val="bottom"/>
            <w:tcBorders>
              <w:bottom w:val="single" w:sz="8" w:color="CCEEFF"/>
            </w:tcBorders>
          </w:tcPr>
          <w:p>
            <w:pPr>
              <w:ind w:left="340"/>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338,491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239,499</w:t>
            </w:r>
          </w:p>
        </w:tc>
      </w:tr>
      <w:tr>
        <w:trPr>
          <w:trHeight w:val="250"/>
        </w:trPr>
        <w:tc>
          <w:tcPr>
            <w:tcW w:w="77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bl>
    <w:p>
      <w:pPr>
        <w:ind w:left="40"/>
        <w:spacing w:after="0"/>
        <w:rPr>
          <w:sz w:val="20"/>
          <w:szCs w:val="20"/>
          <w:color w:val="auto"/>
        </w:rPr>
      </w:pPr>
      <w:r>
        <w:rPr>
          <w:rFonts w:ascii="Arial" w:cs="Arial" w:eastAsia="Arial" w:hAnsi="Arial"/>
          <w:sz w:val="18"/>
          <w:szCs w:val="18"/>
          <w:b w:val="1"/>
          <w:bCs w:val="1"/>
          <w:color w:val="auto"/>
        </w:rPr>
        <w:t>COMMITMENTS AND CONTINGENCIES (NOTE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ectPr>
          <w:pgSz w:w="11900" w:h="16838" w:orient="portrait"/>
          <w:cols w:equalWidth="0" w:num="1">
            <w:col w:w="11220"/>
          </w:cols>
          <w:pgMar w:left="320" w:top="31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4" w:right="3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EOS ENERGY ENTERPRISES, INC.</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7"/>
                <w:szCs w:val="17"/>
                <w:color w:val="auto"/>
              </w:rPr>
            </w:pPr>
          </w:p>
        </w:tc>
        <w:tc>
          <w:tcPr>
            <w:tcW w:w="1460" w:type="dxa"/>
            <w:vAlign w:val="bottom"/>
          </w:tcPr>
          <w:p>
            <w:pPr>
              <w:jc w:val="right"/>
              <w:ind w:right="210"/>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7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570"/>
              <w:spacing w:after="0"/>
              <w:rPr>
                <w:sz w:val="20"/>
                <w:szCs w:val="20"/>
                <w:color w:val="auto"/>
              </w:rPr>
            </w:pPr>
            <w:r>
              <w:rPr>
                <w:rFonts w:ascii="Arial" w:cs="Arial" w:eastAsia="Arial" w:hAnsi="Arial"/>
                <w:sz w:val="18"/>
                <w:szCs w:val="18"/>
                <w:b w:val="1"/>
                <w:bCs w:val="1"/>
                <w:color w:val="auto"/>
              </w:rPr>
              <w:t>2022</w:t>
            </w:r>
          </w:p>
        </w:tc>
      </w:tr>
      <w:tr>
        <w:trPr>
          <w:trHeight w:val="238"/>
        </w:trPr>
        <w:tc>
          <w:tcPr>
            <w:tcW w:w="7760" w:type="dxa"/>
            <w:vAlign w:val="bottom"/>
          </w:tcPr>
          <w:p>
            <w:pPr>
              <w:ind w:left="2720"/>
              <w:spacing w:after="0"/>
              <w:rPr>
                <w:sz w:val="20"/>
                <w:szCs w:val="20"/>
                <w:color w:val="auto"/>
              </w:rPr>
            </w:pPr>
            <w:r>
              <w:rPr>
                <w:rFonts w:ascii="Arial" w:cs="Arial" w:eastAsia="Arial" w:hAnsi="Arial"/>
                <w:sz w:val="18"/>
                <w:szCs w:val="18"/>
                <w:b w:val="1"/>
                <w:bCs w:val="1"/>
                <w:color w:val="auto"/>
              </w:rPr>
              <w:t>SHAREHOLDERS' DEFICIT</w:t>
            </w: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175"/>
        </w:trPr>
        <w:tc>
          <w:tcPr>
            <w:tcW w:w="77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2"/>
              </w:rPr>
              <w:t>Common stock, $0.0001 par value, 300,000,000 and 300,000,000 shares authorized, 127,309,960 and</w:t>
            </w:r>
          </w:p>
        </w:tc>
        <w:tc>
          <w:tcPr>
            <w:tcW w:w="3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243"/>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82,653,781 shares outstanding on June 30, 2023 and December 31, 2022, respectively</w:t>
            </w:r>
          </w:p>
        </w:tc>
        <w:tc>
          <w:tcPr>
            <w:tcW w:w="3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175"/>
        </w:trPr>
        <w:tc>
          <w:tcPr>
            <w:tcW w:w="7760" w:type="dxa"/>
            <w:vAlign w:val="bottom"/>
          </w:tcPr>
          <w:p>
            <w:pPr>
              <w:ind w:left="180"/>
              <w:spacing w:after="0" w:line="176" w:lineRule="exact"/>
              <w:rPr>
                <w:sz w:val="20"/>
                <w:szCs w:val="20"/>
                <w:color w:val="auto"/>
              </w:rPr>
            </w:pPr>
            <w:r>
              <w:rPr>
                <w:rFonts w:ascii="Arial" w:cs="Arial" w:eastAsia="Arial" w:hAnsi="Arial"/>
                <w:sz w:val="18"/>
                <w:szCs w:val="18"/>
                <w:color w:val="auto"/>
                <w:w w:val="89"/>
              </w:rPr>
              <w:t>Preferred stock, $0.0001 par value, 1,000,000 shares authorized, no shares outstanding on June 30, 2023</w:t>
            </w: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and December 31, 2022</w:t>
            </w:r>
          </w:p>
        </w:tc>
        <w:tc>
          <w:tcPr>
            <w:tcW w:w="32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 in capital</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513,614</w:t>
            </w:r>
          </w:p>
        </w:tc>
      </w:tr>
      <w:tr>
        <w:trPr>
          <w:trHeight w:val="230"/>
        </w:trPr>
        <w:tc>
          <w:tcPr>
            <w:tcW w:w="776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(849,570)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(646,340)</w:t>
            </w:r>
          </w:p>
        </w:tc>
      </w:tr>
      <w:tr>
        <w:trPr>
          <w:trHeight w:val="229"/>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7760" w:type="dxa"/>
            <w:vAlign w:val="bottom"/>
            <w:tcBorders>
              <w:bottom w:val="single" w:sz="8" w:color="CCEEFF"/>
            </w:tcBorders>
          </w:tcPr>
          <w:p>
            <w:pPr>
              <w:ind w:left="340"/>
              <w:spacing w:after="0"/>
              <w:rPr>
                <w:sz w:val="20"/>
                <w:szCs w:val="20"/>
                <w:color w:val="auto"/>
              </w:rPr>
            </w:pPr>
            <w:r>
              <w:rPr>
                <w:rFonts w:ascii="Arial" w:cs="Arial" w:eastAsia="Arial" w:hAnsi="Arial"/>
                <w:sz w:val="18"/>
                <w:szCs w:val="18"/>
                <w:b w:val="1"/>
                <w:bCs w:val="1"/>
                <w:color w:val="auto"/>
              </w:rPr>
              <w:t>Total shareholders' deficit</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(229,541)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(132,711)</w:t>
            </w:r>
          </w:p>
        </w:tc>
      </w:tr>
      <w:tr>
        <w:trPr>
          <w:trHeight w:val="248"/>
        </w:trPr>
        <w:tc>
          <w:tcPr>
            <w:tcW w:w="7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liabilities and shareholders' deficit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106,788</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4"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EOS ENERGY ENTERPRISES, INC.</w:t>
      </w:r>
    </w:p>
    <w:p>
      <w:pPr>
        <w:spacing w:after="0" w:line="212" w:lineRule="exact"/>
        <w:rPr>
          <w:sz w:val="20"/>
          <w:szCs w:val="20"/>
          <w:color w:val="auto"/>
        </w:rPr>
      </w:pPr>
    </w:p>
    <w:p>
      <w:pPr>
        <w:jc w:val="center"/>
        <w:spacing w:after="0" w:line="313" w:lineRule="auto"/>
        <w:rPr>
          <w:sz w:val="20"/>
          <w:szCs w:val="20"/>
          <w:color w:val="auto"/>
        </w:rPr>
      </w:pPr>
      <w:r>
        <w:rPr>
          <w:rFonts w:ascii="Arial" w:cs="Arial" w:eastAsia="Arial" w:hAnsi="Arial"/>
          <w:sz w:val="18"/>
          <w:szCs w:val="18"/>
          <w:b w:val="1"/>
          <w:bCs w:val="1"/>
          <w:color w:val="auto"/>
        </w:rPr>
        <w:t xml:space="preserve">UNAUDITED CONDENSED CONSOLIDATED STATEMENTS OF OPERATIONS AND COMPREHENSIVE LOSS </w:t>
      </w: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520" w:type="dxa"/>
            <w:vAlign w:val="bottom"/>
            <w:gridSpan w:val="5"/>
          </w:tcPr>
          <w:p>
            <w:pPr>
              <w:ind w:left="340"/>
              <w:spacing w:after="0"/>
              <w:rPr>
                <w:sz w:val="20"/>
                <w:szCs w:val="20"/>
                <w:color w:val="auto"/>
              </w:rPr>
            </w:pPr>
            <w:r>
              <w:rPr>
                <w:rFonts w:ascii="Arial" w:cs="Arial" w:eastAsia="Arial" w:hAnsi="Arial"/>
                <w:sz w:val="18"/>
                <w:szCs w:val="18"/>
                <w:b w:val="1"/>
                <w:bCs w:val="1"/>
                <w:color w:val="auto"/>
              </w:rPr>
              <w:t>Three Months Ended June 30,</w:t>
            </w:r>
          </w:p>
        </w:tc>
        <w:tc>
          <w:tcPr>
            <w:tcW w:w="420" w:type="dxa"/>
            <w:vAlign w:val="bottom"/>
          </w:tcPr>
          <w:p>
            <w:pPr>
              <w:spacing w:after="0"/>
              <w:rPr>
                <w:sz w:val="20"/>
                <w:szCs w:val="20"/>
                <w:color w:val="auto"/>
              </w:rPr>
            </w:pPr>
          </w:p>
        </w:tc>
        <w:tc>
          <w:tcPr>
            <w:tcW w:w="342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346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tcBorders>
              <w:bottom w:val="single" w:sz="8" w:color="CCEEFF"/>
            </w:tcBorders>
          </w:tcPr>
          <w:p>
            <w:pPr>
              <w:ind w:left="360"/>
              <w:spacing w:after="0"/>
              <w:rPr>
                <w:sz w:val="20"/>
                <w:szCs w:val="20"/>
                <w:color w:val="auto"/>
              </w:rPr>
            </w:pPr>
            <w:r>
              <w:rPr>
                <w:rFonts w:ascii="Arial" w:cs="Arial" w:eastAsia="Arial" w:hAnsi="Arial"/>
                <w:sz w:val="18"/>
                <w:szCs w:val="18"/>
                <w:b w:val="1"/>
                <w:bCs w:val="1"/>
                <w:color w:val="auto"/>
              </w:rPr>
              <w:t>Total revenue</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9,193</w:t>
            </w: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6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11,246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36,866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38,186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72,443</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 expenses</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10,427</w:t>
            </w:r>
          </w:p>
        </w:tc>
        <w:tc>
          <w:tcPr>
            <w:tcW w:w="0" w:type="dxa"/>
            <w:vAlign w:val="bottom"/>
          </w:tcPr>
          <w:p>
            <w:pPr>
              <w:spacing w:after="0"/>
              <w:rPr>
                <w:sz w:val="1"/>
                <w:szCs w:val="1"/>
                <w:color w:val="auto"/>
              </w:rPr>
            </w:pPr>
          </w:p>
        </w:tc>
      </w:tr>
      <w:tr>
        <w:trPr>
          <w:trHeight w:val="175"/>
        </w:trPr>
        <w:tc>
          <w:tcPr>
            <w:tcW w:w="3460" w:type="dxa"/>
            <w:vAlign w:val="bottom"/>
          </w:tcPr>
          <w:p>
            <w:pPr>
              <w:ind w:left="180"/>
              <w:spacing w:after="0" w:line="176" w:lineRule="exact"/>
              <w:rPr>
                <w:sz w:val="20"/>
                <w:szCs w:val="20"/>
                <w:color w:val="auto"/>
              </w:rPr>
            </w:pPr>
            <w:r>
              <w:rPr>
                <w:rFonts w:ascii="Arial" w:cs="Arial" w:eastAsia="Arial" w:hAnsi="Arial"/>
                <w:sz w:val="18"/>
                <w:szCs w:val="18"/>
                <w:color w:val="auto"/>
              </w:rPr>
              <w:t>Selling, general and administrative</w:t>
            </w:r>
          </w:p>
        </w:tc>
        <w:tc>
          <w:tcPr>
            <w:tcW w:w="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expenses</w:t>
            </w: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13,138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19,115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27,093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33,394</w:t>
            </w:r>
          </w:p>
        </w:tc>
        <w:tc>
          <w:tcPr>
            <w:tcW w:w="0" w:type="dxa"/>
            <w:vAlign w:val="bottom"/>
          </w:tcPr>
          <w:p>
            <w:pPr>
              <w:spacing w:after="0"/>
              <w:rPr>
                <w:sz w:val="1"/>
                <w:szCs w:val="1"/>
                <w:color w:val="auto"/>
              </w:rPr>
            </w:pPr>
          </w:p>
        </w:tc>
      </w:tr>
      <w:tr>
        <w:trPr>
          <w:trHeight w:val="175"/>
        </w:trPr>
        <w:tc>
          <w:tcPr>
            <w:tcW w:w="34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Loss from write-down of property, plant</w:t>
            </w:r>
          </w:p>
        </w:tc>
        <w:tc>
          <w:tcPr>
            <w:tcW w:w="4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equipment</w:t>
            </w:r>
          </w:p>
        </w:tc>
        <w:tc>
          <w:tcPr>
            <w:tcW w:w="4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5,436</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6,196</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29"/>
        </w:trPr>
        <w:tc>
          <w:tcPr>
            <w:tcW w:w="3460" w:type="dxa"/>
            <w:vAlign w:val="bottom"/>
          </w:tcPr>
          <w:p>
            <w:pPr>
              <w:ind w:left="180"/>
              <w:spacing w:after="0"/>
              <w:rPr>
                <w:sz w:val="20"/>
                <w:szCs w:val="20"/>
                <w:color w:val="auto"/>
              </w:rPr>
            </w:pPr>
            <w:r>
              <w:rPr>
                <w:rFonts w:ascii="Arial" w:cs="Arial" w:eastAsia="Arial" w:hAnsi="Arial"/>
                <w:sz w:val="18"/>
                <w:szCs w:val="18"/>
                <w:color w:val="auto"/>
              </w:rPr>
              <w:t>Grant (income) expense, net</w:t>
            </w:r>
          </w:p>
        </w:tc>
        <w:tc>
          <w:tcPr>
            <w:tcW w:w="42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34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costs and expenses</w:t>
            </w: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34,846</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63,273</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81,946</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118,273</w:t>
            </w:r>
          </w:p>
        </w:tc>
        <w:tc>
          <w:tcPr>
            <w:tcW w:w="0" w:type="dxa"/>
            <w:vAlign w:val="bottom"/>
          </w:tcPr>
          <w:p>
            <w:pPr>
              <w:spacing w:after="0"/>
              <w:rPr>
                <w:sz w:val="1"/>
                <w:szCs w:val="1"/>
                <w:color w:val="auto"/>
              </w:rPr>
            </w:pPr>
          </w:p>
        </w:tc>
      </w:tr>
      <w:tr>
        <w:trPr>
          <w:trHeight w:val="223"/>
        </w:trPr>
        <w:tc>
          <w:tcPr>
            <w:tcW w:w="3460" w:type="dxa"/>
            <w:vAlign w:val="bottom"/>
          </w:tcPr>
          <w:p>
            <w:pPr>
              <w:ind w:left="20"/>
              <w:spacing w:after="0"/>
              <w:rPr>
                <w:sz w:val="20"/>
                <w:szCs w:val="20"/>
                <w:color w:val="auto"/>
              </w:rPr>
            </w:pPr>
            <w:r>
              <w:rPr>
                <w:rFonts w:ascii="Arial" w:cs="Arial" w:eastAsia="Arial" w:hAnsi="Arial"/>
                <w:sz w:val="18"/>
                <w:szCs w:val="18"/>
                <w:b w:val="1"/>
                <w:bCs w:val="1"/>
                <w:color w:val="auto"/>
              </w:rPr>
              <w:t>Operating loss</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(34,597)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(57,378)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(72,862)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(109,080)</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(expense) income</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(4,886)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(9,715)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 related party</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(4,838)</w:t>
            </w:r>
          </w:p>
        </w:tc>
        <w:tc>
          <w:tcPr>
            <w:tcW w:w="0" w:type="dxa"/>
            <w:vAlign w:val="bottom"/>
          </w:tcPr>
          <w:p>
            <w:pPr>
              <w:spacing w:after="0"/>
              <w:rPr>
                <w:sz w:val="1"/>
                <w:szCs w:val="1"/>
                <w:color w:val="auto"/>
              </w:rPr>
            </w:pPr>
          </w:p>
        </w:tc>
      </w:tr>
      <w:tr>
        <w:trPr>
          <w:trHeight w:val="175"/>
        </w:trPr>
        <w:tc>
          <w:tcPr>
            <w:tcW w:w="3460" w:type="dxa"/>
            <w:vAlign w:val="bottom"/>
          </w:tcPr>
          <w:p>
            <w:pPr>
              <w:ind w:left="180"/>
              <w:spacing w:after="0" w:line="176" w:lineRule="exact"/>
              <w:rPr>
                <w:sz w:val="20"/>
                <w:szCs w:val="20"/>
                <w:color w:val="auto"/>
              </w:rPr>
            </w:pPr>
            <w:r>
              <w:rPr>
                <w:rFonts w:ascii="Arial" w:cs="Arial" w:eastAsia="Arial" w:hAnsi="Arial"/>
                <w:sz w:val="18"/>
                <w:szCs w:val="18"/>
                <w:color w:val="auto"/>
              </w:rPr>
              <w:t>(Loss) gain on change in fair value of</w:t>
            </w:r>
          </w:p>
        </w:tc>
        <w:tc>
          <w:tcPr>
            <w:tcW w:w="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derivatives - related party</w:t>
            </w: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(74,633)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4,248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(87,723)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12,510</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debt extinguishment</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expense</w:t>
            </w: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(131,628)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(203,218)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(102,543)</w:t>
            </w:r>
          </w:p>
        </w:tc>
        <w:tc>
          <w:tcPr>
            <w:tcW w:w="0" w:type="dxa"/>
            <w:vAlign w:val="bottom"/>
          </w:tcPr>
          <w:p>
            <w:pPr>
              <w:spacing w:after="0"/>
              <w:rPr>
                <w:sz w:val="1"/>
                <w:szCs w:val="1"/>
                <w:color w:val="auto"/>
              </w:rPr>
            </w:pPr>
          </w:p>
        </w:tc>
      </w:tr>
      <w:tr>
        <w:trPr>
          <w:trHeight w:val="230"/>
        </w:trPr>
        <w:tc>
          <w:tcPr>
            <w:tcW w:w="3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tax expense (benefit)</w:t>
            </w: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1"/>
        </w:trPr>
        <w:tc>
          <w:tcPr>
            <w:tcW w:w="34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Net loss</w:t>
            </w: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(131,630)</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(56,687)</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(203,230)</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(102,478)</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Other comprehensive income</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3"/>
              </w:rPr>
              <w:t>Foreign currency translation adjustment, net</w:t>
            </w:r>
          </w:p>
        </w:tc>
        <w:tc>
          <w:tcPr>
            <w:tcW w:w="4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 tax</w:t>
            </w:r>
          </w:p>
        </w:tc>
        <w:tc>
          <w:tcPr>
            <w:tcW w:w="4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3460" w:type="dxa"/>
            <w:vAlign w:val="bottom"/>
          </w:tcPr>
          <w:p>
            <w:pPr>
              <w:ind w:left="20"/>
              <w:spacing w:after="0"/>
              <w:rPr>
                <w:sz w:val="20"/>
                <w:szCs w:val="20"/>
                <w:color w:val="auto"/>
              </w:rPr>
            </w:pPr>
            <w:r>
              <w:rPr>
                <w:rFonts w:ascii="Arial" w:cs="Arial" w:eastAsia="Arial" w:hAnsi="Arial"/>
                <w:sz w:val="18"/>
                <w:szCs w:val="18"/>
                <w:b w:val="1"/>
                <w:bCs w:val="1"/>
                <w:color w:val="auto"/>
              </w:rPr>
              <w:t>Comprehensive loss</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(131,628)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(56,682)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(203,227)</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(102,473)</w:t>
            </w:r>
          </w:p>
        </w:tc>
        <w:tc>
          <w:tcPr>
            <w:tcW w:w="0" w:type="dxa"/>
            <w:vAlign w:val="bottom"/>
          </w:tcPr>
          <w:p>
            <w:pPr>
              <w:spacing w:after="0"/>
              <w:rPr>
                <w:sz w:val="1"/>
                <w:szCs w:val="1"/>
                <w:color w:val="auto"/>
              </w:rPr>
            </w:pP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4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Basic and diluted loss per share</w:t>
            </w:r>
          </w:p>
        </w:tc>
        <w:tc>
          <w:tcPr>
            <w:tcW w:w="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3460" w:type="dxa"/>
            <w:vAlign w:val="bottom"/>
          </w:tcPr>
          <w:p>
            <w:pPr>
              <w:ind w:left="20"/>
              <w:spacing w:after="0"/>
              <w:rPr>
                <w:sz w:val="20"/>
                <w:szCs w:val="20"/>
                <w:color w:val="auto"/>
              </w:rPr>
            </w:pPr>
            <w:r>
              <w:rPr>
                <w:rFonts w:ascii="Arial" w:cs="Arial" w:eastAsia="Arial" w:hAnsi="Arial"/>
                <w:sz w:val="18"/>
                <w:szCs w:val="18"/>
                <w:b w:val="1"/>
                <w:bCs w:val="1"/>
                <w:color w:val="auto"/>
              </w:rPr>
              <w:t>attributable to common shareholders</w:t>
            </w: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Diluted</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2"/>
              </w:rPr>
              <w:t>Weighted average shares of common stock</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Basic</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117,320,802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56,021,185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102,106,041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54,991,475</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117,320,802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56,021,185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102,106,041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54,991,475</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62"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EOS ENERGY ENTERPRISES, INC.</w:t>
      </w:r>
    </w:p>
    <w:p>
      <w:pPr>
        <w:spacing w:after="0" w:line="36"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UNAUDITED CONDENSED CONSOLIDATED STATEMENTS OF SHAREHOLDERS' (DEFICIT) EQUITY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234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Accumulated</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760" w:type="dxa"/>
            <w:vAlign w:val="bottom"/>
          </w:tcPr>
          <w:p>
            <w:pPr>
              <w:spacing w:after="0"/>
              <w:rPr>
                <w:sz w:val="15"/>
                <w:szCs w:val="15"/>
                <w:color w:val="auto"/>
              </w:rPr>
            </w:pPr>
          </w:p>
        </w:tc>
        <w:tc>
          <w:tcPr>
            <w:tcW w:w="2100" w:type="dxa"/>
            <w:vAlign w:val="bottom"/>
            <w:gridSpan w:val="3"/>
            <w:vMerge w:val="restart"/>
          </w:tcPr>
          <w:p>
            <w:pPr>
              <w:jc w:val="right"/>
              <w:ind w:right="250"/>
              <w:spacing w:after="0"/>
              <w:rPr>
                <w:sz w:val="20"/>
                <w:szCs w:val="20"/>
                <w:color w:val="auto"/>
              </w:rPr>
            </w:pPr>
            <w:r>
              <w:rPr>
                <w:rFonts w:ascii="Arial" w:cs="Arial" w:eastAsia="Arial" w:hAnsi="Arial"/>
                <w:sz w:val="18"/>
                <w:szCs w:val="18"/>
                <w:b w:val="1"/>
                <w:bCs w:val="1"/>
                <w:color w:val="auto"/>
              </w:rPr>
              <w:t>Common Stock</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180"/>
              <w:spacing w:after="0" w:line="176" w:lineRule="exact"/>
              <w:rPr>
                <w:sz w:val="20"/>
                <w:szCs w:val="20"/>
                <w:color w:val="auto"/>
              </w:rPr>
            </w:pPr>
            <w:r>
              <w:rPr>
                <w:rFonts w:ascii="Arial" w:cs="Arial" w:eastAsia="Arial" w:hAnsi="Arial"/>
                <w:sz w:val="18"/>
                <w:szCs w:val="18"/>
                <w:b w:val="1"/>
                <w:bCs w:val="1"/>
                <w:color w:val="auto"/>
                <w:w w:val="95"/>
              </w:rPr>
              <w:t>Other</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2100" w:type="dxa"/>
            <w:vAlign w:val="bottom"/>
            <w:tcBorders>
              <w:bottom w:val="single" w:sz="8" w:color="auto"/>
            </w:tcBorders>
            <w:gridSpan w:val="3"/>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20"/>
              <w:spacing w:after="0" w:line="156" w:lineRule="exact"/>
              <w:rPr>
                <w:sz w:val="20"/>
                <w:szCs w:val="20"/>
                <w:color w:val="auto"/>
              </w:rPr>
            </w:pPr>
            <w:r>
              <w:rPr>
                <w:rFonts w:ascii="Arial" w:cs="Arial" w:eastAsia="Arial" w:hAnsi="Arial"/>
                <w:sz w:val="18"/>
                <w:szCs w:val="18"/>
                <w:b w:val="1"/>
                <w:bCs w:val="1"/>
                <w:color w:val="auto"/>
              </w:rPr>
              <w:t>Additional</w:t>
            </w:r>
          </w:p>
        </w:tc>
        <w:tc>
          <w:tcPr>
            <w:tcW w:w="1360" w:type="dxa"/>
            <w:vAlign w:val="bottom"/>
            <w:gridSpan w:val="3"/>
          </w:tcPr>
          <w:p>
            <w:pPr>
              <w:ind w:left="40"/>
              <w:spacing w:after="0" w:line="156" w:lineRule="exact"/>
              <w:rPr>
                <w:sz w:val="20"/>
                <w:szCs w:val="20"/>
                <w:color w:val="auto"/>
              </w:rPr>
            </w:pPr>
            <w:r>
              <w:rPr>
                <w:rFonts w:ascii="Arial" w:cs="Arial" w:eastAsia="Arial" w:hAnsi="Arial"/>
                <w:sz w:val="18"/>
                <w:szCs w:val="18"/>
                <w:b w:val="1"/>
                <w:bCs w:val="1"/>
                <w:color w:val="auto"/>
                <w:w w:val="96"/>
              </w:rPr>
              <w:t>Comprehensive</w:t>
            </w:r>
          </w:p>
        </w:tc>
        <w:tc>
          <w:tcPr>
            <w:tcW w:w="1220" w:type="dxa"/>
            <w:vAlign w:val="bottom"/>
            <w:gridSpan w:val="3"/>
          </w:tcPr>
          <w:p>
            <w:pPr>
              <w:ind w:left="60"/>
              <w:spacing w:after="0" w:line="156" w:lineRule="exact"/>
              <w:rPr>
                <w:sz w:val="20"/>
                <w:szCs w:val="20"/>
                <w:color w:val="auto"/>
              </w:rPr>
            </w:pPr>
            <w:r>
              <w:rPr>
                <w:rFonts w:ascii="Arial" w:cs="Arial" w:eastAsia="Arial" w:hAnsi="Arial"/>
                <w:sz w:val="18"/>
                <w:szCs w:val="18"/>
                <w:b w:val="1"/>
                <w:bCs w:val="1"/>
                <w:color w:val="auto"/>
              </w:rPr>
              <w:t>Accumulated</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760" w:type="dxa"/>
            <w:vAlign w:val="bottom"/>
          </w:tcPr>
          <w:p>
            <w:pPr>
              <w:spacing w:after="0"/>
              <w:rPr>
                <w:sz w:val="20"/>
                <w:szCs w:val="20"/>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Paid in capital</w:t>
            </w:r>
          </w:p>
        </w:tc>
        <w:tc>
          <w:tcPr>
            <w:tcW w:w="12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Income</w:t>
            </w:r>
          </w:p>
        </w:tc>
        <w:tc>
          <w:tcPr>
            <w:tcW w:w="22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b w:val="1"/>
                <w:bCs w:val="1"/>
                <w:color w:val="auto"/>
              </w:rPr>
              <w:t>Deficit</w:t>
            </w:r>
          </w:p>
        </w:tc>
        <w:tc>
          <w:tcPr>
            <w:tcW w:w="24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on March 31, 2022</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53,980,608</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452,093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(462,318)</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(10,220)</w:t>
            </w: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3,434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3,434</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Release of restricted stock units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121,956</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760" w:type="dxa"/>
            <w:vAlign w:val="bottom"/>
          </w:tcPr>
          <w:p>
            <w:pPr>
              <w:ind w:left="20"/>
              <w:spacing w:after="0" w:line="176" w:lineRule="exact"/>
              <w:rPr>
                <w:sz w:val="20"/>
                <w:szCs w:val="20"/>
                <w:color w:val="auto"/>
              </w:rPr>
            </w:pPr>
            <w:r>
              <w:rPr>
                <w:rFonts w:ascii="Arial" w:cs="Arial" w:eastAsia="Arial" w:hAnsi="Arial"/>
                <w:sz w:val="18"/>
                <w:szCs w:val="18"/>
                <w:color w:val="auto"/>
                <w:w w:val="98"/>
              </w:rPr>
              <w:t>Cancellation of shares used to settle payroll tax</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withholding</w:t>
            </w:r>
          </w:p>
        </w:tc>
        <w:tc>
          <w:tcPr>
            <w:tcW w:w="1140" w:type="dxa"/>
            <w:vAlign w:val="bottom"/>
          </w:tcPr>
          <w:p>
            <w:pPr>
              <w:jc w:val="right"/>
              <w:spacing w:after="0"/>
              <w:rPr>
                <w:sz w:val="20"/>
                <w:szCs w:val="20"/>
                <w:color w:val="auto"/>
              </w:rPr>
            </w:pPr>
            <w:r>
              <w:rPr>
                <w:rFonts w:ascii="Arial" w:cs="Arial" w:eastAsia="Arial" w:hAnsi="Arial"/>
                <w:sz w:val="18"/>
                <w:szCs w:val="18"/>
                <w:color w:val="auto"/>
              </w:rPr>
              <w:t>(15,881)</w:t>
            </w: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common stock</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3,967,939</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4,604</w:t>
            </w:r>
          </w:p>
        </w:tc>
        <w:tc>
          <w:tcPr>
            <w:tcW w:w="0" w:type="dxa"/>
            <w:vAlign w:val="bottom"/>
          </w:tcPr>
          <w:p>
            <w:pPr>
              <w:spacing w:after="0"/>
              <w:rPr>
                <w:sz w:val="1"/>
                <w:szCs w:val="1"/>
                <w:color w:val="auto"/>
              </w:rPr>
            </w:pPr>
          </w:p>
        </w:tc>
      </w:tr>
      <w:tr>
        <w:trPr>
          <w:trHeight w:val="175"/>
        </w:trPr>
        <w:tc>
          <w:tcPr>
            <w:tcW w:w="3760" w:type="dxa"/>
            <w:vAlign w:val="bottom"/>
          </w:tcPr>
          <w:p>
            <w:pPr>
              <w:ind w:left="20"/>
              <w:spacing w:after="0" w:line="176" w:lineRule="exact"/>
              <w:rPr>
                <w:sz w:val="20"/>
                <w:szCs w:val="20"/>
                <w:color w:val="auto"/>
              </w:rPr>
            </w:pPr>
            <w:r>
              <w:rPr>
                <w:rFonts w:ascii="Arial" w:cs="Arial" w:eastAsia="Arial" w:hAnsi="Arial"/>
                <w:sz w:val="18"/>
                <w:szCs w:val="18"/>
                <w:color w:val="auto"/>
              </w:rPr>
              <w:t>Commitment fee for SEPA settled by common</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stock</w:t>
            </w:r>
          </w:p>
        </w:tc>
        <w:tc>
          <w:tcPr>
            <w:tcW w:w="1140" w:type="dxa"/>
            <w:vAlign w:val="bottom"/>
          </w:tcPr>
          <w:p>
            <w:pPr>
              <w:jc w:val="right"/>
              <w:spacing w:after="0"/>
              <w:rPr>
                <w:sz w:val="20"/>
                <w:szCs w:val="20"/>
                <w:color w:val="auto"/>
              </w:rPr>
            </w:pPr>
            <w:r>
              <w:rPr>
                <w:rFonts w:ascii="Arial" w:cs="Arial" w:eastAsia="Arial" w:hAnsi="Arial"/>
                <w:sz w:val="18"/>
                <w:szCs w:val="18"/>
                <w:color w:val="auto"/>
              </w:rPr>
              <w:t>465,117</w:t>
            </w: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(56,687)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(56,687)</w:t>
            </w:r>
          </w:p>
        </w:tc>
        <w:tc>
          <w:tcPr>
            <w:tcW w:w="0" w:type="dxa"/>
            <w:vAlign w:val="bottom"/>
          </w:tcPr>
          <w:p>
            <w:pPr>
              <w:spacing w:after="0"/>
              <w:rPr>
                <w:sz w:val="1"/>
                <w:szCs w:val="1"/>
                <w:color w:val="auto"/>
              </w:rPr>
            </w:pPr>
          </w:p>
        </w:tc>
      </w:tr>
      <w:tr>
        <w:trPr>
          <w:trHeight w:val="248"/>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on June 30, 2022</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58,519,739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461,165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(519,005)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(57,829)</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on March 31, 2023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95,222,670</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542,326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(717,940)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(175,597)</w:t>
            </w: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2,304</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stock options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Release of restricted stock units</w:t>
            </w:r>
          </w:p>
        </w:tc>
        <w:tc>
          <w:tcPr>
            <w:tcW w:w="1140" w:type="dxa"/>
            <w:vAlign w:val="bottom"/>
          </w:tcPr>
          <w:p>
            <w:pPr>
              <w:jc w:val="right"/>
              <w:spacing w:after="0"/>
              <w:rPr>
                <w:sz w:val="20"/>
                <w:szCs w:val="20"/>
                <w:color w:val="auto"/>
              </w:rPr>
            </w:pPr>
            <w:r>
              <w:rPr>
                <w:rFonts w:ascii="Arial" w:cs="Arial" w:eastAsia="Arial" w:hAnsi="Arial"/>
                <w:sz w:val="18"/>
                <w:szCs w:val="18"/>
                <w:color w:val="auto"/>
              </w:rPr>
              <w:t>598,127</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7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Cancellation of shares used to settle payroll tax</w:t>
            </w: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withholding</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(43,354)</w:t>
            </w: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Issuance of common stock</w:t>
            </w:r>
          </w:p>
        </w:tc>
        <w:tc>
          <w:tcPr>
            <w:tcW w:w="1140" w:type="dxa"/>
            <w:vAlign w:val="bottom"/>
          </w:tcPr>
          <w:p>
            <w:pPr>
              <w:jc w:val="right"/>
              <w:spacing w:after="0"/>
              <w:rPr>
                <w:sz w:val="20"/>
                <w:szCs w:val="20"/>
                <w:color w:val="auto"/>
              </w:rPr>
            </w:pPr>
            <w:r>
              <w:rPr>
                <w:rFonts w:ascii="Arial" w:cs="Arial" w:eastAsia="Arial" w:hAnsi="Arial"/>
                <w:sz w:val="18"/>
                <w:szCs w:val="18"/>
                <w:color w:val="auto"/>
              </w:rPr>
              <w:t>31,332,517</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75,214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75,218</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(131,630)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(131,630)</w:t>
            </w:r>
          </w:p>
        </w:tc>
        <w:tc>
          <w:tcPr>
            <w:tcW w:w="0" w:type="dxa"/>
            <w:vAlign w:val="bottom"/>
          </w:tcPr>
          <w:p>
            <w:pPr>
              <w:spacing w:after="0"/>
              <w:rPr>
                <w:sz w:val="1"/>
                <w:szCs w:val="1"/>
                <w:color w:val="auto"/>
              </w:rPr>
            </w:pPr>
          </w:p>
        </w:tc>
      </w:tr>
      <w:tr>
        <w:trPr>
          <w:trHeight w:val="248"/>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on June 30, 2023</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127,309,960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620,006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(849,570)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(229,541)</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14" w:right="39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62"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EOS ENERGY ENTERPRISES, INC.</w:t>
      </w:r>
    </w:p>
    <w:p>
      <w:pPr>
        <w:spacing w:after="0" w:line="36"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UNAUDITED CONDENSED CONSOLIDATED STATEMENTS OF SHAREHOLDERS' (DEFICIT) EQUITY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234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Accumulated</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760" w:type="dxa"/>
            <w:vAlign w:val="bottom"/>
          </w:tcPr>
          <w:p>
            <w:pPr>
              <w:spacing w:after="0"/>
              <w:rPr>
                <w:sz w:val="15"/>
                <w:szCs w:val="15"/>
                <w:color w:val="auto"/>
              </w:rPr>
            </w:pPr>
          </w:p>
        </w:tc>
        <w:tc>
          <w:tcPr>
            <w:tcW w:w="2100" w:type="dxa"/>
            <w:vAlign w:val="bottom"/>
            <w:gridSpan w:val="3"/>
            <w:vMerge w:val="restart"/>
          </w:tcPr>
          <w:p>
            <w:pPr>
              <w:jc w:val="right"/>
              <w:ind w:right="250"/>
              <w:spacing w:after="0"/>
              <w:rPr>
                <w:sz w:val="20"/>
                <w:szCs w:val="20"/>
                <w:color w:val="auto"/>
              </w:rPr>
            </w:pPr>
            <w:r>
              <w:rPr>
                <w:rFonts w:ascii="Arial" w:cs="Arial" w:eastAsia="Arial" w:hAnsi="Arial"/>
                <w:sz w:val="18"/>
                <w:szCs w:val="18"/>
                <w:b w:val="1"/>
                <w:bCs w:val="1"/>
                <w:color w:val="auto"/>
              </w:rPr>
              <w:t>Common Stock</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180"/>
              <w:spacing w:after="0" w:line="176" w:lineRule="exact"/>
              <w:rPr>
                <w:sz w:val="20"/>
                <w:szCs w:val="20"/>
                <w:color w:val="auto"/>
              </w:rPr>
            </w:pPr>
            <w:r>
              <w:rPr>
                <w:rFonts w:ascii="Arial" w:cs="Arial" w:eastAsia="Arial" w:hAnsi="Arial"/>
                <w:sz w:val="18"/>
                <w:szCs w:val="18"/>
                <w:b w:val="1"/>
                <w:bCs w:val="1"/>
                <w:color w:val="auto"/>
                <w:w w:val="95"/>
              </w:rPr>
              <w:t>Other</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2100" w:type="dxa"/>
            <w:vAlign w:val="bottom"/>
            <w:tcBorders>
              <w:bottom w:val="single" w:sz="8" w:color="auto"/>
            </w:tcBorders>
            <w:gridSpan w:val="3"/>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20"/>
              <w:spacing w:after="0" w:line="156" w:lineRule="exact"/>
              <w:rPr>
                <w:sz w:val="20"/>
                <w:szCs w:val="20"/>
                <w:color w:val="auto"/>
              </w:rPr>
            </w:pPr>
            <w:r>
              <w:rPr>
                <w:rFonts w:ascii="Arial" w:cs="Arial" w:eastAsia="Arial" w:hAnsi="Arial"/>
                <w:sz w:val="18"/>
                <w:szCs w:val="18"/>
                <w:b w:val="1"/>
                <w:bCs w:val="1"/>
                <w:color w:val="auto"/>
              </w:rPr>
              <w:t>Additional</w:t>
            </w:r>
          </w:p>
        </w:tc>
        <w:tc>
          <w:tcPr>
            <w:tcW w:w="1360" w:type="dxa"/>
            <w:vAlign w:val="bottom"/>
            <w:gridSpan w:val="3"/>
          </w:tcPr>
          <w:p>
            <w:pPr>
              <w:ind w:left="40"/>
              <w:spacing w:after="0" w:line="156" w:lineRule="exact"/>
              <w:rPr>
                <w:sz w:val="20"/>
                <w:szCs w:val="20"/>
                <w:color w:val="auto"/>
              </w:rPr>
            </w:pPr>
            <w:r>
              <w:rPr>
                <w:rFonts w:ascii="Arial" w:cs="Arial" w:eastAsia="Arial" w:hAnsi="Arial"/>
                <w:sz w:val="18"/>
                <w:szCs w:val="18"/>
                <w:b w:val="1"/>
                <w:bCs w:val="1"/>
                <w:color w:val="auto"/>
                <w:w w:val="96"/>
              </w:rPr>
              <w:t>Comprehensive</w:t>
            </w:r>
          </w:p>
        </w:tc>
        <w:tc>
          <w:tcPr>
            <w:tcW w:w="1220" w:type="dxa"/>
            <w:vAlign w:val="bottom"/>
            <w:gridSpan w:val="3"/>
          </w:tcPr>
          <w:p>
            <w:pPr>
              <w:ind w:left="60"/>
              <w:spacing w:after="0" w:line="156" w:lineRule="exact"/>
              <w:rPr>
                <w:sz w:val="20"/>
                <w:szCs w:val="20"/>
                <w:color w:val="auto"/>
              </w:rPr>
            </w:pPr>
            <w:r>
              <w:rPr>
                <w:rFonts w:ascii="Arial" w:cs="Arial" w:eastAsia="Arial" w:hAnsi="Arial"/>
                <w:sz w:val="18"/>
                <w:szCs w:val="18"/>
                <w:b w:val="1"/>
                <w:bCs w:val="1"/>
                <w:color w:val="auto"/>
              </w:rPr>
              <w:t>Accumulated</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760" w:type="dxa"/>
            <w:vAlign w:val="bottom"/>
          </w:tcPr>
          <w:p>
            <w:pPr>
              <w:spacing w:after="0"/>
              <w:rPr>
                <w:sz w:val="20"/>
                <w:szCs w:val="20"/>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Paid in capital</w:t>
            </w:r>
          </w:p>
        </w:tc>
        <w:tc>
          <w:tcPr>
            <w:tcW w:w="12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Income</w:t>
            </w:r>
          </w:p>
        </w:tc>
        <w:tc>
          <w:tcPr>
            <w:tcW w:w="22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b w:val="1"/>
                <w:bCs w:val="1"/>
                <w:color w:val="auto"/>
              </w:rPr>
              <w:t>Deficit</w:t>
            </w:r>
          </w:p>
        </w:tc>
        <w:tc>
          <w:tcPr>
            <w:tcW w:w="24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on December 31,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53,786,632</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448,969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90"/>
              </w:rPr>
              <w:t>(416,527)</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32,447</w:t>
            </w: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7,377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7,377</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warrants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Release of restricted stock units</w:t>
            </w:r>
          </w:p>
        </w:tc>
        <w:tc>
          <w:tcPr>
            <w:tcW w:w="1140" w:type="dxa"/>
            <w:vAlign w:val="bottom"/>
          </w:tcPr>
          <w:p>
            <w:pPr>
              <w:jc w:val="right"/>
              <w:spacing w:after="0"/>
              <w:rPr>
                <w:sz w:val="20"/>
                <w:szCs w:val="20"/>
                <w:color w:val="auto"/>
              </w:rPr>
            </w:pPr>
            <w:r>
              <w:rPr>
                <w:rFonts w:ascii="Arial" w:cs="Arial" w:eastAsia="Arial" w:hAnsi="Arial"/>
                <w:sz w:val="18"/>
                <w:szCs w:val="18"/>
                <w:color w:val="auto"/>
              </w:rPr>
              <w:t>427,607</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7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Cancellation of shares used to settle payroll tax</w:t>
            </w: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withholding</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(128,156)</w:t>
            </w: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Issuance of common stock</w:t>
            </w:r>
          </w:p>
        </w:tc>
        <w:tc>
          <w:tcPr>
            <w:tcW w:w="1140" w:type="dxa"/>
            <w:vAlign w:val="bottom"/>
          </w:tcPr>
          <w:p>
            <w:pPr>
              <w:jc w:val="right"/>
              <w:spacing w:after="0"/>
              <w:rPr>
                <w:sz w:val="20"/>
                <w:szCs w:val="20"/>
                <w:color w:val="auto"/>
              </w:rPr>
            </w:pPr>
            <w:r>
              <w:rPr>
                <w:rFonts w:ascii="Arial" w:cs="Arial" w:eastAsia="Arial" w:hAnsi="Arial"/>
                <w:sz w:val="18"/>
                <w:szCs w:val="18"/>
                <w:color w:val="auto"/>
              </w:rPr>
              <w:t>3,967,939</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4,603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4,604</w:t>
            </w:r>
          </w:p>
        </w:tc>
        <w:tc>
          <w:tcPr>
            <w:tcW w:w="0" w:type="dxa"/>
            <w:vAlign w:val="bottom"/>
          </w:tcPr>
          <w:p>
            <w:pPr>
              <w:spacing w:after="0"/>
              <w:rPr>
                <w:sz w:val="1"/>
                <w:szCs w:val="1"/>
                <w:color w:val="auto"/>
              </w:rPr>
            </w:pPr>
          </w:p>
        </w:tc>
      </w:tr>
      <w:tr>
        <w:trPr>
          <w:trHeight w:val="176"/>
        </w:trPr>
        <w:tc>
          <w:tcPr>
            <w:tcW w:w="37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Commitment fee for SEPA settled by common</w:t>
            </w: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465,117</w:t>
            </w: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0"/>
              </w:rPr>
              <w:t>(102,478)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(102,478)</w:t>
            </w:r>
          </w:p>
        </w:tc>
        <w:tc>
          <w:tcPr>
            <w:tcW w:w="0" w:type="dxa"/>
            <w:vAlign w:val="bottom"/>
          </w:tcPr>
          <w:p>
            <w:pPr>
              <w:spacing w:after="0"/>
              <w:rPr>
                <w:sz w:val="1"/>
                <w:szCs w:val="1"/>
                <w:color w:val="auto"/>
              </w:rPr>
            </w:pP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b w:val="1"/>
                <w:bCs w:val="1"/>
                <w:color w:val="auto"/>
              </w:rPr>
              <w:t>Balances on June 30, 2022</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58,519,739</w:t>
            </w:r>
          </w:p>
        </w:tc>
        <w:tc>
          <w:tcPr>
            <w:tcW w:w="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461,165</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90"/>
              </w:rPr>
              <w:t>(519,005)</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(57,829)</w:t>
            </w:r>
          </w:p>
        </w:tc>
        <w:tc>
          <w:tcPr>
            <w:tcW w:w="0" w:type="dxa"/>
            <w:vAlign w:val="bottom"/>
          </w:tcPr>
          <w:p>
            <w:pPr>
              <w:spacing w:after="0"/>
              <w:rPr>
                <w:sz w:val="1"/>
                <w:szCs w:val="1"/>
                <w:color w:val="auto"/>
              </w:rPr>
            </w:pP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7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b w:val="1"/>
                <w:bCs w:val="1"/>
                <w:color w:val="auto"/>
              </w:rPr>
              <w:t>Balances on December 31, 2022</w:t>
            </w:r>
          </w:p>
        </w:tc>
        <w:tc>
          <w:tcPr>
            <w:tcW w:w="1140" w:type="dxa"/>
            <w:vAlign w:val="bottom"/>
          </w:tcPr>
          <w:p>
            <w:pPr>
              <w:jc w:val="right"/>
              <w:spacing w:after="0"/>
              <w:rPr>
                <w:sz w:val="20"/>
                <w:szCs w:val="20"/>
                <w:color w:val="auto"/>
              </w:rPr>
            </w:pPr>
            <w:r>
              <w:rPr>
                <w:rFonts w:ascii="Arial" w:cs="Arial" w:eastAsia="Arial" w:hAnsi="Arial"/>
                <w:sz w:val="18"/>
                <w:szCs w:val="18"/>
                <w:color w:val="auto"/>
              </w:rPr>
              <w:t>82,653,781</w:t>
            </w:r>
          </w:p>
        </w:tc>
        <w:tc>
          <w:tcPr>
            <w:tcW w:w="80" w:type="dxa"/>
            <w:vAlign w:val="bottom"/>
          </w:tcPr>
          <w:p>
            <w:pPr>
              <w:spacing w:after="0"/>
              <w:rPr>
                <w:sz w:val="19"/>
                <w:szCs w:val="19"/>
                <w:color w:val="auto"/>
              </w:rPr>
            </w:pP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513,614</w:t>
            </w:r>
          </w:p>
        </w:tc>
        <w:tc>
          <w:tcPr>
            <w:tcW w:w="8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ind w:left="200"/>
              <w:spacing w:after="0"/>
              <w:rPr>
                <w:sz w:val="20"/>
                <w:szCs w:val="20"/>
                <w:color w:val="auto"/>
              </w:rPr>
            </w:pPr>
            <w:r>
              <w:rPr>
                <w:rFonts w:ascii="Arial" w:cs="Arial" w:eastAsia="Arial" w:hAnsi="Arial"/>
                <w:sz w:val="18"/>
                <w:szCs w:val="18"/>
                <w:color w:val="auto"/>
                <w:w w:val="90"/>
              </w:rPr>
              <w:t>(646,340)</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(132,711)</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5,667</w:t>
            </w: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1140" w:type="dxa"/>
            <w:vAlign w:val="bottom"/>
          </w:tcPr>
          <w:p>
            <w:pPr>
              <w:jc w:val="right"/>
              <w:spacing w:after="0"/>
              <w:rPr>
                <w:sz w:val="20"/>
                <w:szCs w:val="20"/>
                <w:color w:val="auto"/>
              </w:rPr>
            </w:pPr>
            <w:r>
              <w:rPr>
                <w:rFonts w:ascii="Arial" w:cs="Arial" w:eastAsia="Arial" w:hAnsi="Arial"/>
                <w:sz w:val="18"/>
                <w:szCs w:val="18"/>
                <w:color w:val="auto"/>
              </w:rPr>
              <w:t>200,000</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Release of restricted stock units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1,513,333</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760" w:type="dxa"/>
            <w:vAlign w:val="bottom"/>
          </w:tcPr>
          <w:p>
            <w:pPr>
              <w:ind w:left="20"/>
              <w:spacing w:after="0" w:line="176" w:lineRule="exact"/>
              <w:rPr>
                <w:sz w:val="20"/>
                <w:szCs w:val="20"/>
                <w:color w:val="auto"/>
              </w:rPr>
            </w:pPr>
            <w:r>
              <w:rPr>
                <w:rFonts w:ascii="Arial" w:cs="Arial" w:eastAsia="Arial" w:hAnsi="Arial"/>
                <w:sz w:val="18"/>
                <w:szCs w:val="18"/>
                <w:color w:val="auto"/>
                <w:w w:val="98"/>
              </w:rPr>
              <w:t>Cancellation of shares used to settle payroll tax</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withholding</w:t>
            </w:r>
          </w:p>
        </w:tc>
        <w:tc>
          <w:tcPr>
            <w:tcW w:w="1140" w:type="dxa"/>
            <w:vAlign w:val="bottom"/>
          </w:tcPr>
          <w:p>
            <w:pPr>
              <w:jc w:val="right"/>
              <w:spacing w:after="0"/>
              <w:rPr>
                <w:sz w:val="20"/>
                <w:szCs w:val="20"/>
                <w:color w:val="auto"/>
              </w:rPr>
            </w:pPr>
            <w:r>
              <w:rPr>
                <w:rFonts w:ascii="Arial" w:cs="Arial" w:eastAsia="Arial" w:hAnsi="Arial"/>
                <w:sz w:val="18"/>
                <w:szCs w:val="18"/>
                <w:color w:val="auto"/>
              </w:rPr>
              <w:t>(290,071)</w:t>
            </w: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common stock</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43,232,917</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100,908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100,913</w:t>
            </w: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0"/>
              </w:rPr>
              <w:t>(203,230)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(203,230)</w:t>
            </w:r>
          </w:p>
        </w:tc>
        <w:tc>
          <w:tcPr>
            <w:tcW w:w="0" w:type="dxa"/>
            <w:vAlign w:val="bottom"/>
          </w:tcPr>
          <w:p>
            <w:pPr>
              <w:spacing w:after="0"/>
              <w:rPr>
                <w:sz w:val="1"/>
                <w:szCs w:val="1"/>
                <w:color w:val="auto"/>
              </w:rPr>
            </w:pP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b w:val="1"/>
                <w:bCs w:val="1"/>
                <w:color w:val="auto"/>
              </w:rPr>
              <w:t>Balances on June 30, 2023</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127,309,960</w:t>
            </w:r>
          </w:p>
        </w:tc>
        <w:tc>
          <w:tcPr>
            <w:tcW w:w="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14</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620,006</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90"/>
              </w:rPr>
              <w:t>(849,570)</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(229,541)</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14" w:right="39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62"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EOS ENERGY ENTERPRISES, INC.</w:t>
      </w:r>
    </w:p>
    <w:p>
      <w:pPr>
        <w:spacing w:after="0" w:line="36"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75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(102,478)</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Adjustment to reconcile net loss to net cash used in operating activities</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7,377</w:t>
            </w:r>
          </w:p>
        </w:tc>
      </w:tr>
      <w:tr>
        <w:trPr>
          <w:trHeight w:val="229"/>
        </w:trPr>
        <w:tc>
          <w:tcPr>
            <w:tcW w:w="75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2,266</w:t>
            </w:r>
          </w:p>
        </w:tc>
      </w:tr>
      <w:tr>
        <w:trPr>
          <w:trHeight w:val="229"/>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debt extinguishment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80" w:type="dxa"/>
            <w:vAlign w:val="bottom"/>
          </w:tcPr>
          <w:p>
            <w:pPr>
              <w:ind w:left="140"/>
              <w:spacing w:after="0"/>
              <w:rPr>
                <w:sz w:val="20"/>
                <w:szCs w:val="20"/>
                <w:color w:val="auto"/>
              </w:rPr>
            </w:pPr>
            <w:r>
              <w:rPr>
                <w:rFonts w:ascii="Arial" w:cs="Arial" w:eastAsia="Arial" w:hAnsi="Arial"/>
                <w:sz w:val="18"/>
                <w:szCs w:val="18"/>
                <w:color w:val="auto"/>
              </w:rPr>
              <w:t>Loss from write-down of property, plant and equipment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6,196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2,005</w:t>
            </w:r>
          </w:p>
        </w:tc>
      </w:tr>
      <w:tr>
        <w:trPr>
          <w:trHeight w:val="229"/>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right-of-use assets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r>
      <w:tr>
        <w:trPr>
          <w:trHeight w:val="230"/>
        </w:trPr>
        <w:tc>
          <w:tcPr>
            <w:tcW w:w="7580" w:type="dxa"/>
            <w:vAlign w:val="bottom"/>
          </w:tcPr>
          <w:p>
            <w:pPr>
              <w:ind w:left="140"/>
              <w:spacing w:after="0"/>
              <w:rPr>
                <w:sz w:val="20"/>
                <w:szCs w:val="20"/>
                <w:color w:val="auto"/>
              </w:rPr>
            </w:pPr>
            <w:r>
              <w:rPr>
                <w:rFonts w:ascii="Arial" w:cs="Arial" w:eastAsia="Arial" w:hAnsi="Arial"/>
                <w:sz w:val="18"/>
                <w:szCs w:val="18"/>
                <w:color w:val="auto"/>
              </w:rPr>
              <w:t>Non-cash interest expense</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2,469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Non-cash interest expense - related party</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w:t>
            </w:r>
          </w:p>
        </w:tc>
      </w:tr>
      <w:tr>
        <w:trPr>
          <w:trHeight w:val="229"/>
        </w:trPr>
        <w:tc>
          <w:tcPr>
            <w:tcW w:w="7580" w:type="dxa"/>
            <w:vAlign w:val="bottom"/>
          </w:tcPr>
          <w:p>
            <w:pPr>
              <w:ind w:left="140"/>
              <w:spacing w:after="0"/>
              <w:rPr>
                <w:sz w:val="20"/>
                <w:szCs w:val="20"/>
                <w:color w:val="auto"/>
              </w:rPr>
            </w:pPr>
            <w:r>
              <w:rPr>
                <w:rFonts w:ascii="Arial" w:cs="Arial" w:eastAsia="Arial" w:hAnsi="Arial"/>
                <w:sz w:val="18"/>
                <w:szCs w:val="18"/>
                <w:color w:val="auto"/>
              </w:rPr>
              <w:t>Loss (gain) on change in fair value of derivatives - related party</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87,723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(12,510)</w:t>
            </w:r>
          </w:p>
        </w:tc>
      </w:tr>
      <w:tr>
        <w:trPr>
          <w:trHeight w:val="230"/>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Commitment fee for SEPA agreement settled by common stock - related party</w:t>
            </w: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r>
      <w:tr>
        <w:trPr>
          <w:trHeight w:val="229"/>
        </w:trPr>
        <w:tc>
          <w:tcPr>
            <w:tcW w:w="7580" w:type="dxa"/>
            <w:vAlign w:val="bottom"/>
          </w:tcPr>
          <w:p>
            <w:pPr>
              <w:ind w:left="14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5,555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2,690</w:t>
            </w:r>
          </w:p>
        </w:tc>
      </w:tr>
      <w:tr>
        <w:trPr>
          <w:trHeight w:val="229"/>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7580" w:type="dxa"/>
            <w:vAlign w:val="bottom"/>
          </w:tcPr>
          <w:p>
            <w:pPr>
              <w:ind w:left="240"/>
              <w:spacing w:after="0"/>
              <w:rPr>
                <w:sz w:val="20"/>
                <w:szCs w:val="20"/>
                <w:color w:val="auto"/>
              </w:rPr>
            </w:pPr>
            <w:r>
              <w:rPr>
                <w:rFonts w:ascii="Arial" w:cs="Arial" w:eastAsia="Arial" w:hAnsi="Arial"/>
                <w:sz w:val="18"/>
                <w:szCs w:val="18"/>
                <w:color w:val="auto"/>
              </w:rPr>
              <w:t>Prepaid expenses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827</w:t>
            </w:r>
          </w:p>
        </w:tc>
      </w:tr>
      <w:tr>
        <w:trPr>
          <w:trHeight w:val="229"/>
        </w:trPr>
        <w:tc>
          <w:tcPr>
            <w:tcW w:w="7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Inventory</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758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(686)</w:t>
            </w:r>
          </w:p>
        </w:tc>
      </w:tr>
      <w:tr>
        <w:trPr>
          <w:trHeight w:val="230"/>
        </w:trPr>
        <w:tc>
          <w:tcPr>
            <w:tcW w:w="7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Vendor deposits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w:t>
            </w:r>
          </w:p>
        </w:tc>
      </w:tr>
      <w:tr>
        <w:trPr>
          <w:trHeight w:val="230"/>
        </w:trPr>
        <w:tc>
          <w:tcPr>
            <w:tcW w:w="7580" w:type="dxa"/>
            <w:vAlign w:val="bottom"/>
          </w:tcPr>
          <w:p>
            <w:pPr>
              <w:ind w:left="240"/>
              <w:spacing w:after="0"/>
              <w:rPr>
                <w:sz w:val="20"/>
                <w:szCs w:val="20"/>
                <w:color w:val="auto"/>
              </w:rPr>
            </w:pPr>
            <w:r>
              <w:rPr>
                <w:rFonts w:ascii="Arial" w:cs="Arial" w:eastAsia="Arial" w:hAnsi="Arial"/>
                <w:sz w:val="18"/>
                <w:szCs w:val="18"/>
                <w:color w:val="auto"/>
              </w:rPr>
              <w:t>Contract assets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14,734</w:t>
            </w:r>
          </w:p>
        </w:tc>
      </w:tr>
      <w:tr>
        <w:trPr>
          <w:trHeight w:val="230"/>
        </w:trPr>
        <w:tc>
          <w:tcPr>
            <w:tcW w:w="7580" w:type="dxa"/>
            <w:vAlign w:val="bottom"/>
          </w:tcPr>
          <w:p>
            <w:pPr>
              <w:ind w:left="240"/>
              <w:spacing w:after="0"/>
              <w:rPr>
                <w:sz w:val="20"/>
                <w:szCs w:val="20"/>
                <w:color w:val="auto"/>
              </w:rPr>
            </w:pPr>
            <w:r>
              <w:rPr>
                <w:rFonts w:ascii="Arial" w:cs="Arial" w:eastAsia="Arial" w:hAnsi="Arial"/>
                <w:sz w:val="18"/>
                <w:szCs w:val="18"/>
                <w:color w:val="auto"/>
              </w:rPr>
              <w:t>Accrued expenses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7,020</w:t>
            </w:r>
          </w:p>
        </w:tc>
      </w:tr>
      <w:tr>
        <w:trPr>
          <w:trHeight w:val="230"/>
        </w:trPr>
        <w:tc>
          <w:tcPr>
            <w:tcW w:w="7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 and accrued expenses - related party</w:t>
            </w: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r>
      <w:tr>
        <w:trPr>
          <w:trHeight w:val="230"/>
        </w:trPr>
        <w:tc>
          <w:tcPr>
            <w:tcW w:w="7580" w:type="dxa"/>
            <w:vAlign w:val="bottom"/>
          </w:tcPr>
          <w:p>
            <w:pPr>
              <w:ind w:left="240"/>
              <w:spacing w:after="0"/>
              <w:rPr>
                <w:sz w:val="20"/>
                <w:szCs w:val="20"/>
                <w:color w:val="auto"/>
              </w:rPr>
            </w:pPr>
            <w:r>
              <w:rPr>
                <w:rFonts w:ascii="Arial" w:cs="Arial" w:eastAsia="Arial" w:hAnsi="Arial"/>
                <w:sz w:val="18"/>
                <w:szCs w:val="18"/>
                <w:color w:val="auto"/>
              </w:rPr>
              <w:t>Operating lease liabilities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229"/>
        </w:trPr>
        <w:tc>
          <w:tcPr>
            <w:tcW w:w="7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Contract liabilities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r>
      <w:tr>
        <w:trPr>
          <w:trHeight w:val="230"/>
        </w:trPr>
        <w:tc>
          <w:tcPr>
            <w:tcW w:w="7580" w:type="dxa"/>
            <w:vAlign w:val="bottom"/>
          </w:tcPr>
          <w:p>
            <w:pPr>
              <w:ind w:left="240"/>
              <w:spacing w:after="0"/>
              <w:rPr>
                <w:sz w:val="20"/>
                <w:szCs w:val="20"/>
                <w:color w:val="auto"/>
              </w:rPr>
            </w:pPr>
            <w:r>
              <w:rPr>
                <w:rFonts w:ascii="Arial" w:cs="Arial" w:eastAsia="Arial" w:hAnsi="Arial"/>
                <w:sz w:val="18"/>
                <w:szCs w:val="18"/>
                <w:color w:val="auto"/>
              </w:rPr>
              <w:t>Note payable</w:t>
            </w:r>
          </w:p>
        </w:tc>
        <w:tc>
          <w:tcPr>
            <w:tcW w:w="4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(4,679)</w:t>
            </w:r>
          </w:p>
        </w:tc>
      </w:tr>
      <w:tr>
        <w:trPr>
          <w:trHeight w:val="230"/>
        </w:trPr>
        <w:tc>
          <w:tcPr>
            <w:tcW w:w="7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w:t>
            </w:r>
          </w:p>
        </w:tc>
      </w:tr>
      <w:tr>
        <w:trPr>
          <w:trHeight w:val="223"/>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used in operating activities</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(75,582)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(86,992)</w:t>
            </w:r>
          </w:p>
        </w:tc>
      </w:tr>
      <w:tr>
        <w:trPr>
          <w:trHeight w:val="237"/>
        </w:trPr>
        <w:tc>
          <w:tcPr>
            <w:tcW w:w="75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in notes receivable</w:t>
            </w: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30"/>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Purchases of property, plant and equipment</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(11,497)</w:t>
            </w:r>
          </w:p>
        </w:tc>
      </w:tr>
      <w:tr>
        <w:trPr>
          <w:trHeight w:val="223"/>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(11,758)</w:t>
            </w:r>
          </w:p>
        </w:tc>
      </w:tr>
      <w:tr>
        <w:trPr>
          <w:trHeight w:val="250"/>
        </w:trPr>
        <w:tc>
          <w:tcPr>
            <w:tcW w:w="7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7580" w:type="dxa"/>
            <w:vAlign w:val="bottom"/>
          </w:tcPr>
          <w:p>
            <w:pPr>
              <w:ind w:left="140"/>
              <w:spacing w:after="0"/>
              <w:rPr>
                <w:sz w:val="20"/>
                <w:szCs w:val="20"/>
                <w:color w:val="auto"/>
              </w:rPr>
            </w:pPr>
            <w:r>
              <w:rPr>
                <w:rFonts w:ascii="Arial" w:cs="Arial" w:eastAsia="Arial" w:hAnsi="Arial"/>
                <w:sz w:val="18"/>
                <w:szCs w:val="18"/>
                <w:color w:val="auto"/>
              </w:rPr>
              <w:t>Principal payments on finance lease obligations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exercise of options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80" w:type="dxa"/>
            <w:vAlign w:val="bottom"/>
          </w:tcPr>
          <w:p>
            <w:pPr>
              <w:ind w:left="140"/>
              <w:spacing w:after="0"/>
              <w:rPr>
                <w:sz w:val="20"/>
                <w:szCs w:val="20"/>
                <w:color w:val="auto"/>
              </w:rPr>
            </w:pPr>
            <w:r>
              <w:rPr>
                <w:rFonts w:ascii="Arial" w:cs="Arial" w:eastAsia="Arial" w:hAnsi="Arial"/>
                <w:sz w:val="18"/>
                <w:szCs w:val="18"/>
                <w:color w:val="auto"/>
              </w:rPr>
              <w:t>Proceeds from exercise of public warrants</w:t>
            </w:r>
          </w:p>
        </w:tc>
        <w:tc>
          <w:tcPr>
            <w:tcW w:w="4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issuance of convertible notes - related party</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7,225</w:t>
            </w:r>
          </w:p>
        </w:tc>
      </w:tr>
      <w:tr>
        <w:trPr>
          <w:trHeight w:val="229"/>
        </w:trPr>
        <w:tc>
          <w:tcPr>
            <w:tcW w:w="7580" w:type="dxa"/>
            <w:vAlign w:val="bottom"/>
          </w:tcPr>
          <w:p>
            <w:pPr>
              <w:ind w:left="140"/>
              <w:spacing w:after="0"/>
              <w:rPr>
                <w:sz w:val="20"/>
                <w:szCs w:val="20"/>
                <w:color w:val="auto"/>
              </w:rPr>
            </w:pPr>
            <w:r>
              <w:rPr>
                <w:rFonts w:ascii="Arial" w:cs="Arial" w:eastAsia="Arial" w:hAnsi="Arial"/>
                <w:sz w:val="18"/>
                <w:szCs w:val="18"/>
                <w:color w:val="auto"/>
              </w:rPr>
              <w:t>Payment of debt issuance costs - related party</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 of equipment financing facility</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r>
      <w:tr>
        <w:trPr>
          <w:trHeight w:val="229"/>
        </w:trPr>
        <w:tc>
          <w:tcPr>
            <w:tcW w:w="7580" w:type="dxa"/>
            <w:vAlign w:val="bottom"/>
          </w:tcPr>
          <w:p>
            <w:pPr>
              <w:ind w:left="140"/>
              <w:spacing w:after="0"/>
              <w:rPr>
                <w:sz w:val="20"/>
                <w:szCs w:val="20"/>
                <w:color w:val="auto"/>
              </w:rPr>
            </w:pPr>
            <w:r>
              <w:rPr>
                <w:rFonts w:ascii="Arial" w:cs="Arial" w:eastAsia="Arial" w:hAnsi="Arial"/>
                <w:sz w:val="18"/>
                <w:szCs w:val="18"/>
                <w:color w:val="auto"/>
              </w:rPr>
              <w:t>Proceeds from issuance of common stock and warrants - related party</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49,250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30"/>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 of equity issuance costs - related party</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11100"/>
          </w:cols>
          <w:pgMar w:left="320" w:top="314" w:right="47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14" w:right="47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62"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EOS ENERGY ENTERPRISES, INC.</w:t>
      </w:r>
    </w:p>
    <w:p>
      <w:pPr>
        <w:spacing w:after="0" w:line="36"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tcPr>
          <w:p>
            <w:pPr>
              <w:spacing w:after="0"/>
              <w:rPr>
                <w:sz w:val="20"/>
                <w:szCs w:val="20"/>
                <w:color w:val="auto"/>
              </w:rPr>
            </w:pPr>
          </w:p>
        </w:tc>
        <w:tc>
          <w:tcPr>
            <w:tcW w:w="28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660" w:type="dxa"/>
            <w:vAlign w:val="bottom"/>
            <w:tcBorders>
              <w:bottom w:val="single" w:sz="8" w:color="auto"/>
            </w:tcBorders>
          </w:tcPr>
          <w:p>
            <w:pPr>
              <w:spacing w:after="0"/>
              <w:rPr>
                <w:sz w:val="20"/>
                <w:szCs w:val="20"/>
                <w:color w:val="auto"/>
              </w:rPr>
            </w:pPr>
          </w:p>
        </w:tc>
      </w:tr>
      <w:tr>
        <w:trPr>
          <w:trHeight w:val="223"/>
        </w:trPr>
        <w:tc>
          <w:tcPr>
            <w:tcW w:w="758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bottom w:val="single" w:sz="8" w:color="auto"/>
            </w:tcBorders>
          </w:tcPr>
          <w:p>
            <w:pPr>
              <w:spacing w:after="0"/>
              <w:rPr>
                <w:sz w:val="19"/>
                <w:szCs w:val="19"/>
                <w:color w:val="auto"/>
              </w:rPr>
            </w:pPr>
          </w:p>
        </w:tc>
      </w:tr>
      <w:tr>
        <w:trPr>
          <w:trHeight w:val="223"/>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Repurchase of shares from employees for income tax withholding purposes</w:t>
            </w:r>
          </w:p>
        </w:tc>
        <w:tc>
          <w:tcPr>
            <w:tcW w:w="1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w:t>
            </w:r>
          </w:p>
        </w:tc>
      </w:tr>
      <w:tr>
        <w:trPr>
          <w:trHeight w:val="223"/>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financing activities</w:t>
            </w:r>
          </w:p>
        </w:tc>
        <w:tc>
          <w:tcPr>
            <w:tcW w:w="1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92,612</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10,584</w:t>
            </w: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Effect of exchange rate changes on cash, cash equivalents and restricted cash</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75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6,933</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(88,164)</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beginning of the period</w:t>
            </w:r>
          </w:p>
        </w:tc>
        <w:tc>
          <w:tcPr>
            <w:tcW w:w="1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31,223</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105,692</w:t>
            </w: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end of the period</w:t>
            </w:r>
          </w:p>
        </w:tc>
        <w:tc>
          <w:tcPr>
            <w:tcW w:w="110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38,156</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17,528</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23"/>
        </w:trPr>
        <w:tc>
          <w:tcPr>
            <w:tcW w:w="75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Non-cash investing and financing activities</w:t>
            </w:r>
          </w:p>
        </w:tc>
        <w:tc>
          <w:tcPr>
            <w:tcW w:w="1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7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and unpaid capital expenditures</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w:t>
            </w:r>
          </w:p>
        </w:tc>
      </w:tr>
      <w:tr>
        <w:trPr>
          <w:trHeight w:val="230"/>
        </w:trPr>
        <w:tc>
          <w:tcPr>
            <w:tcW w:w="7580" w:type="dxa"/>
            <w:vAlign w:val="bottom"/>
          </w:tcPr>
          <w:p>
            <w:pPr>
              <w:ind w:left="100"/>
              <w:spacing w:after="0"/>
              <w:rPr>
                <w:sz w:val="20"/>
                <w:szCs w:val="20"/>
                <w:color w:val="auto"/>
              </w:rPr>
            </w:pPr>
            <w:r>
              <w:rPr>
                <w:rFonts w:ascii="Arial" w:cs="Arial" w:eastAsia="Arial" w:hAnsi="Arial"/>
                <w:sz w:val="18"/>
                <w:szCs w:val="18"/>
                <w:color w:val="auto"/>
              </w:rPr>
              <w:t>Issuance of convertible notes for interest paid in kind</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4,915</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3,087</w:t>
            </w:r>
          </w:p>
        </w:tc>
      </w:tr>
      <w:tr>
        <w:trPr>
          <w:trHeight w:val="229"/>
        </w:trPr>
        <w:tc>
          <w:tcPr>
            <w:tcW w:w="7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Fixed assets acquired with finance lease</w:t>
            </w:r>
          </w:p>
        </w:tc>
        <w:tc>
          <w:tcPr>
            <w:tcW w:w="1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7580" w:type="dxa"/>
            <w:vAlign w:val="bottom"/>
          </w:tcPr>
          <w:p>
            <w:pPr>
              <w:ind w:left="100"/>
              <w:spacing w:after="0"/>
              <w:rPr>
                <w:sz w:val="20"/>
                <w:szCs w:val="20"/>
                <w:color w:val="auto"/>
              </w:rPr>
            </w:pPr>
            <w:r>
              <w:rPr>
                <w:rFonts w:ascii="Arial" w:cs="Arial" w:eastAsia="Arial" w:hAnsi="Arial"/>
                <w:sz w:val="18"/>
                <w:szCs w:val="18"/>
                <w:color w:val="auto"/>
              </w:rPr>
              <w:t>Right-of-use operating lease assets in exchange for lease liabilities</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2,112</w:t>
            </w:r>
          </w:p>
        </w:tc>
      </w:tr>
      <w:tr>
        <w:trPr>
          <w:trHeight w:val="229"/>
        </w:trPr>
        <w:tc>
          <w:tcPr>
            <w:tcW w:w="7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Issuance of common stock upon settlement of Yorkville convertible notes</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51,023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80" w:type="dxa"/>
            <w:vAlign w:val="bottom"/>
          </w:tcPr>
          <w:p>
            <w:pPr>
              <w:ind w:left="100"/>
              <w:spacing w:after="0"/>
              <w:rPr>
                <w:sz w:val="20"/>
                <w:szCs w:val="20"/>
                <w:color w:val="auto"/>
              </w:rPr>
            </w:pPr>
            <w:r>
              <w:rPr>
                <w:rFonts w:ascii="Arial" w:cs="Arial" w:eastAsia="Arial" w:hAnsi="Arial"/>
                <w:sz w:val="18"/>
                <w:szCs w:val="18"/>
                <w:color w:val="auto"/>
              </w:rPr>
              <w:t>Accrued and unpaid capitalized internal-use software</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75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w:t>
            </w:r>
          </w:p>
        </w:tc>
        <w:tc>
          <w:tcPr>
            <w:tcW w:w="1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 for interest</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r>
    </w:tbl>
    <w:p>
      <w:pPr>
        <w:spacing w:after="0" w:line="2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14" w:right="47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302"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Overview</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Eos Energy Enterprises, Inc. (the “Company,” “we,” “us,” “our,” and “Eos”) designs, develops, manufactures, and markets innovative energy storage solutions for utility-scale, microgrid, and commercial &amp; industrial (“C&amp;I”) applications. Eos developed a broad range of intellectual property with multiple patents covering unique battery chemistry, mechanical product design, energy block configuration and a software operating system (Battery Management System). The Company has only one operating and reportable segment.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14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a growth company in the early commercialization stage of its lifecycle, Eos is subject to inherent risks and uncertainties associated with the development of an enterprise. In this regard, substantially all of the Company’s efforts to date have been devoted to the development and manufacturing of battery energy storage systems and complimentary products and services, recruitment of management and technical staff, deployment of capital to expand the Company’s operations to meet customer demand and raising capital to fund the Company’s development. As a result of these efforts, the Company has incurred significant losses and negative cash flows from operations since its inception and expects to continue to incur such losses and negative cash flows for the foreseeable future until such time that the Company can reach a scale of profitability to sustain its operations.</w:t>
      </w:r>
    </w:p>
    <w:p>
      <w:pPr>
        <w:spacing w:after="0" w:line="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order to execute its development strategy, the Company has historically relied on outside capital through the issuance of equity, debt, and borrowings under financing arrangements (collectively “outside capital”) to fund its cost structure and expects to continue to rely on outside capital for the foreseeable future. While the Company believes it will eventually reach a scale of profitability to sustain its operations, there can be no assurance the Company will be able to achieve such profitability or do so in a manner that does not require its continued reliance on outside capital. Moreover, while the Company has historically been successful in raising outside capital, there can be no assurance the Company will be able to continue to obtain outside capital in the future or do so on terms that are acceptable to the Company.</w:t>
      </w:r>
    </w:p>
    <w:p>
      <w:pPr>
        <w:spacing w:after="0" w:line="1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the date the accompanying unaudited condensed consolidated financial statements were issued (the “issuance date”), management evaluated the significance of the following negative financial conditions in accordance with Accounting Standard Codification 205-40, Going Concern:</w:t>
      </w:r>
    </w:p>
    <w:p>
      <w:pPr>
        <w:spacing w:after="0" w:line="38" w:lineRule="exact"/>
        <w:rPr>
          <w:sz w:val="20"/>
          <w:szCs w:val="20"/>
          <w:color w:val="auto"/>
        </w:rPr>
      </w:pPr>
    </w:p>
    <w:p>
      <w:pPr>
        <w:jc w:val="both"/>
        <w:ind w:left="66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Since its inception, the Company has incurred significant losses and negative cash from operations in order to fund its development. During the six months ended June 30, 2023, the Company incurred a net loss of $203,230, incurred negative cash flows from operations of $75,582, and had an accumulated deficit of $849,570 as of June 30, 2023.</w:t>
      </w:r>
    </w:p>
    <w:p>
      <w:pPr>
        <w:spacing w:after="0" w:line="75" w:lineRule="exact"/>
        <w:rPr>
          <w:rFonts w:ascii="Arial" w:cs="Arial" w:eastAsia="Arial" w:hAnsi="Arial"/>
          <w:sz w:val="18"/>
          <w:szCs w:val="18"/>
          <w:color w:val="auto"/>
        </w:rPr>
      </w:pPr>
    </w:p>
    <w:p>
      <w:pPr>
        <w:jc w:val="both"/>
        <w:ind w:left="660" w:hanging="328"/>
        <w:spacing w:after="0" w:line="311"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As of June 30, 2023, the Company had $23,243 of unrestricted cash and cash equivalents available to fund the Company’s operations, no additional borrowings available to fund its operations under pre-existing financing arrangements (see Note 12, </w:t>
      </w:r>
      <w:r>
        <w:rPr>
          <w:rFonts w:ascii="Arial" w:cs="Arial" w:eastAsia="Arial" w:hAnsi="Arial"/>
          <w:sz w:val="16"/>
          <w:szCs w:val="16"/>
          <w:i w:val="1"/>
          <w:iCs w:val="1"/>
          <w:color w:val="auto"/>
        </w:rPr>
        <w:t>Borrowings</w:t>
      </w:r>
      <w:r>
        <w:rPr>
          <w:rFonts w:ascii="Arial" w:cs="Arial" w:eastAsia="Arial" w:hAnsi="Arial"/>
          <w:sz w:val="16"/>
          <w:szCs w:val="16"/>
          <w:color w:val="auto"/>
        </w:rPr>
        <w:t>) and working capital of $20,930, inclusive of $3,093 of outstanding debt that is currently scheduled to mature within the next twelve months beyond the issuance date.</w:t>
      </w:r>
    </w:p>
    <w:p>
      <w:pPr>
        <w:spacing w:after="0" w:line="40" w:lineRule="exact"/>
        <w:rPr>
          <w:rFonts w:ascii="Arial" w:cs="Arial" w:eastAsia="Arial" w:hAnsi="Arial"/>
          <w:sz w:val="16"/>
          <w:szCs w:val="16"/>
          <w:color w:val="auto"/>
        </w:rPr>
      </w:pPr>
    </w:p>
    <w:p>
      <w:pPr>
        <w:jc w:val="both"/>
        <w:ind w:left="660" w:hanging="328"/>
        <w:spacing w:after="0" w:line="273" w:lineRule="auto"/>
        <w:tabs>
          <w:tab w:leader="none" w:pos="655" w:val="left"/>
        </w:tabs>
        <w:numPr>
          <w:ilvl w:val="0"/>
          <w:numId w:val="4"/>
        </w:numPr>
        <w:rPr>
          <w:rFonts w:ascii="Arial" w:cs="Arial" w:eastAsia="Arial" w:hAnsi="Arial"/>
          <w:sz w:val="17"/>
          <w:szCs w:val="17"/>
          <w:i w:val="1"/>
          <w:iCs w:val="1"/>
          <w:color w:val="auto"/>
        </w:rPr>
      </w:pPr>
      <w:r>
        <w:rPr>
          <w:rFonts w:ascii="Arial" w:cs="Arial" w:eastAsia="Arial" w:hAnsi="Arial"/>
          <w:sz w:val="17"/>
          <w:szCs w:val="17"/>
          <w:color w:val="auto"/>
        </w:rPr>
        <w:t xml:space="preserve">While the Company has available capacity under certain pre-existing arrangements to issue shares of the Company’s common stock, including under the Standby Equity Purchase Agreement with YA II PN, Ltd. (“SEPA”), subject to the exchange cap, and at-the-market (“ATM”) offering program, (see Note 18, </w:t>
      </w:r>
      <w:r>
        <w:rPr>
          <w:rFonts w:ascii="Arial" w:cs="Arial" w:eastAsia="Arial" w:hAnsi="Arial"/>
          <w:sz w:val="17"/>
          <w:szCs w:val="17"/>
          <w:i w:val="1"/>
          <w:iCs w:val="1"/>
          <w:color w:val="auto"/>
        </w:rPr>
        <w:t>Shareholders’ Deficit</w:t>
      </w:r>
      <w:r>
        <w:rPr>
          <w:rFonts w:ascii="Arial" w:cs="Arial" w:eastAsia="Arial" w:hAnsi="Arial"/>
          <w:sz w:val="17"/>
          <w:szCs w:val="17"/>
          <w:color w:val="auto"/>
        </w:rPr>
        <w:t>) to aid in funding the Company’s operations, the Company’s ability to secure such funding is dependent upon certain conditions, such as investors’ willingness to purchase the Company’s common stock and at a price that is acceptable to the Company. Accordingly, as of the issuance date there is no assurance the Company will be able to secure funding under these pre-existing arrangements or on terms that are acceptable to the Company.</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5"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(cont.)</w:t>
      </w:r>
    </w:p>
    <w:p>
      <w:pPr>
        <w:spacing w:after="0" w:line="200" w:lineRule="exact"/>
        <w:rPr>
          <w:rFonts w:ascii="Arial" w:cs="Arial" w:eastAsia="Arial" w:hAnsi="Arial"/>
          <w:sz w:val="18"/>
          <w:szCs w:val="18"/>
          <w:b w:val="1"/>
          <w:bCs w:val="1"/>
          <w:color w:val="auto"/>
        </w:rPr>
      </w:pPr>
    </w:p>
    <w:p>
      <w:pPr>
        <w:spacing w:after="0" w:line="231" w:lineRule="exact"/>
        <w:rPr>
          <w:rFonts w:ascii="Arial" w:cs="Arial" w:eastAsia="Arial" w:hAnsi="Arial"/>
          <w:sz w:val="18"/>
          <w:szCs w:val="18"/>
          <w:b w:val="1"/>
          <w:bCs w:val="1"/>
          <w:color w:val="auto"/>
        </w:rPr>
      </w:pPr>
    </w:p>
    <w:p>
      <w:pPr>
        <w:jc w:val="both"/>
        <w:ind w:left="660" w:hanging="328"/>
        <w:spacing w:after="0" w:line="257" w:lineRule="auto"/>
        <w:tabs>
          <w:tab w:leader="none" w:pos="655" w:val="left"/>
        </w:tabs>
        <w:numPr>
          <w:ilvl w:val="1"/>
          <w:numId w:val="5"/>
        </w:numPr>
        <w:rPr>
          <w:rFonts w:ascii="Arial" w:cs="Arial" w:eastAsia="Arial" w:hAnsi="Arial"/>
          <w:sz w:val="18"/>
          <w:szCs w:val="18"/>
          <w:color w:val="auto"/>
        </w:rPr>
      </w:pPr>
      <w:r>
        <w:rPr>
          <w:rFonts w:ascii="Arial" w:cs="Arial" w:eastAsia="Arial" w:hAnsi="Arial"/>
          <w:sz w:val="18"/>
          <w:szCs w:val="18"/>
          <w:color w:val="auto"/>
        </w:rPr>
        <w:t>Similarly, while the Company has historically been successful in raising additional outside capital to fund the Company’s operations, as of the issuance date no assurance can be provided the Company will be successful in obtaining additional outside capital or on terms that are acceptable to the Company. In this regard, the Company continues to progress through the Department of Energy (“DOE”) Loan Programs Office’s (“LPO”) process for its Title XVII loan and is awaiting a conditional approval decision. There can be no assurance that the Company will be able to secure such a loan or on terms that are acceptable to the Company.</w:t>
      </w:r>
    </w:p>
    <w:p>
      <w:pPr>
        <w:spacing w:after="0" w:line="79" w:lineRule="exact"/>
        <w:rPr>
          <w:rFonts w:ascii="Arial" w:cs="Arial" w:eastAsia="Arial" w:hAnsi="Arial"/>
          <w:sz w:val="18"/>
          <w:szCs w:val="18"/>
          <w:color w:val="auto"/>
        </w:rPr>
      </w:pPr>
    </w:p>
    <w:p>
      <w:pPr>
        <w:jc w:val="both"/>
        <w:ind w:left="660" w:hanging="328"/>
        <w:spacing w:after="0" w:line="289" w:lineRule="auto"/>
        <w:tabs>
          <w:tab w:leader="none" w:pos="655" w:val="left"/>
        </w:tabs>
        <w:numPr>
          <w:ilvl w:val="1"/>
          <w:numId w:val="5"/>
        </w:numPr>
        <w:rPr>
          <w:rFonts w:ascii="Arial" w:cs="Arial" w:eastAsia="Arial" w:hAnsi="Arial"/>
          <w:sz w:val="16"/>
          <w:szCs w:val="16"/>
          <w:color w:val="auto"/>
        </w:rPr>
      </w:pPr>
      <w:r>
        <w:rPr>
          <w:rFonts w:ascii="Arial" w:cs="Arial" w:eastAsia="Arial" w:hAnsi="Arial"/>
          <w:sz w:val="16"/>
          <w:szCs w:val="16"/>
          <w:color w:val="auto"/>
        </w:rPr>
        <w:t>The Company is required to remain in compliance with a quarterly minimum financial liquidity covenant under its Senior Secured Term Loan Credit Agreement (“Senior Secured Term Loan”). While the Company was in compliance with this covenant as of June 30, 2023, and expects to remain in compliance as of September 30, 2023, absent the Company’s ability to secure additional outside capital, the Company may be unable to remain in compliance with this covenant beginning on December 31, 2023 and thereafter. In the event the Company is unable to remain in compliance with the minimum financial liquidity covenant and the other nonfinancial covenants required by the Senior Secured Term Loan, and the Company is further unable to cure such noncompliance or secure a waiver, Atlas Credit Partners (ACP) Post Oak Credit I LLC may, at its discretion, exercise any and all of its existing rights and remedies, which may include, among other things, entering into a forbearance agreement with the Company, and/or asserting its rights in the Company’s assets securing the loan. Moreover, the Company’s other lenders may exercise similar rights and remedies under the cross-default provisions of their respective borrowing arrangements with the Company.</w:t>
      </w:r>
    </w:p>
    <w:p>
      <w:pPr>
        <w:spacing w:after="0" w:line="58" w:lineRule="exact"/>
        <w:rPr>
          <w:rFonts w:ascii="Arial" w:cs="Arial" w:eastAsia="Arial" w:hAnsi="Arial"/>
          <w:sz w:val="16"/>
          <w:szCs w:val="16"/>
          <w:color w:val="auto"/>
        </w:rPr>
      </w:pPr>
    </w:p>
    <w:p>
      <w:pPr>
        <w:ind w:left="660" w:hanging="328"/>
        <w:spacing w:after="0" w:line="277" w:lineRule="auto"/>
        <w:tabs>
          <w:tab w:leader="none" w:pos="655" w:val="left"/>
        </w:tabs>
        <w:numPr>
          <w:ilvl w:val="1"/>
          <w:numId w:val="5"/>
        </w:numPr>
        <w:rPr>
          <w:rFonts w:ascii="Arial" w:cs="Arial" w:eastAsia="Arial" w:hAnsi="Arial"/>
          <w:sz w:val="18"/>
          <w:szCs w:val="18"/>
          <w:color w:val="auto"/>
        </w:rPr>
      </w:pPr>
      <w:r>
        <w:rPr>
          <w:rFonts w:ascii="Arial" w:cs="Arial" w:eastAsia="Arial" w:hAnsi="Arial"/>
          <w:sz w:val="18"/>
          <w:szCs w:val="18"/>
          <w:color w:val="auto"/>
        </w:rPr>
        <w:t>Absent an ability to secure additional outside capital in the near term, the Company will be unable to meet its obligations as they become due over the next twelve months beyond the issuance date.</w:t>
      </w:r>
    </w:p>
    <w:p>
      <w:pPr>
        <w:spacing w:after="0" w:line="62"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1"/>
          <w:numId w:val="5"/>
        </w:numPr>
        <w:rPr>
          <w:rFonts w:ascii="Arial" w:cs="Arial" w:eastAsia="Arial" w:hAnsi="Arial"/>
          <w:sz w:val="17"/>
          <w:szCs w:val="17"/>
          <w:color w:val="auto"/>
        </w:rPr>
      </w:pPr>
      <w:r>
        <w:rPr>
          <w:rFonts w:ascii="Arial" w:cs="Arial" w:eastAsia="Arial" w:hAnsi="Arial"/>
          <w:sz w:val="17"/>
          <w:szCs w:val="17"/>
          <w:color w:val="auto"/>
        </w:rPr>
        <w:t>In the event the Company’s ongoing efforts to raise additional outside capital prove unsuccessful, management will be required to seek other strategic alternatives, which may include, among others, a significant curtailment in the Company’s operations, a sale of certain of the Company’s assets, a sale of the entire Company to strategic or financial investors, and/or allowing the Company to become insolvent.</w:t>
      </w:r>
    </w:p>
    <w:p>
      <w:pPr>
        <w:spacing w:after="0" w:line="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uncertainties raise substantial doubt about the Company’s ability to continue as a going concern. The accompanying unaudited condensed consolidated financial statements have been prepared on the basis that the Company will continue to operate as a going concern, which contemplates that the Company will be able to realize assets and settle liabilities and commitments in the normal course of business for the foreseeable future. Accordingly, the accompanying unaudited condensed consolidated financial statements do not include any adjustments that may result from the outcome of these uncertainties.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unaudited condensed consolidated financial statements include the accounts of the Company and its 100% owned, direct and indirect subsidiaries and have been prepared in accordance with U.S. generally accepted accounting principles (“GAAP”). All intercompany transactions and balances have been eliminated in the preparation of the unaudited condensed consolidated financial statements. These statements reflect all adjustments, consisting of normal recurring adjustments, which, in the opinion of management, are necessary for fair presentation of the information contained therein. Certain information and footnote disclosures normally included in financial statements prepared in accordance with GAAP have been condensed or omitted pursuant to the rules and regulations of the U.S. Securities and Exchange Commission (“SEC”). The interim financial statements should be read in conjunction with the audited consolidated financial statements, including the notes thereto, included in our 2022 Annual Report on Form 10-K. These interim results are not necessarily indicative of results for the full year.</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7"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 of revenues and expenses during the reporting period. Actual results could differ from those estimates.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 of Prior Year Presentation</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prior year amounts have been reclassified for consistency with the current year presentation. These reclassifications had no effect on the reported 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Grants</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records grants received or receivable from government agencies as an offset to the related costs for which the grants are intended to compensate the Company. The costs of satisfying the Company’s obligations under the respective grant agreements are recognized as expense when incurred. The Company recognizes grant money once it is reasonably assured that the Company will comply with the conditions of the grant.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new accounting standards or updates during the six months ended June 30, 2023 that would have a material impact on the Company’s unaudited condensed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primarily earns revenue from sales of its energy storage systems and services including installation, commissioning, and extended warranty services. Product revenues, which are generally recognized at a point in time, and service revenues, which are generally recognized over time, are as follows:</w:t>
      </w:r>
    </w:p>
    <w:p>
      <w:pPr>
        <w:spacing w:after="0" w:line="153"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3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2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For the Six Months Ended</w:t>
            </w:r>
          </w:p>
        </w:tc>
      </w:tr>
      <w:tr>
        <w:trPr>
          <w:trHeight w:val="243"/>
        </w:trPr>
        <w:tc>
          <w:tcPr>
            <w:tcW w:w="3820" w:type="dxa"/>
            <w:vAlign w:val="bottom"/>
          </w:tcPr>
          <w:p>
            <w:pPr>
              <w:spacing w:after="0"/>
              <w:rPr>
                <w:sz w:val="21"/>
                <w:szCs w:val="21"/>
                <w:color w:val="auto"/>
              </w:rPr>
            </w:pPr>
          </w:p>
        </w:tc>
        <w:tc>
          <w:tcPr>
            <w:tcW w:w="3620" w:type="dxa"/>
            <w:vAlign w:val="bottom"/>
            <w:gridSpan w:val="6"/>
          </w:tcPr>
          <w:p>
            <w:pPr>
              <w:ind w:left="280"/>
              <w:spacing w:after="0"/>
              <w:rPr>
                <w:sz w:val="20"/>
                <w:szCs w:val="20"/>
                <w:color w:val="auto"/>
              </w:rPr>
            </w:pPr>
            <w:r>
              <w:rPr>
                <w:rFonts w:ascii="Arial" w:cs="Arial" w:eastAsia="Arial" w:hAnsi="Arial"/>
                <w:sz w:val="18"/>
                <w:szCs w:val="18"/>
                <w:b w:val="1"/>
                <w:bCs w:val="1"/>
                <w:color w:val="auto"/>
              </w:rPr>
              <w:t>For the Three Months Ended June 30,</w:t>
            </w:r>
          </w:p>
        </w:tc>
        <w:tc>
          <w:tcPr>
            <w:tcW w:w="380" w:type="dxa"/>
            <w:vAlign w:val="bottom"/>
          </w:tcPr>
          <w:p>
            <w:pPr>
              <w:spacing w:after="0"/>
              <w:rPr>
                <w:sz w:val="21"/>
                <w:szCs w:val="21"/>
                <w:color w:val="auto"/>
              </w:rPr>
            </w:pPr>
          </w:p>
        </w:tc>
        <w:tc>
          <w:tcPr>
            <w:tcW w:w="188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June 30,</w:t>
            </w:r>
          </w:p>
        </w:tc>
        <w:tc>
          <w:tcPr>
            <w:tcW w:w="1240" w:type="dxa"/>
            <w:vAlign w:val="bottom"/>
          </w:tcPr>
          <w:p>
            <w:pPr>
              <w:spacing w:after="0"/>
              <w:rPr>
                <w:sz w:val="21"/>
                <w:szCs w:val="21"/>
                <w:color w:val="auto"/>
              </w:rPr>
            </w:pPr>
          </w:p>
        </w:tc>
      </w:tr>
      <w:tr>
        <w:trPr>
          <w:trHeight w:val="223"/>
        </w:trPr>
        <w:tc>
          <w:tcPr>
            <w:tcW w:w="3820" w:type="dxa"/>
            <w:vAlign w:val="bottom"/>
            <w:tcBorders>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r>
      <w:tr>
        <w:trPr>
          <w:trHeight w:val="22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revenue</w:t>
            </w:r>
          </w:p>
        </w:tc>
        <w:tc>
          <w:tcPr>
            <w:tcW w:w="120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9,065</w:t>
            </w: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Service revenue</w:t>
            </w:r>
          </w:p>
        </w:tc>
        <w:tc>
          <w:tcPr>
            <w:tcW w:w="120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48"/>
        </w:trPr>
        <w:tc>
          <w:tcPr>
            <w:tcW w:w="3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200" w:type="dxa"/>
            <w:vAlign w:val="bottom"/>
            <w:tcBorders>
              <w:top w:val="single" w:sz="8" w:color="auto"/>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9,193</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June 30, 2023, the Company had one customer that accounted for 100.0% of the total revenue and for the six months ended June 30, 2023, we had one customer that accounted for 97.8% of the total revenue, respectively.</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June 30, 2022, the Company had one customer that accounted for 89.6% of the total revenue and for the six months ended June 30, 2022, we had two customers that accounted for 73.1% and 12.7%,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revenue</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leases battery energy storage systems to one customer through a sales-type lease with a 20-year term. For the three and six months ended June 30, 2022, the Company recognized revenue of $128 and $1,166 from the sales-type lease, respectively. No revenue was recognized from the sales-type lease for the three and six months ended June 30, 2023.</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 Revenue Recognition </w:t>
      </w:r>
      <w:r>
        <w:rPr>
          <w:rFonts w:ascii="Arial" w:cs="Arial" w:eastAsia="Arial" w:hAnsi="Arial"/>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Contract liabilities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provides information about contract assets and contract liabilities from contracts with customers. Contract assets, current and contract liabilities, current and long-term are included separately on the unaudited condensed consolidated balance sheets and contract assets, long-term are included under other assets, net.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78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118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2,106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1180" w:type="dxa"/>
            <w:vAlign w:val="bottom"/>
          </w:tcPr>
          <w:p>
            <w:pPr>
              <w:jc w:val="right"/>
              <w:ind w:right="99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3,335</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4,806</w:t>
            </w:r>
          </w:p>
        </w:tc>
      </w:tr>
    </w:tbl>
    <w:p>
      <w:pPr>
        <w:spacing w:after="0" w:line="25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recognizes contract assets for certain contracts in which revenue recognition performance obligations have been satisfied but invoicing to the customer has not yet occurred. Contract liabilities primarily relate to consideration received from customers in advance of the Company’s satisfying performance obligations under contractual arrangements. Contract balances are reported in a net contract asset or liability position on a contract-by-contract basis at the end of each reporting period.</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Contract assets increased by $106 during the six months ended June 30, 2023 due to recognition of revenues for which invoicing has not yet occurred. Contract liabilities decreased by $1,471 during the six months ended June 30, 2023, reflecting $3,450 of revenue recognized from customers, partially offset by $1,979 in customer advance payments during the six months ended June 30, 2023 that was included in the contract liability balance at the beginning of the period.</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Contract liabilities of $2,379 as of June 30, 2023 are expected to be recognized within the next twelve months and long-term contract liabilities of $956 are expected to be recognized as revenue over approximately the next one to two years. Contract assets of $2,036 as of June 30, 2023 are expected to be recognized within the next twelve months. Long-term contract assets of $70 are expected to be recognized as accounts receivable over approximately the next two years.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Cash Equivalents and Restricted Cash</w:t>
      </w:r>
    </w:p>
    <w:p>
      <w:pPr>
        <w:spacing w:after="0" w:line="16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Restricted cash - current consists of escrow deposits related to U.S. Custom Bonds insurance and escrow deposits related to our credit card program agreements. Additionally, long-term restricted cash relates to interest that is required to be held in escrow per the Senior Secured Term Loan agreement in an amount equal to the aggregate amount of the four immediately following interest payments owed (see Note 12, </w:t>
      </w:r>
      <w:r>
        <w:rPr>
          <w:rFonts w:ascii="Arial" w:cs="Arial" w:eastAsia="Arial" w:hAnsi="Arial"/>
          <w:sz w:val="16"/>
          <w:szCs w:val="16"/>
          <w:i w:val="1"/>
          <w:iCs w:val="1"/>
          <w:color w:val="auto"/>
        </w:rPr>
        <w:t>Borrowings</w:t>
      </w:r>
      <w:r>
        <w:rPr>
          <w:rFonts w:ascii="Arial" w:cs="Arial" w:eastAsia="Arial" w:hAnsi="Arial"/>
          <w:sz w:val="16"/>
          <w:szCs w:val="16"/>
          <w:color w:val="auto"/>
        </w:rPr>
        <w:t xml:space="preserve"> for further discussion).</w:t>
      </w:r>
    </w:p>
    <w:p>
      <w:pPr>
        <w:spacing w:after="0" w:line="1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reconciles reported amounts from the unaudited condensed consolidated balance sheets to cash, cash equivalents and restricted cash reported within the unaudited condensed consolidated statements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jc w:val="right"/>
              <w:ind w:right="53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728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2022</w:t>
            </w:r>
          </w:p>
        </w:tc>
      </w:tr>
      <w:tr>
        <w:trPr>
          <w:trHeight w:val="223"/>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28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23,243</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16,273</w:t>
            </w:r>
          </w:p>
        </w:tc>
      </w:tr>
      <w:tr>
        <w:trPr>
          <w:trHeight w:val="229"/>
        </w:trPr>
        <w:tc>
          <w:tcPr>
            <w:tcW w:w="72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Restricted cash </w:t>
            </w:r>
            <w:r>
              <w:rPr>
                <w:rFonts w:ascii="Arial" w:cs="Arial" w:eastAsia="Arial" w:hAnsi="Arial"/>
                <w:sz w:val="23"/>
                <w:szCs w:val="23"/>
                <w:color w:val="auto"/>
                <w:vertAlign w:val="superscript"/>
              </w:rPr>
              <w:t>(1)</w:t>
            </w:r>
          </w:p>
        </w:tc>
        <w:tc>
          <w:tcPr>
            <w:tcW w:w="1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3,363</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1,255</w:t>
            </w: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restricted cash</w:t>
            </w:r>
          </w:p>
        </w:tc>
        <w:tc>
          <w:tcPr>
            <w:tcW w:w="12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11,550</w:t>
            </w:r>
          </w:p>
        </w:tc>
        <w:tc>
          <w:tcPr>
            <w:tcW w:w="1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280" w:type="dxa"/>
            <w:vAlign w:val="bottom"/>
          </w:tcPr>
          <w:p>
            <w:pPr>
              <w:ind w:left="200"/>
              <w:spacing w:after="0"/>
              <w:rPr>
                <w:sz w:val="20"/>
                <w:szCs w:val="20"/>
                <w:color w:val="auto"/>
              </w:rPr>
            </w:pPr>
            <w:r>
              <w:rPr>
                <w:rFonts w:ascii="Arial" w:cs="Arial" w:eastAsia="Arial" w:hAnsi="Arial"/>
                <w:sz w:val="18"/>
                <w:szCs w:val="18"/>
                <w:color w:val="auto"/>
              </w:rPr>
              <w:t>Total cash, cash equivalents, and restricted cash</w:t>
            </w:r>
          </w:p>
        </w:tc>
        <w:tc>
          <w:tcPr>
            <w:tcW w:w="128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38,156</w:t>
            </w:r>
          </w:p>
        </w:tc>
        <w:tc>
          <w:tcPr>
            <w:tcW w:w="1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17,528</w:t>
            </w:r>
          </w:p>
        </w:tc>
      </w:tr>
      <w:tr>
        <w:trPr>
          <w:trHeight w:val="21"/>
        </w:trPr>
        <w:tc>
          <w:tcPr>
            <w:tcW w:w="72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51" w:lineRule="exact"/>
        <w:rPr>
          <w:sz w:val="20"/>
          <w:szCs w:val="20"/>
          <w:color w:val="auto"/>
        </w:rPr>
      </w:pP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Restricted cash, current.</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r>
              <w:rPr>
                <w:rFonts w:ascii="Arial" w:cs="Arial" w:eastAsia="Arial" w:hAnsi="Arial"/>
                <w:sz w:val="18"/>
                <w:szCs w:val="18"/>
                <w:b w:val="1"/>
                <w:bCs w:val="1"/>
                <w:color w:val="auto"/>
              </w:rPr>
              <w:t>5. Inventory</w:t>
            </w:r>
          </w:p>
        </w:tc>
        <w:tc>
          <w:tcPr>
            <w:tcW w:w="1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64"/>
        </w:trPr>
        <w:tc>
          <w:tcPr>
            <w:tcW w:w="7300" w:type="dxa"/>
            <w:vAlign w:val="bottom"/>
          </w:tcPr>
          <w:p>
            <w:pPr>
              <w:spacing w:after="0"/>
              <w:rPr>
                <w:sz w:val="20"/>
                <w:szCs w:val="20"/>
                <w:color w:val="auto"/>
              </w:rPr>
            </w:pPr>
            <w:r>
              <w:rPr>
                <w:rFonts w:ascii="Arial" w:cs="Arial" w:eastAsia="Arial" w:hAnsi="Arial"/>
                <w:sz w:val="18"/>
                <w:szCs w:val="18"/>
                <w:color w:val="auto"/>
              </w:rPr>
              <w:t>The following table provides information about inventory balances:</w:t>
            </w: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87"/>
        </w:trPr>
        <w:tc>
          <w:tcPr>
            <w:tcW w:w="73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jc w:val="right"/>
              <w:ind w:right="33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30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2023</w:t>
            </w: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r>
      <w:tr>
        <w:trPr>
          <w:trHeight w:val="223"/>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30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16,186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22,899</w:t>
            </w:r>
          </w:p>
        </w:tc>
      </w:tr>
      <w:tr>
        <w:trPr>
          <w:trHeight w:val="229"/>
        </w:trPr>
        <w:tc>
          <w:tcPr>
            <w:tcW w:w="730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1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361</w:t>
            </w:r>
          </w:p>
        </w:tc>
      </w:tr>
      <w:tr>
        <w:trPr>
          <w:trHeight w:val="230"/>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300" w:type="dxa"/>
            <w:vAlign w:val="bottom"/>
          </w:tcPr>
          <w:p>
            <w:pPr>
              <w:ind w:left="260"/>
              <w:spacing w:after="0"/>
              <w:rPr>
                <w:sz w:val="20"/>
                <w:szCs w:val="20"/>
                <w:color w:val="auto"/>
              </w:rPr>
            </w:pPr>
            <w:r>
              <w:rPr>
                <w:rFonts w:ascii="Arial" w:cs="Arial" w:eastAsia="Arial" w:hAnsi="Arial"/>
                <w:sz w:val="18"/>
                <w:szCs w:val="18"/>
                <w:color w:val="auto"/>
              </w:rPr>
              <w:t>Total inventory, net</w:t>
            </w:r>
          </w:p>
        </w:tc>
        <w:tc>
          <w:tcPr>
            <w:tcW w:w="1300" w:type="dxa"/>
            <w:vAlign w:val="bottom"/>
            <w:tcBorders>
              <w:top w:val="single" w:sz="8" w:color="auto"/>
              <w:bottom w:val="single" w:sz="8" w:color="auto"/>
            </w:tcBorders>
          </w:tcPr>
          <w:p>
            <w:pPr>
              <w:jc w:val="right"/>
              <w:ind w:right="11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16,630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23,260</w:t>
            </w:r>
          </w:p>
        </w:tc>
      </w:tr>
      <w:tr>
        <w:trPr>
          <w:trHeight w:val="21"/>
        </w:trPr>
        <w:tc>
          <w:tcPr>
            <w:tcW w:w="73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r>
              <w:rPr>
                <w:rFonts w:ascii="Arial" w:cs="Arial" w:eastAsia="Arial" w:hAnsi="Arial"/>
                <w:sz w:val="18"/>
                <w:szCs w:val="18"/>
                <w:b w:val="1"/>
                <w:bCs w:val="1"/>
                <w:color w:val="auto"/>
              </w:rPr>
              <w:t>6. Property, Plant and Equipment, Net</w:t>
            </w:r>
          </w:p>
        </w:tc>
        <w:tc>
          <w:tcPr>
            <w:tcW w:w="3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05"/>
        </w:trPr>
        <w:tc>
          <w:tcPr>
            <w:tcW w:w="7360" w:type="dxa"/>
            <w:vAlign w:val="bottom"/>
            <w:gridSpan w:val="2"/>
          </w:tcPr>
          <w:p>
            <w:pPr>
              <w:spacing w:after="0"/>
              <w:rPr>
                <w:sz w:val="20"/>
                <w:szCs w:val="20"/>
                <w:color w:val="auto"/>
              </w:rPr>
            </w:pPr>
            <w:r>
              <w:rPr>
                <w:rFonts w:ascii="Arial" w:cs="Arial" w:eastAsia="Arial" w:hAnsi="Arial"/>
                <w:sz w:val="18"/>
                <w:szCs w:val="18"/>
                <w:color w:val="auto"/>
              </w:rPr>
              <w:t>The following table provides information about property, plant and equipment, net balances:</w:t>
            </w: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78"/>
        </w:trPr>
        <w:tc>
          <w:tcPr>
            <w:tcW w:w="40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0" w:type="dxa"/>
            <w:vAlign w:val="bottom"/>
            <w:gridSpan w:val="2"/>
          </w:tcPr>
          <w:p>
            <w:pPr>
              <w:ind w:left="260"/>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24"/>
                <w:szCs w:val="24"/>
                <w:color w:val="auto"/>
              </w:rPr>
            </w:pPr>
          </w:p>
        </w:tc>
        <w:tc>
          <w:tcPr>
            <w:tcW w:w="1620" w:type="dxa"/>
            <w:vAlign w:val="bottom"/>
          </w:tcPr>
          <w:p>
            <w:pPr>
              <w:jc w:val="right"/>
              <w:ind w:right="330"/>
              <w:spacing w:after="0"/>
              <w:rPr>
                <w:sz w:val="20"/>
                <w:szCs w:val="20"/>
                <w:color w:val="auto"/>
              </w:rPr>
            </w:pPr>
            <w:r>
              <w:rPr>
                <w:rFonts w:ascii="Arial" w:cs="Arial" w:eastAsia="Arial" w:hAnsi="Arial"/>
                <w:sz w:val="18"/>
                <w:szCs w:val="18"/>
                <w:b w:val="1"/>
                <w:bCs w:val="1"/>
                <w:color w:val="auto"/>
              </w:rPr>
              <w:t>December 31,</w:t>
            </w:r>
          </w:p>
        </w:tc>
      </w:tr>
      <w:tr>
        <w:trPr>
          <w:trHeight w:val="243"/>
        </w:trPr>
        <w:tc>
          <w:tcPr>
            <w:tcW w:w="4080" w:type="dxa"/>
            <w:vAlign w:val="bottom"/>
            <w:tcBorders>
              <w:bottom w:val="single" w:sz="8" w:color="CCEEFF"/>
            </w:tcBorders>
          </w:tcPr>
          <w:p>
            <w:pPr>
              <w:spacing w:after="0"/>
              <w:rPr>
                <w:sz w:val="21"/>
                <w:szCs w:val="21"/>
                <w:color w:val="auto"/>
              </w:rPr>
            </w:pPr>
          </w:p>
        </w:tc>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Estimated Useful lives</w:t>
            </w:r>
          </w:p>
        </w:tc>
        <w:tc>
          <w:tcPr>
            <w:tcW w:w="3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2022</w:t>
            </w: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3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 to 10 years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23,653</w:t>
            </w: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Finance lease</w:t>
            </w:r>
          </w:p>
        </w:tc>
        <w:tc>
          <w:tcPr>
            <w:tcW w:w="3280" w:type="dxa"/>
            <w:vAlign w:val="bottom"/>
          </w:tcPr>
          <w:p>
            <w:pPr>
              <w:jc w:val="center"/>
              <w:spacing w:after="0"/>
              <w:rPr>
                <w:sz w:val="20"/>
                <w:szCs w:val="20"/>
                <w:color w:val="auto"/>
              </w:rPr>
            </w:pPr>
            <w:r>
              <w:rPr>
                <w:rFonts w:ascii="Arial" w:cs="Arial" w:eastAsia="Arial" w:hAnsi="Arial"/>
                <w:sz w:val="18"/>
                <w:szCs w:val="18"/>
                <w:color w:val="auto"/>
                <w:w w:val="88"/>
              </w:rPr>
              <w:t>5 years</w:t>
            </w:r>
          </w:p>
        </w:tc>
        <w:tc>
          <w:tcPr>
            <w:tcW w:w="3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379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379</w:t>
            </w: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w:t>
            </w:r>
          </w:p>
        </w:tc>
        <w:tc>
          <w:tcPr>
            <w:tcW w:w="3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 to 10 years</w:t>
            </w:r>
          </w:p>
        </w:tc>
        <w:tc>
          <w:tcPr>
            <w:tcW w:w="3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w:t>
            </w:r>
          </w:p>
        </w:tc>
      </w:tr>
      <w:tr>
        <w:trPr>
          <w:trHeight w:val="176"/>
        </w:trPr>
        <w:tc>
          <w:tcPr>
            <w:tcW w:w="4080" w:type="dxa"/>
            <w:vAlign w:val="bottom"/>
          </w:tcPr>
          <w:p>
            <w:pPr>
              <w:spacing w:after="0"/>
              <w:rPr>
                <w:sz w:val="15"/>
                <w:szCs w:val="15"/>
                <w:color w:val="auto"/>
              </w:rPr>
            </w:pPr>
          </w:p>
        </w:tc>
        <w:tc>
          <w:tcPr>
            <w:tcW w:w="3280" w:type="dxa"/>
            <w:vAlign w:val="bottom"/>
          </w:tcPr>
          <w:p>
            <w:pPr>
              <w:jc w:val="center"/>
              <w:spacing w:after="0" w:line="176" w:lineRule="exact"/>
              <w:rPr>
                <w:sz w:val="20"/>
                <w:szCs w:val="20"/>
                <w:color w:val="auto"/>
              </w:rPr>
            </w:pPr>
            <w:r>
              <w:rPr>
                <w:rFonts w:ascii="Arial" w:cs="Arial" w:eastAsia="Arial" w:hAnsi="Arial"/>
                <w:sz w:val="18"/>
                <w:szCs w:val="18"/>
                <w:color w:val="auto"/>
                <w:w w:val="92"/>
              </w:rPr>
              <w:t>Lesser of useful life/</w:t>
            </w: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280" w:type="dxa"/>
            <w:vAlign w:val="bottom"/>
          </w:tcPr>
          <w:p>
            <w:pPr>
              <w:jc w:val="center"/>
              <w:spacing w:after="0"/>
              <w:rPr>
                <w:sz w:val="20"/>
                <w:szCs w:val="20"/>
                <w:color w:val="auto"/>
              </w:rPr>
            </w:pPr>
            <w:r>
              <w:rPr>
                <w:rFonts w:ascii="Arial" w:cs="Arial" w:eastAsia="Arial" w:hAnsi="Arial"/>
                <w:sz w:val="18"/>
                <w:szCs w:val="18"/>
                <w:color w:val="auto"/>
                <w:w w:val="88"/>
              </w:rPr>
              <w:t>remaining lease</w:t>
            </w:r>
          </w:p>
        </w:tc>
        <w:tc>
          <w:tcPr>
            <w:tcW w:w="3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7,098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6,303</w:t>
            </w: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Tooling</w:t>
            </w:r>
          </w:p>
        </w:tc>
        <w:tc>
          <w:tcPr>
            <w:tcW w:w="3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 to 3 years</w:t>
            </w:r>
          </w:p>
        </w:tc>
        <w:tc>
          <w:tcPr>
            <w:tcW w:w="3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6,926</w:t>
            </w:r>
          </w:p>
        </w:tc>
      </w:tr>
      <w:tr>
        <w:trPr>
          <w:trHeight w:val="223"/>
        </w:trPr>
        <w:tc>
          <w:tcPr>
            <w:tcW w:w="4080" w:type="dxa"/>
            <w:vAlign w:val="bottom"/>
          </w:tcPr>
          <w:p>
            <w:pPr>
              <w:ind w:left="260"/>
              <w:spacing w:after="0"/>
              <w:rPr>
                <w:sz w:val="20"/>
                <w:szCs w:val="20"/>
                <w:color w:val="auto"/>
              </w:rPr>
            </w:pPr>
            <w:r>
              <w:rPr>
                <w:rFonts w:ascii="Arial" w:cs="Arial" w:eastAsia="Arial" w:hAnsi="Arial"/>
                <w:sz w:val="18"/>
                <w:szCs w:val="18"/>
                <w:color w:val="auto"/>
              </w:rPr>
              <w:t>Total</w:t>
            </w:r>
          </w:p>
        </w:tc>
        <w:tc>
          <w:tcPr>
            <w:tcW w:w="3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33,667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39,129</w:t>
            </w: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32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(11,960)</w:t>
            </w: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color w:val="auto"/>
              </w:rPr>
              <w:t>Total property, plant and equipment, net</w:t>
            </w:r>
          </w:p>
        </w:tc>
        <w:tc>
          <w:tcPr>
            <w:tcW w:w="32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19,683</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27,169</w:t>
            </w:r>
          </w:p>
        </w:tc>
      </w:tr>
      <w:tr>
        <w:trPr>
          <w:trHeight w:val="20"/>
        </w:trPr>
        <w:tc>
          <w:tcPr>
            <w:tcW w:w="40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expense related to property, plant and equipment was $2,444 and $1,261 for the three months ended June 30, 2023 and 2022, respectively and $5,111 and $2,246 for the six months ended June 30, 2023 and 2022,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Intangible assets include patents valued at $400, which represents the cost to acquire the patents. These patents are determined to have useful lives and are amortized into the results of operations over ten years. The Company recorded amortization expense of $10 for each period for the three months ended June 30, 2023 and 2022 and $20 for each period for the six months ended June 30, 2023 and 2022, related to patents.</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six months ended June 30, 2023, the Company capitalized $130 of costs for internal-use software. The software has a useful life and is amortized into the results of operations over 3 years. The Company recorded amortization expense of $10 and $20 for the three and six months ended June 30, 2023 related to software,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Notes Receivable, Net and Variable Interest Entities (“VIEs”) Consideration</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Notes receivable primarily consist of amounts due to the Company related to the financing offered to certain customers. The Company reports notes receivable at the principal balance outstanding less an allowance for losses. The estimate of credit losses is based on historical trends, customers’ financial condition and current economic trends. The Company charges interest at a fixed rate and calculates interest income by applying the effective rate to the outstanding principal balance.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8. Notes Receivable, Net and Variable Interest Entities (“VIEs”) Consideration </w:t>
      </w:r>
      <w:r>
        <w:rPr>
          <w:rFonts w:ascii="Arial" w:cs="Arial" w:eastAsia="Arial" w:hAnsi="Arial"/>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 had notes receivable, net of $863 and $863 outstanding as of June 30, 2023 and December 31, 2022, respectively. As of June 30, 2023 and December 31, 2022, the Company recorded an allowance for expected credit loss from the notes receivable of $2 and $2, respectively.</w:t>
      </w:r>
    </w:p>
    <w:p>
      <w:pPr>
        <w:spacing w:after="0" w:line="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customers to whom the Company offers financing through notes receivables are VIEs. However, the Company is not the primary beneficiary, because the Company does not have power to direct the activities of the VIEs that most significantly impact the VIEs’ economic performance. Therefore, the VIEs are not consolidated into the Company’s unaudited condensed consolidated financial statements. The maximum loss exposure is limited to the carrying value of notes receivable as of the balances sheet dates.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r>
              <w:rPr>
                <w:rFonts w:ascii="Arial" w:cs="Arial" w:eastAsia="Arial" w:hAnsi="Arial"/>
                <w:sz w:val="18"/>
                <w:szCs w:val="18"/>
                <w:b w:val="1"/>
                <w:bCs w:val="1"/>
                <w:color w:val="auto"/>
              </w:rPr>
              <w:t>9. Accrued Expenses</w:t>
            </w: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64"/>
        </w:trPr>
        <w:tc>
          <w:tcPr>
            <w:tcW w:w="7800" w:type="dxa"/>
            <w:vAlign w:val="bottom"/>
          </w:tcPr>
          <w:p>
            <w:pPr>
              <w:spacing w:after="0"/>
              <w:rPr>
                <w:sz w:val="20"/>
                <w:szCs w:val="20"/>
                <w:color w:val="auto"/>
              </w:rPr>
            </w:pPr>
            <w:r>
              <w:rPr>
                <w:rFonts w:ascii="Arial" w:cs="Arial" w:eastAsia="Arial" w:hAnsi="Arial"/>
                <w:sz w:val="18"/>
                <w:szCs w:val="18"/>
                <w:color w:val="auto"/>
              </w:rPr>
              <w:t>Accrued expenses were as follows:</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46"/>
        </w:trPr>
        <w:tc>
          <w:tcPr>
            <w:tcW w:w="7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24"/>
                <w:szCs w:val="24"/>
                <w:color w:val="auto"/>
              </w:rPr>
            </w:pPr>
          </w:p>
        </w:tc>
        <w:tc>
          <w:tcPr>
            <w:tcW w:w="14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78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payroll</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w:t>
            </w:r>
          </w:p>
        </w:tc>
      </w:tr>
      <w:tr>
        <w:trPr>
          <w:trHeight w:val="230"/>
        </w:trPr>
        <w:tc>
          <w:tcPr>
            <w:tcW w:w="78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Warranty reserve </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4,421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3,836</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legal and professional expenses</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Provision for contract losses</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2,166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2,561</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Insurance premium payable, current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2,809</w:t>
            </w: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accrued expenses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20,887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15,359</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Refer to the table below for the warranty reserve activity for the three and six months ended June 30, 2023.</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warranty reserve activity: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00" w:type="dxa"/>
            <w:vAlign w:val="bottom"/>
          </w:tcPr>
          <w:p>
            <w:pPr>
              <w:spacing w:after="0"/>
              <w:rPr>
                <w:sz w:val="18"/>
                <w:szCs w:val="18"/>
                <w:color w:val="auto"/>
              </w:rPr>
            </w:pPr>
          </w:p>
        </w:tc>
        <w:tc>
          <w:tcPr>
            <w:tcW w:w="286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2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w w:val="90"/>
              </w:rPr>
              <w:t>Six Months Ended</w:t>
            </w:r>
          </w:p>
        </w:tc>
        <w:tc>
          <w:tcPr>
            <w:tcW w:w="1020" w:type="dxa"/>
            <w:vAlign w:val="bottom"/>
          </w:tcPr>
          <w:p>
            <w:pPr>
              <w:spacing w:after="0"/>
              <w:rPr>
                <w:sz w:val="18"/>
                <w:szCs w:val="18"/>
                <w:color w:val="auto"/>
              </w:rPr>
            </w:pPr>
          </w:p>
        </w:tc>
      </w:tr>
      <w:tr>
        <w:trPr>
          <w:trHeight w:val="239"/>
        </w:trPr>
        <w:tc>
          <w:tcPr>
            <w:tcW w:w="43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8"/>
                <w:szCs w:val="18"/>
                <w:b w:val="1"/>
                <w:bCs w:val="1"/>
                <w:color w:val="auto"/>
              </w:rPr>
              <w:t>June 30,</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Borders>
              <w:bottom w:val="single" w:sz="8" w:color="auto"/>
            </w:tcBorders>
          </w:tcPr>
          <w:p>
            <w:pPr>
              <w:spacing w:after="0"/>
              <w:rPr>
                <w:sz w:val="20"/>
                <w:szCs w:val="20"/>
                <w:color w:val="auto"/>
              </w:rPr>
            </w:pPr>
          </w:p>
        </w:tc>
      </w:tr>
      <w:tr>
        <w:trPr>
          <w:trHeight w:val="227"/>
        </w:trPr>
        <w:tc>
          <w:tcPr>
            <w:tcW w:w="43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84"/>
              </w:rPr>
              <w:t>2022</w:t>
            </w:r>
          </w:p>
        </w:tc>
      </w:tr>
      <w:tr>
        <w:trPr>
          <w:trHeight w:val="22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Warranty reserve - beginning of period</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84"/>
              </w:rPr>
              <w:t>2,112</w:t>
            </w:r>
          </w:p>
        </w:tc>
      </w:tr>
      <w:tr>
        <w:trPr>
          <w:trHeight w:val="229"/>
        </w:trPr>
        <w:tc>
          <w:tcPr>
            <w:tcW w:w="4300" w:type="dxa"/>
            <w:vAlign w:val="bottom"/>
          </w:tcPr>
          <w:p>
            <w:pPr>
              <w:ind w:left="20"/>
              <w:spacing w:after="0"/>
              <w:rPr>
                <w:sz w:val="20"/>
                <w:szCs w:val="20"/>
                <w:color w:val="auto"/>
              </w:rPr>
            </w:pPr>
            <w:r>
              <w:rPr>
                <w:rFonts w:ascii="Arial" w:cs="Arial" w:eastAsia="Arial" w:hAnsi="Arial"/>
                <w:sz w:val="18"/>
                <w:szCs w:val="18"/>
                <w:color w:val="auto"/>
              </w:rPr>
              <w:t>Additions for current period deliveries</w:t>
            </w: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398</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jc w:val="center"/>
              <w:ind w:left="370"/>
              <w:spacing w:after="0"/>
              <w:rPr>
                <w:sz w:val="20"/>
                <w:szCs w:val="20"/>
                <w:color w:val="auto"/>
              </w:rPr>
            </w:pPr>
            <w:r>
              <w:rPr>
                <w:rFonts w:ascii="Arial" w:cs="Arial" w:eastAsia="Arial" w:hAnsi="Arial"/>
                <w:sz w:val="18"/>
                <w:szCs w:val="18"/>
                <w:color w:val="auto"/>
                <w:w w:val="88"/>
              </w:rPr>
              <w:t>1,501</w:t>
            </w: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the warranty reserve estimate</w:t>
            </w: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88"/>
              </w:rPr>
              <w:t>1,321</w:t>
            </w:r>
          </w:p>
        </w:tc>
      </w:tr>
      <w:tr>
        <w:trPr>
          <w:trHeight w:val="230"/>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Warranty costs incurred</w:t>
            </w:r>
          </w:p>
        </w:tc>
        <w:tc>
          <w:tcPr>
            <w:tcW w:w="1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w w:val="94"/>
              </w:rPr>
              <w:t>(1,298)</w:t>
            </w:r>
          </w:p>
        </w:tc>
      </w:tr>
      <w:tr>
        <w:trPr>
          <w:trHeight w:val="248"/>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Warranty reserve - end of period</w:t>
            </w: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4,421</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4,421</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center"/>
              <w:ind w:left="370"/>
              <w:spacing w:after="0"/>
              <w:rPr>
                <w:sz w:val="20"/>
                <w:szCs w:val="20"/>
                <w:color w:val="auto"/>
              </w:rPr>
            </w:pPr>
            <w:r>
              <w:rPr>
                <w:rFonts w:ascii="Arial" w:cs="Arial" w:eastAsia="Arial" w:hAnsi="Arial"/>
                <w:sz w:val="18"/>
                <w:szCs w:val="18"/>
                <w:color w:val="auto"/>
                <w:w w:val="88"/>
              </w:rPr>
              <w:t>3,636</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Government Grants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California Energy Commission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time-to-time, the Company has entered into grant agreements with the California Energy Commission (“CEC”) for conducting studies to demonstrate the benefits of certain energy-saving technologies to utility companies and consumers in the State of California. Under such agreements, the Company is entitled to receive reimbursement of costs incurred by the Company covered by the grants.</w:t>
      </w:r>
    </w:p>
    <w:p>
      <w:pPr>
        <w:spacing w:after="0" w:line="1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and six months ended June 30, 2023, grant expense, net was $0 for both periods. For the three and six months ended June 30, 2022, grant (income) expense, net was $(169) and $4, respectively.</w:t>
      </w:r>
    </w:p>
    <w:p>
      <w:pPr>
        <w:spacing w:after="0" w:line="14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June 30, 2023 and December 31, 2022, the Company had grant receivables related to the CEC in the amounts of $245 and $263, which were included in other current assets on the unaudited condensed consolidated balance sheets, respectively. There was no deferred grant income as of June 30, 2023 and December 31, 2022. Related expenses incurred by the Company are offset against grant income earned or received from the CEC.</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Government Grants </w:t>
      </w:r>
      <w:r>
        <w:rPr>
          <w:rFonts w:ascii="Arial" w:cs="Arial" w:eastAsia="Arial" w:hAnsi="Arial"/>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Reduction Act of 2022 (“IRA”)</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August 16, 2022, President Biden signed the Inflation Reduction Act of 2022 into law. The IRA has significant economic incentives for both energy storage customers and manufacturers for projects placed in service after December 31, 2022. Starting in 2023, there are Production Tax Credits under Internal Revenue Code 45X (“PTC”), that can be claimed on battery components manufactured in the U.S. and sold to U.S. or foreign customers. These tax credits available to manufacturers include a credit for ten percent of the cost incurred to make electrode active materials in addition to credits of $35 per kWh of capacity of battery cells and $10 per kWh of capacity of battery modules. These credits are cumulative, meaning that companies will be able to claim each of the available tax credits based on the battery components produced and sold through 2029, after which the PTC will begin to gradually phase down through 2032. In June 2023, the IRS issued temporary and proposed regulations related to applicable tax credit transferability and direct pay provisions of the Inflation Reduction Act. The Company has reviewed these regulations and believe they do not have a material impact on the financial statements.</w:t>
      </w:r>
    </w:p>
    <w:p>
      <w:pPr>
        <w:spacing w:after="0" w:line="1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Since the PTC is a refundable credit (i.e., a credit with a direct-pay option available), the PTC is outside the scope of ASC 740. Therefore, the Company accounts for the PTC under a government grant model. GAAP does not address the accounting for government grants received by a business entity that are outside the scope of ASC 740. The Company’s accounting policy is to analogize to IAS 20, </w:t>
      </w:r>
      <w:r>
        <w:rPr>
          <w:rFonts w:ascii="Arial" w:cs="Arial" w:eastAsia="Arial" w:hAnsi="Arial"/>
          <w:sz w:val="16"/>
          <w:szCs w:val="16"/>
          <w:i w:val="1"/>
          <w:iCs w:val="1"/>
          <w:color w:val="auto"/>
        </w:rPr>
        <w:t>Accounting for Government Grants and Disclosure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Government Assistance, </w:t>
      </w:r>
      <w:r>
        <w:rPr>
          <w:rFonts w:ascii="Arial" w:cs="Arial" w:eastAsia="Arial" w:hAnsi="Arial"/>
          <w:sz w:val="16"/>
          <w:szCs w:val="16"/>
          <w:color w:val="auto"/>
        </w:rPr>
        <w:t>under IFRS Accounting Standards. Under IAS 20, once it is reasonably assured that the entity will comply with the conditions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grant, the grant money should be recognized on a systematic basis over the periods in which the entity recognizes the related expenses or losses for which the grant money is intended to compensate. The Company recognizes grants once it is probable that both of the following conditions will be met: (1) the Company is eligible to receive the grant and (2) the Company is able to comply with the relevant conditions of the grant.</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PTC is recorded as the applicable items are produced and sold. For the three and six months ended June 30, 2023, the Company recognized PTC of $45 and $844 as a reduction of cost of goods sold on the unaudited condensed consolidated statement of operations and comprehensive loss, respectively. As of June 30, 2023, grant receivable related to the PTC in the amount of $844 is recorded in other assets on the unaudited condensed consolidated balance sheets.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Convertible Notes Payable</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In July 2021, the Company issued $100,000 aggregate principal amount of convertible notes to Spring Creek Capital, LLC, a wholly-owned, indirect subsidiary of Koch Industries, Inc. (the “2021 Convertible Notes”). In connection with these 2021 Convertible Notes, the Company paid $3,000 to B. Riley Securities, Inc., a related party, who acted as a placement agent. Refer to Note 12, </w:t>
      </w:r>
      <w:r>
        <w:rPr>
          <w:rFonts w:ascii="Arial" w:cs="Arial" w:eastAsia="Arial" w:hAnsi="Arial"/>
          <w:sz w:val="17"/>
          <w:szCs w:val="17"/>
          <w:i w:val="1"/>
          <w:iCs w:val="1"/>
          <w:color w:val="auto"/>
        </w:rPr>
        <w:t>Borrowing</w:t>
      </w:r>
      <w:r>
        <w:rPr>
          <w:rFonts w:ascii="Arial" w:cs="Arial" w:eastAsia="Arial" w:hAnsi="Arial"/>
          <w:sz w:val="17"/>
          <w:szCs w:val="17"/>
          <w:color w:val="auto"/>
        </w:rPr>
        <w:t>s</w:t>
      </w:r>
      <w:r>
        <w:rPr>
          <w:rFonts w:ascii="Arial" w:cs="Arial" w:eastAsia="Arial" w:hAnsi="Arial"/>
          <w:sz w:val="17"/>
          <w:szCs w:val="17"/>
          <w:i w:val="1"/>
          <w:iCs w:val="1"/>
          <w:color w:val="auto"/>
        </w:rPr>
        <w:t>,</w:t>
      </w:r>
      <w:r>
        <w:rPr>
          <w:rFonts w:ascii="Arial" w:cs="Arial" w:eastAsia="Arial" w:hAnsi="Arial"/>
          <w:sz w:val="17"/>
          <w:szCs w:val="17"/>
          <w:color w:val="auto"/>
        </w:rPr>
        <w:t xml:space="preserve"> for additional information.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AFG Convertible Notes</w:t>
      </w:r>
    </w:p>
    <w:p>
      <w:pPr>
        <w:spacing w:after="0" w:line="19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In January 2023, the Company issued and sold $13,750 of 26.5% Convertible Senior PIK Notes due 2026 (“AFG Convertible Notes”) to Great American Insurance Company, Ardsley Partners Renewable Energy, LP, CCI SPV III, LP, Denman Street LLC, John B. Berding Irrevocable Children’s Trust, John B. Berding, and AE Convert, LLC, a Delaware limited liability company managed by Russell Stidolph, a related party as Mr. Stidolph is a director of the Company (together, the “Purchasers”). In connection with the issuance and sale of the AFG Convertible Notes, the Company entered into an investment agreement (the “Investment Agreement”) with the Purchasers. Refer to Note 12, </w:t>
      </w:r>
      <w:r>
        <w:rPr>
          <w:rFonts w:ascii="Arial" w:cs="Arial" w:eastAsia="Arial" w:hAnsi="Arial"/>
          <w:sz w:val="16"/>
          <w:szCs w:val="16"/>
          <w:i w:val="1"/>
          <w:iCs w:val="1"/>
          <w:color w:val="auto"/>
        </w:rPr>
        <w:t>Borrowing</w:t>
      </w:r>
      <w:r>
        <w:rPr>
          <w:rFonts w:ascii="Arial" w:cs="Arial" w:eastAsia="Arial" w:hAnsi="Arial"/>
          <w:sz w:val="16"/>
          <w:szCs w:val="16"/>
          <w:color w:val="auto"/>
        </w:rPr>
        <w:t>s</w:t>
      </w:r>
      <w:r>
        <w:rPr>
          <w:rFonts w:ascii="Arial" w:cs="Arial" w:eastAsia="Arial" w:hAnsi="Arial"/>
          <w:sz w:val="16"/>
          <w:szCs w:val="16"/>
          <w:i w:val="1"/>
          <w:iCs w:val="1"/>
          <w:color w:val="auto"/>
        </w:rPr>
        <w:t>,</w:t>
      </w:r>
      <w:r>
        <w:rPr>
          <w:rFonts w:ascii="Arial" w:cs="Arial" w:eastAsia="Arial" w:hAnsi="Arial"/>
          <w:sz w:val="16"/>
          <w:szCs w:val="16"/>
          <w:color w:val="auto"/>
        </w:rPr>
        <w:t xml:space="preserve"> for additional information.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 Liability</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The Company has issued private placement warrants to various counterparties since the initial public offering (“IPO”), some of which are exercisable and outstanding as of June 30, 2023 and December 31, 2022. Refer to Note 13, </w:t>
      </w:r>
      <w:r>
        <w:rPr>
          <w:rFonts w:ascii="Arial" w:cs="Arial" w:eastAsia="Arial" w:hAnsi="Arial"/>
          <w:sz w:val="17"/>
          <w:szCs w:val="17"/>
          <w:i w:val="1"/>
          <w:iCs w:val="1"/>
          <w:color w:val="auto"/>
        </w:rPr>
        <w:t>Warrants Liability - Related Party,</w:t>
      </w:r>
      <w:r>
        <w:rPr>
          <w:rFonts w:ascii="Arial" w:cs="Arial" w:eastAsia="Arial" w:hAnsi="Arial"/>
          <w:sz w:val="17"/>
          <w:szCs w:val="17"/>
          <w:color w:val="auto"/>
        </w:rPr>
        <w:t xml:space="preserve"> for additional information.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 Related Party Transactions </w:t>
      </w:r>
      <w:r>
        <w:rPr>
          <w:rFonts w:ascii="Arial" w:cs="Arial" w:eastAsia="Arial" w:hAnsi="Arial"/>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In April 2023 and May 2023, respectively, the Company issued common stock and private placement warrants (the “April 2023 Transaction” and “May 2023 Transaction”, respectively). Refer to Note 18, </w:t>
      </w:r>
      <w:r>
        <w:rPr>
          <w:rFonts w:ascii="Arial" w:cs="Arial" w:eastAsia="Arial" w:hAnsi="Arial"/>
          <w:sz w:val="17"/>
          <w:szCs w:val="17"/>
          <w:i w:val="1"/>
          <w:iCs w:val="1"/>
          <w:color w:val="auto"/>
        </w:rPr>
        <w:t>Shareholders’ Equity</w:t>
      </w:r>
      <w:r>
        <w:rPr>
          <w:rFonts w:ascii="Arial" w:cs="Arial" w:eastAsia="Arial" w:hAnsi="Arial"/>
          <w:sz w:val="17"/>
          <w:szCs w:val="17"/>
          <w:color w:val="auto"/>
        </w:rPr>
        <w:t xml:space="preserve"> and Note 13, </w:t>
      </w:r>
      <w:r>
        <w:rPr>
          <w:rFonts w:ascii="Arial" w:cs="Arial" w:eastAsia="Arial" w:hAnsi="Arial"/>
          <w:sz w:val="17"/>
          <w:szCs w:val="17"/>
          <w:i w:val="1"/>
          <w:iCs w:val="1"/>
          <w:color w:val="auto"/>
        </w:rPr>
        <w:t>Warrants Liability - Related Party</w:t>
      </w:r>
      <w:r>
        <w:rPr>
          <w:rFonts w:ascii="Arial" w:cs="Arial" w:eastAsia="Arial" w:hAnsi="Arial"/>
          <w:sz w:val="17"/>
          <w:szCs w:val="17"/>
          <w:color w:val="auto"/>
        </w:rPr>
        <w:t xml:space="preserve"> for additional information.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Standby Equity Purchase Agreement</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On April 28, 2022, the Company entered into the SEPA. Pursuant to the SEPA, the Company has the right, but not the obligation, to sell to Yorkville shares of its common stock at the Company’s request. See Note 12, </w:t>
      </w:r>
      <w:r>
        <w:rPr>
          <w:rFonts w:ascii="Arial" w:cs="Arial" w:eastAsia="Arial" w:hAnsi="Arial"/>
          <w:sz w:val="18"/>
          <w:szCs w:val="18"/>
          <w:i w:val="1"/>
          <w:iCs w:val="1"/>
          <w:color w:val="auto"/>
        </w:rPr>
        <w:t>Borrowings</w:t>
      </w:r>
      <w:r>
        <w:rPr>
          <w:rFonts w:ascii="Arial" w:cs="Arial" w:eastAsia="Arial" w:hAnsi="Arial"/>
          <w:sz w:val="18"/>
          <w:szCs w:val="18"/>
          <w:color w:val="auto"/>
        </w:rPr>
        <w:t xml:space="preserve"> for pre-advance loans in form of convertible promissory notes and Note 18, </w:t>
      </w:r>
      <w:r>
        <w:rPr>
          <w:rFonts w:ascii="Arial" w:cs="Arial" w:eastAsia="Arial" w:hAnsi="Arial"/>
          <w:sz w:val="18"/>
          <w:szCs w:val="18"/>
          <w:i w:val="1"/>
          <w:iCs w:val="1"/>
          <w:color w:val="auto"/>
        </w:rPr>
        <w:t xml:space="preserve">Shareholders' Deficit </w:t>
      </w:r>
      <w:r>
        <w:rPr>
          <w:rFonts w:ascii="Arial" w:cs="Arial" w:eastAsia="Arial" w:hAnsi="Arial"/>
          <w:sz w:val="18"/>
          <w:szCs w:val="18"/>
          <w:color w:val="auto"/>
        </w:rPr>
        <w:t>for additional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Borrowings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debt obligations at carrying value consist of the following related and third-party borrowings: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00" w:type="dxa"/>
            <w:vAlign w:val="bottom"/>
            <w:gridSpan w:val="5"/>
          </w:tcPr>
          <w:p>
            <w:pPr>
              <w:ind w:left="1180"/>
              <w:spacing w:after="0"/>
              <w:rPr>
                <w:sz w:val="20"/>
                <w:szCs w:val="20"/>
                <w:color w:val="auto"/>
              </w:rPr>
            </w:pPr>
            <w:r>
              <w:rPr>
                <w:rFonts w:ascii="Arial" w:cs="Arial" w:eastAsia="Arial" w:hAnsi="Arial"/>
                <w:sz w:val="18"/>
                <w:szCs w:val="18"/>
                <w:b w:val="1"/>
                <w:bCs w:val="1"/>
                <w:color w:val="auto"/>
              </w:rPr>
              <w:t>June 30, 2023</w:t>
            </w:r>
          </w:p>
        </w:tc>
        <w:tc>
          <w:tcPr>
            <w:tcW w:w="220" w:type="dxa"/>
            <w:vAlign w:val="bottom"/>
          </w:tcPr>
          <w:p>
            <w:pPr>
              <w:spacing w:after="0"/>
              <w:rPr>
                <w:sz w:val="20"/>
                <w:szCs w:val="20"/>
                <w:color w:val="auto"/>
              </w:rPr>
            </w:pPr>
          </w:p>
        </w:tc>
        <w:tc>
          <w:tcPr>
            <w:tcW w:w="318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December 31, 2022</w:t>
            </w:r>
          </w:p>
        </w:tc>
      </w:tr>
      <w:tr>
        <w:trPr>
          <w:trHeight w:val="27"/>
        </w:trPr>
        <w:tc>
          <w:tcPr>
            <w:tcW w:w="4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69"/>
        </w:trPr>
        <w:tc>
          <w:tcPr>
            <w:tcW w:w="4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center"/>
              <w:ind w:right="340"/>
              <w:spacing w:after="0" w:line="169" w:lineRule="exact"/>
              <w:rPr>
                <w:sz w:val="20"/>
                <w:szCs w:val="20"/>
                <w:color w:val="auto"/>
              </w:rPr>
            </w:pPr>
            <w:r>
              <w:rPr>
                <w:rFonts w:ascii="Arial" w:cs="Arial" w:eastAsia="Arial" w:hAnsi="Arial"/>
                <w:sz w:val="18"/>
                <w:szCs w:val="18"/>
                <w:b w:val="1"/>
                <w:bCs w:val="1"/>
                <w:color w:val="auto"/>
                <w:w w:val="93"/>
              </w:rPr>
              <w:t>Borrowing</w:t>
            </w: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1"/>
              </w:rPr>
              <w:t>Borrowing</w:t>
            </w: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43"/>
        </w:trPr>
        <w:tc>
          <w:tcPr>
            <w:tcW w:w="4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Outstanding</w:t>
            </w:r>
          </w:p>
        </w:tc>
        <w:tc>
          <w:tcPr>
            <w:tcW w:w="140" w:type="dxa"/>
            <w:vAlign w:val="bottom"/>
          </w:tcPr>
          <w:p>
            <w:pPr>
              <w:spacing w:after="0"/>
              <w:rPr>
                <w:sz w:val="21"/>
                <w:szCs w:val="21"/>
                <w:color w:val="auto"/>
              </w:rPr>
            </w:pPr>
          </w:p>
        </w:tc>
        <w:tc>
          <w:tcPr>
            <w:tcW w:w="1620" w:type="dxa"/>
            <w:vAlign w:val="bottom"/>
            <w:gridSpan w:val="2"/>
          </w:tcPr>
          <w:p>
            <w:pPr>
              <w:ind w:left="40"/>
              <w:spacing w:after="0"/>
              <w:rPr>
                <w:sz w:val="20"/>
                <w:szCs w:val="20"/>
                <w:color w:val="auto"/>
              </w:rPr>
            </w:pPr>
            <w:r>
              <w:rPr>
                <w:rFonts w:ascii="Arial" w:cs="Arial" w:eastAsia="Arial" w:hAnsi="Arial"/>
                <w:sz w:val="18"/>
                <w:szCs w:val="18"/>
                <w:b w:val="1"/>
                <w:bCs w:val="1"/>
                <w:color w:val="auto"/>
              </w:rPr>
              <w:t>Carrying Value*</w:t>
            </w:r>
          </w:p>
        </w:tc>
        <w:tc>
          <w:tcPr>
            <w:tcW w:w="220" w:type="dxa"/>
            <w:vAlign w:val="bottom"/>
          </w:tcPr>
          <w:p>
            <w:pPr>
              <w:spacing w:after="0"/>
              <w:rPr>
                <w:sz w:val="21"/>
                <w:szCs w:val="21"/>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Outstanding</w:t>
            </w:r>
          </w:p>
        </w:tc>
        <w:tc>
          <w:tcPr>
            <w:tcW w:w="140" w:type="dxa"/>
            <w:vAlign w:val="bottom"/>
          </w:tcPr>
          <w:p>
            <w:pPr>
              <w:spacing w:after="0"/>
              <w:rPr>
                <w:sz w:val="21"/>
                <w:szCs w:val="21"/>
                <w:color w:val="auto"/>
              </w:rPr>
            </w:pPr>
          </w:p>
        </w:tc>
        <w:tc>
          <w:tcPr>
            <w:tcW w:w="1500" w:type="dxa"/>
            <w:vAlign w:val="bottom"/>
          </w:tcPr>
          <w:p>
            <w:pPr>
              <w:jc w:val="right"/>
              <w:ind w:right="90"/>
              <w:spacing w:after="0"/>
              <w:rPr>
                <w:sz w:val="20"/>
                <w:szCs w:val="20"/>
                <w:color w:val="auto"/>
              </w:rPr>
            </w:pPr>
            <w:r>
              <w:rPr>
                <w:rFonts w:ascii="Arial" w:cs="Arial" w:eastAsia="Arial" w:hAnsi="Arial"/>
                <w:sz w:val="18"/>
                <w:szCs w:val="18"/>
                <w:b w:val="1"/>
                <w:bCs w:val="1"/>
                <w:color w:val="auto"/>
                <w:w w:val="96"/>
              </w:rPr>
              <w:t>Carrying Value*</w:t>
            </w: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Convertible Notes Payable - due June 2026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82,950</w:t>
            </w: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Senior Secured Term Loan - due March 2026</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83,503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81,616</w:t>
            </w: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AFG Convertible Note - due June 2026</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Equipment financing facility - due April 2025</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7,196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7,196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8,577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8,577</w:t>
            </w: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Yorkville Convertible Promissory Note - due June 2023</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w:t>
            </w:r>
          </w:p>
        </w:tc>
      </w:tr>
      <w:tr>
        <w:trPr>
          <w:trHeight w:val="223"/>
        </w:trPr>
        <w:tc>
          <w:tcPr>
            <w:tcW w:w="4160" w:type="dxa"/>
            <w:vAlign w:val="bottom"/>
          </w:tcPr>
          <w:p>
            <w:pPr>
              <w:ind w:left="120"/>
              <w:spacing w:after="0"/>
              <w:rPr>
                <w:sz w:val="20"/>
                <w:szCs w:val="20"/>
                <w:color w:val="auto"/>
              </w:rPr>
            </w:pPr>
            <w:r>
              <w:rPr>
                <w:rFonts w:ascii="Arial" w:cs="Arial" w:eastAsia="Arial" w:hAnsi="Arial"/>
                <w:sz w:val="18"/>
                <w:szCs w:val="18"/>
                <w:color w:val="auto"/>
              </w:rPr>
              <w:t>Total borrowings</w:t>
            </w:r>
          </w:p>
        </w:tc>
        <w:tc>
          <w:tcPr>
            <w:tcW w:w="2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235,028</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232,614</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219,744</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175,831</w:t>
            </w:r>
          </w:p>
        </w:tc>
      </w:tr>
      <w:tr>
        <w:trPr>
          <w:trHeight w:val="229"/>
        </w:trPr>
        <w:tc>
          <w:tcPr>
            <w:tcW w:w="4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Current portion</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5,560</w:t>
            </w:r>
          </w:p>
        </w:tc>
      </w:tr>
      <w:tr>
        <w:trPr>
          <w:trHeight w:val="223"/>
        </w:trPr>
        <w:tc>
          <w:tcPr>
            <w:tcW w:w="4160" w:type="dxa"/>
            <w:vAlign w:val="bottom"/>
          </w:tcPr>
          <w:p>
            <w:pPr>
              <w:ind w:left="300"/>
              <w:spacing w:after="0"/>
              <w:rPr>
                <w:sz w:val="20"/>
                <w:szCs w:val="20"/>
                <w:color w:val="auto"/>
              </w:rPr>
            </w:pPr>
            <w:r>
              <w:rPr>
                <w:rFonts w:ascii="Arial" w:cs="Arial" w:eastAsia="Arial" w:hAnsi="Arial"/>
                <w:sz w:val="18"/>
                <w:szCs w:val="18"/>
                <w:color w:val="auto"/>
              </w:rPr>
              <w:t>Total borrowings, non-current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231,935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229,521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214,184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170,271</w:t>
            </w:r>
          </w:p>
        </w:tc>
      </w:tr>
      <w:tr>
        <w:trPr>
          <w:trHeight w:val="21"/>
        </w:trPr>
        <w:tc>
          <w:tcPr>
            <w:tcW w:w="4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t>
      </w:r>
      <w:r>
        <w:rPr>
          <w:rFonts w:ascii="Arial" w:cs="Arial" w:eastAsia="Arial" w:hAnsi="Arial"/>
          <w:sz w:val="14"/>
          <w:szCs w:val="14"/>
          <w:color w:val="auto"/>
        </w:rPr>
        <w:t>Carrying value includes unamortized deferred financing costs, unamortized discounts, and fair value of embedded derivative liabilities.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Yorkville Convertible Promissory Notes - Related Party</w:t>
      </w:r>
    </w:p>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29, 2022, the Company issued and sold a convertible promissory note (the “December 2022 Promissory Note”) with an aggregate principal amount of $2,000 in a private placement to Yorkville under a second supplemental agreement to the SEPA (the “Second Supplemental Agreement”). In January 2023, Yorkville delivered Investor Notices requiring the Company to issue and sell an aggregate of 1,953,612 shares of common stock to Yorkville to offset all outstanding amounts owed to Yorkville under the December 2022 Promissory Note.</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1, 2023, the Company issued a convertible promissory note (the “February 2023 Promissory Note”) with an aggregate principal amount of $5,000 in a private placement to Yorkville under the Second Supplemental Agreement. The fair value of the February 2023 Promissory Note at issuance was $5,887, which was greater than the proceeds received. As such, the Company recorded the excess of fair value of the February 2023 Promissory Note over the proceeds received as interest expense in the amount of $987, which is reflected in the unaudited condensed consolidated statements of operations and comprehensive loss.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Borrowings </w:t>
      </w:r>
      <w:r>
        <w:rPr>
          <w:rFonts w:ascii="Arial" w:cs="Arial" w:eastAsia="Arial" w:hAnsi="Arial"/>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February 2023, Yorkville delivered Investor Notices requiring the Company to issue and sell an aggregate of 3,879,706 shares of common stock to Yorkville, in order to offset all outstanding amounts owed to Yorkville under the February 2023 Promissory Note.</w:t>
      </w:r>
    </w:p>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17, 2023, the Company issued a convertible promissory note (the “March 2023 Promissory Note”) with an aggregate principal amount of $15,000 in a private placement to Yorkville under a third supplemental agreement to the SEPA. The fair value of the March 2023 Promissory Note at issuance was $20,665, which was greater than the proceeds received. As such, the Company recorded the excess of fair value of the March 2023 Promissory Note over the proceeds received as interest expense in the amount of $5,965, which is reflected in the unaudited condensed consolidated statements of operations and comprehensive loss.</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and April 2023, Yorkville delivered Investor Notices requiring the Company to issue and sell an aggregate of 8,641,918 shares of common stock to Yorkville, in order to offset all outstanding amounts owed to Yorkville under the March 2023 Promissory Note.</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10, 2023, the Company issued a convertible promissory note (the “April 2023 Promissory Note”) with an aggregate principal amount of $15,000 in a private placement to Yorkville under a fourth supplemental agreement to the SEPA. The fair value of the April 2023 Promissory Note at issuance was $25,319, which was greater than the proceeds received. As such, the Company recorded the excess of fair value of the April 2023 Promissory Note over the proceeds received as interest expense in the amount of $10,619, which is reflected in the unaudited condensed consolidated statements of operations and comprehensive loss.</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second quarter of 2023, Yorkville delivered Investor Notices requiring the Company to issue and sell an aggregate of 8,471,793 shares of common stock to Yorkville, in order to offset all outstanding amounts owed to Yorkville under the April 2023 Promissory Note.</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recognized a loss on debt extinguishment from the issuance of common stock from the Yorkville Convertible Promissory Notes of $1,876 and $3,510 for the three and six months ended at June 30, 2023, respectively which is reflected in the unaudited condensed consolidated statements of operations and comprehensive loss.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Embedded derivatives- Yorkville Convertible Promissory Notes - Related </w:t>
      </w:r>
      <w:r>
        <w:rPr>
          <w:rFonts w:ascii="Arial" w:cs="Arial" w:eastAsia="Arial" w:hAnsi="Arial"/>
          <w:sz w:val="18"/>
          <w:szCs w:val="18"/>
          <w:color w:val="auto"/>
        </w:rPr>
        <w:t>party</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conversion feature for each of the Yorkville Convertible Promissory Notes discussed above did not qualify for the scope exception to derivative accounting, therefore bifurcation was required for each issuance. Upon extinguishment of each Yorkville Promissory Note, the embedded derivatives were adjusted to fair value. This remeasurement resulted in net gains of $8,818 and $6,922 for the three and six months ended June 30, 2023, respectively, which is included in (loss) gain on change in fair value of derivatives - related party on the unaudited condensed consolidated statements of operations and comprehensive loss.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At June 30, 2023, there were no outstanding Yorkville Convertible Notes.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Convertible Notes Payable – Related Party</w:t>
      </w:r>
    </w:p>
    <w:p>
      <w:pPr>
        <w:spacing w:after="0" w:line="14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July 6, 2021, the Company entered into an investment agreement with Spring Creek Capital, LLC, a wholly-owned, indirect subsidiary of Koch Industries, Inc. The investment agreement provides for the issuance and sale to Koch Industries of the 2021 Convertible Notes in the aggregate principal amount of $100,000. The maturity date of the 2021 Convertible Notes is June 30, 2026, subject to earlier conversion, redemption, or repurchase.</w:t>
      </w:r>
    </w:p>
    <w:p>
      <w:pPr>
        <w:spacing w:after="0" w:line="6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See Note 14,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for the assumptions used to determine the fair value of the embedded derivative as of June 30, 2023 and as of December 31, 2022. As of June 30, 2023 and December 31, 2022, the fair value of the embedded conversion feature was $3,976 and $918, respectively. The (loss) gain from the change in fair value of the embedded derivative conversion feature for the three months ended June 30, 2023 and 2022 amounted to $(2,176) and $3,978 and for the six months ended June 30, 2023 and 2022 amounted to $(2,942) and $11,673, respectively.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Borrowings </w:t>
      </w:r>
      <w:r>
        <w:rPr>
          <w:rFonts w:ascii="Arial" w:cs="Arial" w:eastAsia="Arial" w:hAnsi="Arial"/>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gridSpan w:val="4"/>
          </w:tcPr>
          <w:p>
            <w:pPr>
              <w:spacing w:after="0"/>
              <w:rPr>
                <w:sz w:val="20"/>
                <w:szCs w:val="20"/>
                <w:color w:val="auto"/>
              </w:rPr>
            </w:pPr>
            <w:r>
              <w:rPr>
                <w:rFonts w:ascii="Arial" w:cs="Arial" w:eastAsia="Arial" w:hAnsi="Arial"/>
                <w:sz w:val="18"/>
                <w:szCs w:val="18"/>
                <w:color w:val="auto"/>
                <w:w w:val="92"/>
              </w:rPr>
              <w:t>Interest expense recognized on the 2021 Convertible Notes is as follows:</w:t>
            </w: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32"/>
        </w:trPr>
        <w:tc>
          <w:tcPr>
            <w:tcW w:w="3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6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 June 30,</w:t>
            </w:r>
          </w:p>
        </w:tc>
        <w:tc>
          <w:tcPr>
            <w:tcW w:w="400" w:type="dxa"/>
            <w:vAlign w:val="bottom"/>
          </w:tcPr>
          <w:p>
            <w:pPr>
              <w:spacing w:after="0"/>
              <w:rPr>
                <w:sz w:val="24"/>
                <w:szCs w:val="24"/>
                <w:color w:val="auto"/>
              </w:rPr>
            </w:pPr>
          </w:p>
        </w:tc>
        <w:tc>
          <w:tcPr>
            <w:tcW w:w="324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354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r>
      <w:tr>
        <w:trPr>
          <w:trHeight w:val="223"/>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interest expense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w:t>
            </w: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Amortization of debt discount</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2,457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1,467</w:t>
            </w: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debt issuance costs</w:t>
            </w:r>
          </w:p>
        </w:tc>
        <w:tc>
          <w:tcPr>
            <w:tcW w:w="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23"/>
        </w:trPr>
        <w:tc>
          <w:tcPr>
            <w:tcW w:w="3540" w:type="dxa"/>
            <w:vAlign w:val="bottom"/>
          </w:tcPr>
          <w:p>
            <w:pPr>
              <w:ind w:left="20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5,970</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4,731</w:t>
            </w:r>
          </w:p>
        </w:tc>
      </w:tr>
      <w:tr>
        <w:trPr>
          <w:trHeight w:val="20"/>
        </w:trPr>
        <w:tc>
          <w:tcPr>
            <w:tcW w:w="3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balances for the 2021 Convertible Notes are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40" w:type="dxa"/>
            <w:vAlign w:val="bottom"/>
            <w:gridSpan w:val="2"/>
          </w:tcPr>
          <w:p>
            <w:pPr>
              <w:ind w:left="340"/>
              <w:spacing w:after="0"/>
              <w:rPr>
                <w:sz w:val="20"/>
                <w:szCs w:val="20"/>
                <w:color w:val="auto"/>
              </w:rPr>
            </w:pPr>
            <w:r>
              <w:rPr>
                <w:rFonts w:ascii="Arial" w:cs="Arial" w:eastAsia="Arial" w:hAnsi="Arial"/>
                <w:sz w:val="16"/>
                <w:szCs w:val="16"/>
                <w:b w:val="1"/>
                <w:bCs w:val="1"/>
                <w:color w:val="auto"/>
              </w:rPr>
              <w:t>June 30, 2023</w:t>
            </w:r>
          </w:p>
        </w:tc>
        <w:tc>
          <w:tcPr>
            <w:tcW w:w="260" w:type="dxa"/>
            <w:vAlign w:val="bottom"/>
          </w:tcPr>
          <w:p>
            <w:pPr>
              <w:spacing w:after="0"/>
              <w:rPr>
                <w:sz w:val="18"/>
                <w:szCs w:val="18"/>
                <w:color w:val="auto"/>
              </w:rPr>
            </w:pPr>
          </w:p>
        </w:tc>
        <w:tc>
          <w:tcPr>
            <w:tcW w:w="1860" w:type="dxa"/>
            <w:vAlign w:val="bottom"/>
          </w:tcPr>
          <w:p>
            <w:pPr>
              <w:jc w:val="right"/>
              <w:ind w:right="312"/>
              <w:spacing w:after="0"/>
              <w:rPr>
                <w:sz w:val="20"/>
                <w:szCs w:val="20"/>
                <w:color w:val="auto"/>
              </w:rPr>
            </w:pPr>
            <w:r>
              <w:rPr>
                <w:rFonts w:ascii="Arial" w:cs="Arial" w:eastAsia="Arial" w:hAnsi="Arial"/>
                <w:sz w:val="16"/>
                <w:szCs w:val="16"/>
                <w:b w:val="1"/>
                <w:bCs w:val="1"/>
                <w:color w:val="auto"/>
                <w:w w:val="99"/>
              </w:rPr>
              <w:t>December 31, 2022</w:t>
            </w:r>
          </w:p>
        </w:tc>
      </w:tr>
      <w:tr>
        <w:trPr>
          <w:trHeight w:val="226"/>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Principal</w:t>
            </w: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112,442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109,167</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Unamortized debt discount</w:t>
            </w:r>
          </w:p>
        </w:tc>
        <w:tc>
          <w:tcPr>
            <w:tcW w:w="4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(22,392)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(24,733)</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w:t>
            </w:r>
          </w:p>
        </w:tc>
        <w:tc>
          <w:tcPr>
            <w:tcW w:w="4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Embedded conversion feature</w:t>
            </w:r>
          </w:p>
        </w:tc>
        <w:tc>
          <w:tcPr>
            <w:tcW w:w="4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w:t>
            </w:r>
          </w:p>
        </w:tc>
      </w:tr>
      <w:tr>
        <w:trPr>
          <w:trHeight w:val="248"/>
        </w:trPr>
        <w:tc>
          <w:tcPr>
            <w:tcW w:w="6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Aggregate carrying value</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82,950</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obligated to repay all contractual interest attributable to the 2021 Convertible Notes in-kind in accordance with the terms under the Senior Secured Term Loan. Therefore, as of June 30, 2023, and December 31, 2022, interest payable attributable to the 2021 Convertible Notes was $0 and $0,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AFG Convertible Notes - Related Party</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18, 2023, the Company entered into the Investment Agreement with the Purchasers relating to the issuance and sale to the Purchasers of $13,750 in aggregate principal amount of the Company’s AFG Convertible Notes.</w:t>
      </w:r>
    </w:p>
    <w:p>
      <w:pPr>
        <w:spacing w:after="0" w:line="8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Contractual Interest Rates </w:t>
      </w:r>
      <w:r>
        <w:rPr>
          <w:rFonts w:ascii="Arial" w:cs="Arial" w:eastAsia="Arial" w:hAnsi="Arial"/>
          <w:sz w:val="16"/>
          <w:szCs w:val="16"/>
          <w:color w:val="auto"/>
        </w:rPr>
        <w:t>- The AFG Convertible Notes will bear interest at a rate of 26.5% per annum, which shall be entirely paid-in-kind. All interest</w:t>
      </w:r>
      <w:r>
        <w:rPr>
          <w:rFonts w:ascii="Arial" w:cs="Arial" w:eastAsia="Arial" w:hAnsi="Arial"/>
          <w:sz w:val="16"/>
          <w:szCs w:val="16"/>
          <w:b w:val="1"/>
          <w:bCs w:val="1"/>
          <w:color w:val="auto"/>
        </w:rPr>
        <w:t xml:space="preserve"> </w:t>
      </w:r>
      <w:r>
        <w:rPr>
          <w:rFonts w:ascii="Arial" w:cs="Arial" w:eastAsia="Arial" w:hAnsi="Arial"/>
          <w:sz w:val="16"/>
          <w:szCs w:val="16"/>
          <w:color w:val="auto"/>
        </w:rPr>
        <w:t>payments shall be made through an increase in the principal amount of the outstanding AFG Convertible Notes or through the issuance of additional notes (such interest is referred to herein as “PIK Interest”). Interest on the AFG Convertible Notes is payable semi-annually in arrears on June 30 and December 30, commencing on June 30, 2023. It is expected that the Notes will mature on June 30, 2026, subject to earlier conversion, redemption or repurchase.</w:t>
      </w:r>
    </w:p>
    <w:p>
      <w:pPr>
        <w:spacing w:after="0" w:line="83"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Conversion Rights </w:t>
      </w:r>
      <w:r>
        <w:rPr>
          <w:rFonts w:ascii="Arial" w:cs="Arial" w:eastAsia="Arial" w:hAnsi="Arial"/>
          <w:sz w:val="16"/>
          <w:szCs w:val="16"/>
          <w:color w:val="auto"/>
        </w:rPr>
        <w:t>- The AFG Convertible Notes are convertible at the option of the holder (the “Conversion Option”) at any time until the business day</w:t>
      </w:r>
      <w:r>
        <w:rPr>
          <w:rFonts w:ascii="Arial" w:cs="Arial" w:eastAsia="Arial" w:hAnsi="Arial"/>
          <w:sz w:val="16"/>
          <w:szCs w:val="16"/>
          <w:b w:val="1"/>
          <w:bCs w:val="1"/>
          <w:color w:val="auto"/>
        </w:rPr>
        <w:t xml:space="preserve"> </w:t>
      </w:r>
      <w:r>
        <w:rPr>
          <w:rFonts w:ascii="Arial" w:cs="Arial" w:eastAsia="Arial" w:hAnsi="Arial"/>
          <w:sz w:val="16"/>
          <w:szCs w:val="16"/>
          <w:color w:val="auto"/>
        </w:rPr>
        <w:t>prior to the maturity date, including in connection with a redemption by the Company. The AFG Convertible Notes will be convertible into shares of the Company’s common stock, par value $0.0001 per share, based on an initial conversion price of approximately $1.67 per share subject to customary anti-dilution and other adjustments. The Company has the right to settle conversions in shares of common stock, cash, or any combination thereof.</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Optional Redemption </w:t>
      </w:r>
      <w:r>
        <w:rPr>
          <w:rFonts w:ascii="Arial" w:cs="Arial" w:eastAsia="Arial" w:hAnsi="Arial"/>
          <w:sz w:val="18"/>
          <w:szCs w:val="18"/>
          <w:color w:val="auto"/>
        </w:rPr>
        <w:t>- On or after June 30, 2024, provided that the Company has obtained stockholder approval, the AFG Convertible Notes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redeemable by the Company in the event that the closing sale price of the Company’s common stock has been at least 130% of the conversion price then in effect for at least 20 trading days (whether or not consecutive) during any 30 consecutive trading day period ending on, and including, the trading day immediately preceding the date on which the Company provides the redemption notice. The redemption price shall be equal to the then current principal amount of the AFG Convertible Notes (inclusive of all PIK Interest), plus the aggregate amount of all interest payments on the AFG Convertible Notes that the holders of the AFG Convertible Notes to be redeemed would have been entitled to receive had the AFG Convertible Notes remained outstanding to the maturity date.</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Borrowings </w:t>
      </w:r>
      <w:r>
        <w:rPr>
          <w:rFonts w:ascii="Arial" w:cs="Arial" w:eastAsia="Arial" w:hAnsi="Arial"/>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Contingent Redemption </w:t>
      </w:r>
      <w:r>
        <w:rPr>
          <w:rFonts w:ascii="Arial" w:cs="Arial" w:eastAsia="Arial" w:hAnsi="Arial"/>
          <w:sz w:val="17"/>
          <w:szCs w:val="17"/>
          <w:color w:val="auto"/>
        </w:rPr>
        <w:t>- With certain exceptions, upon the occurrence of certain events and fundamental changes described in the AFG Convertible</w:t>
      </w:r>
      <w:r>
        <w:rPr>
          <w:rFonts w:ascii="Arial" w:cs="Arial" w:eastAsia="Arial" w:hAnsi="Arial"/>
          <w:sz w:val="17"/>
          <w:szCs w:val="17"/>
          <w:b w:val="1"/>
          <w:bCs w:val="1"/>
          <w:color w:val="auto"/>
        </w:rPr>
        <w:t xml:space="preserve"> </w:t>
      </w:r>
      <w:r>
        <w:rPr>
          <w:rFonts w:ascii="Arial" w:cs="Arial" w:eastAsia="Arial" w:hAnsi="Arial"/>
          <w:sz w:val="17"/>
          <w:szCs w:val="17"/>
          <w:color w:val="auto"/>
        </w:rPr>
        <w:t>Notes Agreement, the holders of the AFG Convertible Notes may require that the Company repurchase all or part of the principal amount of the AFG Convertible Notes at a purchase price of 100% of the principal amount of the AFG Convertible Notes, plus accrued and unpaid interest.</w:t>
      </w:r>
    </w:p>
    <w:p>
      <w:pPr>
        <w:spacing w:after="0" w:line="7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Embedded Derivative </w:t>
      </w:r>
      <w:r>
        <w:rPr>
          <w:rFonts w:ascii="Arial" w:cs="Arial" w:eastAsia="Arial" w:hAnsi="Arial"/>
          <w:sz w:val="17"/>
          <w:szCs w:val="17"/>
          <w:color w:val="auto"/>
        </w:rPr>
        <w:t>- The Conversion Option includes an exercise contingency, which requires the Company to obtain shareholder approval for</w:t>
      </w:r>
      <w:r>
        <w:rPr>
          <w:rFonts w:ascii="Arial" w:cs="Arial" w:eastAsia="Arial" w:hAnsi="Arial"/>
          <w:sz w:val="17"/>
          <w:szCs w:val="17"/>
          <w:b w:val="1"/>
          <w:bCs w:val="1"/>
          <w:color w:val="auto"/>
        </w:rPr>
        <w:t xml:space="preserve"> </w:t>
      </w:r>
      <w:r>
        <w:rPr>
          <w:rFonts w:ascii="Arial" w:cs="Arial" w:eastAsia="Arial" w:hAnsi="Arial"/>
          <w:sz w:val="17"/>
          <w:szCs w:val="17"/>
          <w:color w:val="auto"/>
        </w:rPr>
        <w:t>conversions subject to the Exchange Cap. If shareholder approval is not obtained, following commercially reasonable efforts, the Company will be required to settle the conversion in excess of the Exchange Cap in cash. Since settlement in cash may be required in absence of shareholder approval, the embedded conversion feature fails the equity classification guidance in ASC 815 and is thus precluded from being classified in equity. Therefore, the embedded conversion feature is required to be bifurcated from the AFG Convertible Notes and accounted for at fair value at each reporting date, with changes in fair value recognized on the unaudited condensed consolidated statements of operations and comprehensive loss.</w:t>
      </w:r>
    </w:p>
    <w:p>
      <w:pPr>
        <w:spacing w:after="0" w:line="1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fair value of the embedded derivative upon issuance was $6,451. The embedded derivative is presented on the unaudited condensed consolidated balance sheet as a component of Convertible notes payable - related party. The loss from the change in fair value of the embedded derivative for the three and six months ended June 30, 2023 amounted to $22,068 and $32,340, respectively. See Note 14,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for the assumptions used to determine the fair value of the embedded derivative as of June 30, 2023 and as of the date of issuance.</w:t>
      </w:r>
    </w:p>
    <w:p>
      <w:pPr>
        <w:spacing w:after="0" w:line="10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fair value of the AFG Convertible Notes at issuance was $16,623, which was greater than the proceeds received. The Company recorded the difference of $2,873 as interest expense on the unaudited condensed consolidated statement of operations and comprehensive loss.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recognized on the AFG Convertible Notes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Three Months Ended</w:t>
            </w:r>
          </w:p>
        </w:tc>
        <w:tc>
          <w:tcPr>
            <w:tcW w:w="300" w:type="dxa"/>
            <w:vAlign w:val="bottom"/>
          </w:tcPr>
          <w:p>
            <w:pPr>
              <w:spacing w:after="0"/>
              <w:rPr>
                <w:sz w:val="18"/>
                <w:szCs w:val="18"/>
                <w:color w:val="auto"/>
              </w:rPr>
            </w:pPr>
          </w:p>
        </w:tc>
        <w:tc>
          <w:tcPr>
            <w:tcW w:w="2120" w:type="dxa"/>
            <w:vAlign w:val="bottom"/>
          </w:tcPr>
          <w:p>
            <w:pPr>
              <w:jc w:val="right"/>
              <w:ind w:right="4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9"/>
        </w:trPr>
        <w:tc>
          <w:tcPr>
            <w:tcW w:w="6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June 30, 2023</w:t>
            </w:r>
          </w:p>
        </w:tc>
        <w:tc>
          <w:tcPr>
            <w:tcW w:w="300" w:type="dxa"/>
            <w:vAlign w:val="bottom"/>
          </w:tcPr>
          <w:p>
            <w:pPr>
              <w:spacing w:after="0"/>
              <w:rPr>
                <w:sz w:val="20"/>
                <w:szCs w:val="20"/>
                <w:color w:val="auto"/>
              </w:rPr>
            </w:pPr>
          </w:p>
        </w:tc>
        <w:tc>
          <w:tcPr>
            <w:tcW w:w="2120" w:type="dxa"/>
            <w:vAlign w:val="bottom"/>
          </w:tcPr>
          <w:p>
            <w:pPr>
              <w:jc w:val="right"/>
              <w:ind w:right="590"/>
              <w:spacing w:after="0"/>
              <w:rPr>
                <w:sz w:val="20"/>
                <w:szCs w:val="20"/>
                <w:color w:val="auto"/>
              </w:rPr>
            </w:pPr>
            <w:r>
              <w:rPr>
                <w:rFonts w:ascii="Arial" w:cs="Arial" w:eastAsia="Arial" w:hAnsi="Arial"/>
                <w:sz w:val="18"/>
                <w:szCs w:val="18"/>
                <w:b w:val="1"/>
                <w:bCs w:val="1"/>
                <w:color w:val="auto"/>
              </w:rPr>
              <w:t>June 30, 2023</w:t>
            </w:r>
          </w:p>
        </w:tc>
        <w:tc>
          <w:tcPr>
            <w:tcW w:w="0" w:type="dxa"/>
            <w:vAlign w:val="bottom"/>
          </w:tcPr>
          <w:p>
            <w:pPr>
              <w:spacing w:after="0"/>
              <w:rPr>
                <w:sz w:val="1"/>
                <w:szCs w:val="1"/>
                <w:color w:val="auto"/>
              </w:rPr>
            </w:pPr>
          </w:p>
        </w:tc>
      </w:tr>
      <w:tr>
        <w:trPr>
          <w:trHeight w:val="227"/>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Contractual interest expense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Amortization of debt discount</w:t>
            </w:r>
          </w:p>
        </w:tc>
        <w:tc>
          <w:tcPr>
            <w:tcW w:w="26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debt issuance costs</w:t>
            </w:r>
          </w:p>
        </w:tc>
        <w:tc>
          <w:tcPr>
            <w:tcW w:w="26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3"/>
        </w:trPr>
        <w:tc>
          <w:tcPr>
            <w:tcW w:w="6060" w:type="dxa"/>
            <w:vAlign w:val="bottom"/>
          </w:tcPr>
          <w:p>
            <w:pPr>
              <w:ind w:left="20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The balance for the AFG Convertible Notes is as follows:</w:t>
            </w:r>
          </w:p>
        </w:tc>
        <w:tc>
          <w:tcPr>
            <w:tcW w:w="2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60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June 30, 2023</w:t>
            </w:r>
          </w:p>
        </w:tc>
      </w:tr>
      <w:tr>
        <w:trPr>
          <w:trHeight w:val="223"/>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15,390</w:t>
            </w: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Unamortized debt discount</w:t>
            </w:r>
          </w:p>
        </w:tc>
        <w:tc>
          <w:tcPr>
            <w:tcW w:w="5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(3,220)</w:t>
            </w:r>
          </w:p>
        </w:tc>
      </w:tr>
      <w:tr>
        <w:trPr>
          <w:trHeight w:val="23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w:t>
            </w:r>
          </w:p>
        </w:tc>
        <w:tc>
          <w:tcPr>
            <w:tcW w:w="5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r>
      <w:tr>
        <w:trPr>
          <w:trHeight w:val="230"/>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Embedded conversion feature</w:t>
            </w:r>
          </w:p>
        </w:tc>
        <w:tc>
          <w:tcPr>
            <w:tcW w:w="5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38,791</w:t>
            </w:r>
          </w:p>
        </w:tc>
      </w:tr>
      <w:tr>
        <w:trPr>
          <w:trHeight w:val="248"/>
        </w:trPr>
        <w:tc>
          <w:tcPr>
            <w:tcW w:w="8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Aggregate carrying value</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50,053</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2023, the Company was obligated to repay all contractual interest attributable to the AFG Convertible Notes in-kind in accordance with the terms of the Investment Agreement by increasing the principal amount of the outstanding Convertible Note. Therefore, as of June 30, 2023, interest payable attributable to the AFG Convertible Notes was $0.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Term Loan</w:t>
      </w:r>
    </w:p>
    <w:p>
      <w:pPr>
        <w:spacing w:after="0" w:line="15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July 29, 2022, the Company entered into a $100,000 Senior Secured Term Loan Credit Agreement with Atlas Credit Partners (ACP) Post Oak Credit I LLC., as administrative agent for the lenders and collateral agent for the secured parties. As of June 30, 2023, the Company had total borrowings of $100,000 under the Senior Secured Term Loan.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Borrowings </w:t>
      </w:r>
      <w:r>
        <w:rPr>
          <w:rFonts w:ascii="Arial" w:cs="Arial" w:eastAsia="Arial" w:hAnsi="Arial"/>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Senior Secured Term Loan is scheduled to mature on the earlier of (i) July 29, 2026, and (ii) 91 days prior to the current maturity date of the 2021 Convertible Notes of June 30, 2026. The Company has the right at any time to prepay any Borrowing in whole or in part in an amount of not less than $500.</w:t>
      </w:r>
    </w:p>
    <w:p>
      <w:pPr>
        <w:spacing w:after="0" w:line="10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outstanding principal balance of the Senior Secured Term Loan bears interest, at the applicable margin plus, at the Company’s election, either (i) the benchmark secured overnight financing rate (“SOFR”), which is a per annum rate equal to (y) the Adjusted Term SOFR (as defined in the agreement) plus 0.2616%, or (ii) the alternate base rate (“ABR”), which is a per annum rate equal to the greatest of (x) the Prime Rate (as defined in the agreement), (y) the NYFRB Rate (as defined in the agreement) plus 0.5% and (z) the SOFR. The applicable margin under the Credit Agreement is 8.5% per annum with respect to SOFR loans, and 7.5% per annum with respect to ABR loans. Interest on the Senior Secured Term Loan accrues at a variable interest rate, and interest payments are due quarterly. The Company may elect to convert SOFR Loans to ABR (and ABR Loans to SOFR). As of June 30, 2023, the interest rate in effect for the Senior Secured Term Loan for the second quarter of 2023 interest payment was 14.00%.</w:t>
      </w:r>
    </w:p>
    <w:p>
      <w:pPr>
        <w:spacing w:after="0" w:line="9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Any repayment of principal prior to the second anniversary of the issuance date is subject to a call premium. The call premium is equal to the present value of all interest payments due through June 30, 2024, calculated using a discount rate equal to the applicable treasury rate as of the repayment date plus 50 basis points. The Company deemed that the fair value of the embedded derivative features which qualify for bifurcation was de minimis.</w:t>
      </w:r>
    </w:p>
    <w:p>
      <w:pPr>
        <w:spacing w:after="0" w:line="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Concurrently, the Company entered into a Guarantee and Collateral Agreement which secures and guarantees the Senior Secured Term Loan with substantially all the assets of the Company and its subsidiaries, other than the Company’s equity interests in Hi-Power and assets of Hi-Power. Additionally, interest is required to be escrowed in an amount equal to the aggregate amount of the four immediately following interest payments owed on the Loans which was $11,550 at June 30, 2023. This escrowed and restricted cash is presented on a separate line item on the unaudited condensed consolidated balance sheets as long-term restricted cash.</w:t>
      </w:r>
    </w:p>
    <w:p>
      <w:pPr>
        <w:spacing w:after="0" w:line="10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The agreements also contain customary affirmative and negative covenants. They limit the Company’s and its subsidiaries’ ability to incur indebtedness, make restricted payments, including cash dividends on its common stock, make certain investments, loans and advances, enter into mergers and acquisitions, sell, assign, transfer or otherwise dispose of its assets, enter into transactions with its affiliates and engage in sale and leaseback transactions, among other restrictions. Furthermore, the limitation on the Company’s ability to incur indebtedness also (i) limits the amount of Pre-Advance Loans that the Company may have outstanding at any time to $15,000 under the SEPA and (ii) requires the payment of principal and interest in kind on each of the Pre-Advance Loans (if any) and the 2021 Convertible Notes. While the Company was in compliance with this covenant as of June 30, 2023 and currently expects to remain in compliance as of September 30, 2023, absent the Company’s ability to secure additional outside capital, the Company may be unable to remain in compliance with this covenant beginning on December 31, 2023 and thereafter (see Note 1, </w:t>
      </w:r>
      <w:r>
        <w:rPr>
          <w:rFonts w:ascii="Arial" w:cs="Arial" w:eastAsia="Arial" w:hAnsi="Arial"/>
          <w:sz w:val="16"/>
          <w:szCs w:val="16"/>
          <w:i w:val="1"/>
          <w:iCs w:val="1"/>
          <w:color w:val="auto"/>
        </w:rPr>
        <w:t>Overview</w:t>
      </w:r>
      <w:r>
        <w:rPr>
          <w:rFonts w:ascii="Arial" w:cs="Arial" w:eastAsia="Arial" w:hAnsi="Arial"/>
          <w:sz w:val="16"/>
          <w:szCs w:val="16"/>
          <w:color w:val="auto"/>
        </w:rPr>
        <w:t xml:space="preserve"> for further discussion).</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The following table summarizes interest expense recognized:</w:t>
            </w:r>
          </w:p>
        </w:tc>
        <w:tc>
          <w:tcPr>
            <w:tcW w:w="1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540" w:type="dxa"/>
            <w:vAlign w:val="bottom"/>
            <w:gridSpan w:val="3"/>
          </w:tcPr>
          <w:p>
            <w:pPr>
              <w:ind w:left="60"/>
              <w:spacing w:after="0"/>
              <w:rPr>
                <w:sz w:val="20"/>
                <w:szCs w:val="20"/>
                <w:color w:val="auto"/>
              </w:rPr>
            </w:pPr>
            <w:r>
              <w:rPr>
                <w:rFonts w:ascii="Arial" w:cs="Arial" w:eastAsia="Arial" w:hAnsi="Arial"/>
                <w:sz w:val="18"/>
                <w:szCs w:val="18"/>
                <w:b w:val="1"/>
                <w:bCs w:val="1"/>
                <w:color w:val="auto"/>
                <w:w w:val="96"/>
              </w:rPr>
              <w:t>Three Months Ended June 30,</w:t>
            </w:r>
          </w:p>
        </w:tc>
        <w:tc>
          <w:tcPr>
            <w:tcW w:w="23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3"/>
              </w:rPr>
              <w:t>Six Months Ended June 30,</w:t>
            </w:r>
          </w:p>
        </w:tc>
        <w:tc>
          <w:tcPr>
            <w:tcW w:w="0" w:type="dxa"/>
            <w:vAlign w:val="bottom"/>
          </w:tcPr>
          <w:p>
            <w:pPr>
              <w:spacing w:after="0"/>
              <w:rPr>
                <w:sz w:val="1"/>
                <w:szCs w:val="1"/>
                <w:color w:val="auto"/>
              </w:rPr>
            </w:pPr>
          </w:p>
        </w:tc>
      </w:tr>
      <w:tr>
        <w:trPr>
          <w:trHeight w:val="234"/>
        </w:trPr>
        <w:tc>
          <w:tcPr>
            <w:tcW w:w="4980" w:type="dxa"/>
            <w:vAlign w:val="bottom"/>
            <w:tcBorders>
              <w:bottom w:val="single" w:sz="8" w:color="CCEEFF"/>
            </w:tcBorders>
          </w:tcPr>
          <w:p>
            <w:pPr>
              <w:spacing w:after="0"/>
              <w:rPr>
                <w:sz w:val="20"/>
                <w:szCs w:val="20"/>
                <w:color w:val="auto"/>
              </w:rPr>
            </w:pPr>
          </w:p>
        </w:tc>
        <w:tc>
          <w:tcPr>
            <w:tcW w:w="142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interest expense</w:t>
            </w:r>
          </w:p>
        </w:tc>
        <w:tc>
          <w:tcPr>
            <w:tcW w:w="14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6,826</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Amortization of debt discount</w:t>
            </w:r>
          </w:p>
        </w:tc>
        <w:tc>
          <w:tcPr>
            <w:tcW w:w="1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debt issuance costs</w:t>
            </w:r>
          </w:p>
        </w:tc>
        <w:tc>
          <w:tcPr>
            <w:tcW w:w="14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0" w:type="dxa"/>
            <w:vAlign w:val="bottom"/>
          </w:tcPr>
          <w:p>
            <w:pPr>
              <w:spacing w:after="0"/>
              <w:rPr>
                <w:sz w:val="1"/>
                <w:szCs w:val="1"/>
                <w:color w:val="auto"/>
              </w:rPr>
            </w:pPr>
          </w:p>
        </w:tc>
      </w:tr>
      <w:tr>
        <w:trPr>
          <w:trHeight w:val="223"/>
        </w:trPr>
        <w:tc>
          <w:tcPr>
            <w:tcW w:w="4980" w:type="dxa"/>
            <w:vAlign w:val="bottom"/>
          </w:tcPr>
          <w:p>
            <w:pPr>
              <w:ind w:left="240"/>
              <w:spacing w:after="0"/>
              <w:rPr>
                <w:sz w:val="20"/>
                <w:szCs w:val="20"/>
                <w:color w:val="auto"/>
              </w:rPr>
            </w:pPr>
            <w:r>
              <w:rPr>
                <w:rFonts w:ascii="Arial" w:cs="Arial" w:eastAsia="Arial" w:hAnsi="Arial"/>
                <w:sz w:val="18"/>
                <w:szCs w:val="18"/>
                <w:color w:val="auto"/>
              </w:rPr>
              <w:t>Total</w:t>
            </w:r>
          </w:p>
        </w:tc>
        <w:tc>
          <w:tcPr>
            <w:tcW w:w="14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4,425</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8,713</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420" w:type="dxa"/>
            <w:vAlign w:val="bottom"/>
            <w:vMerge w:val="restart"/>
          </w:tcPr>
          <w:p>
            <w:pPr>
              <w:jc w:val="right"/>
              <w:ind w:right="590"/>
              <w:spacing w:after="0"/>
              <w:rPr>
                <w:sz w:val="20"/>
                <w:szCs w:val="20"/>
                <w:color w:val="auto"/>
              </w:rPr>
            </w:pPr>
            <w:r>
              <w:rPr>
                <w:rFonts w:ascii="Arial" w:cs="Arial" w:eastAsia="Arial" w:hAnsi="Arial"/>
                <w:sz w:val="18"/>
                <w:szCs w:val="18"/>
                <w:color w:val="auto"/>
              </w:rPr>
              <w:t>22</w:t>
            </w:r>
          </w:p>
        </w:tc>
        <w:tc>
          <w:tcPr>
            <w:tcW w:w="5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98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Borrowings </w:t>
      </w:r>
      <w:r>
        <w:rPr>
          <w:rFonts w:ascii="Arial" w:cs="Arial" w:eastAsia="Arial" w:hAnsi="Arial"/>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The Senior Secured Term Loan balance is as follows:</w:t>
            </w:r>
          </w:p>
        </w:tc>
        <w:tc>
          <w:tcPr>
            <w:tcW w:w="4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588"/>
        </w:trPr>
        <w:tc>
          <w:tcPr>
            <w:tcW w:w="6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gridSpan w:val="2"/>
          </w:tcPr>
          <w:p>
            <w:pPr>
              <w:ind w:left="300"/>
              <w:spacing w:after="0"/>
              <w:rPr>
                <w:sz w:val="20"/>
                <w:szCs w:val="20"/>
                <w:color w:val="auto"/>
              </w:rPr>
            </w:pPr>
            <w:r>
              <w:rPr>
                <w:rFonts w:ascii="Arial" w:cs="Arial" w:eastAsia="Arial" w:hAnsi="Arial"/>
                <w:sz w:val="18"/>
                <w:szCs w:val="18"/>
                <w:b w:val="1"/>
                <w:bCs w:val="1"/>
                <w:color w:val="auto"/>
              </w:rPr>
              <w:t>June 30, 2023</w:t>
            </w:r>
          </w:p>
        </w:tc>
        <w:tc>
          <w:tcPr>
            <w:tcW w:w="340" w:type="dxa"/>
            <w:vAlign w:val="bottom"/>
          </w:tcPr>
          <w:p>
            <w:pPr>
              <w:spacing w:after="0"/>
              <w:rPr>
                <w:sz w:val="24"/>
                <w:szCs w:val="24"/>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 2022</w:t>
            </w:r>
          </w:p>
        </w:tc>
      </w:tr>
      <w:tr>
        <w:trPr>
          <w:trHeight w:val="229"/>
        </w:trPr>
        <w:tc>
          <w:tcPr>
            <w:tcW w:w="6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Principal</w:t>
            </w: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Unamortized debt discount</w:t>
            </w:r>
          </w:p>
        </w:tc>
        <w:tc>
          <w:tcPr>
            <w:tcW w:w="4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(1,674)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(1,866)</w:t>
            </w:r>
          </w:p>
        </w:tc>
      </w:tr>
      <w:tr>
        <w:trPr>
          <w:trHeight w:val="22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w:t>
            </w:r>
          </w:p>
        </w:tc>
        <w:tc>
          <w:tcPr>
            <w:tcW w:w="4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(16,518)</w:t>
            </w:r>
          </w:p>
        </w:tc>
      </w:tr>
      <w:tr>
        <w:trPr>
          <w:trHeight w:val="223"/>
        </w:trPr>
        <w:tc>
          <w:tcPr>
            <w:tcW w:w="6900" w:type="dxa"/>
            <w:vAlign w:val="bottom"/>
          </w:tcPr>
          <w:p>
            <w:pPr>
              <w:ind w:left="260"/>
              <w:spacing w:after="0"/>
              <w:rPr>
                <w:sz w:val="20"/>
                <w:szCs w:val="20"/>
                <w:color w:val="auto"/>
              </w:rPr>
            </w:pPr>
            <w:r>
              <w:rPr>
                <w:rFonts w:ascii="Arial" w:cs="Arial" w:eastAsia="Arial" w:hAnsi="Arial"/>
                <w:sz w:val="18"/>
                <w:szCs w:val="18"/>
                <w:color w:val="auto"/>
              </w:rPr>
              <w:t>Aggregate carrying value</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83,503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81,616</w:t>
            </w:r>
          </w:p>
        </w:tc>
      </w:tr>
      <w:tr>
        <w:trPr>
          <w:trHeight w:val="20"/>
        </w:trPr>
        <w:tc>
          <w:tcPr>
            <w:tcW w:w="6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Equipment Financing facility</w:t>
      </w:r>
    </w:p>
    <w:p>
      <w:pPr>
        <w:spacing w:after="0" w:line="15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entered into an agreement on September 30, 2021 with Trinity Capital Inc. (“Trinity”) for a $25,000 equipment financing facility, the proceeds of which will be used to acquire certain manufacturing equipment, subject to Trinity’s approval. Each draw is executed under a separate payment schedule (a “Schedule”) that constitutes a separate financial instrument. The financing fees included in each Schedule are established through monthly payment factors determined by Trinity. Such monthly payment factors are based on the Prime Rate reported in The Wall Street Journal in effect on the first day of the month in which a Schedule is executed. The Company has drawn a portion of the facility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tcPr>
          <w:p>
            <w:pPr>
              <w:jc w:val="right"/>
              <w:ind w:right="154"/>
              <w:spacing w:after="0"/>
              <w:rPr>
                <w:sz w:val="20"/>
                <w:szCs w:val="20"/>
                <w:color w:val="auto"/>
              </w:rPr>
            </w:pPr>
            <w:r>
              <w:rPr>
                <w:rFonts w:ascii="Arial" w:cs="Arial" w:eastAsia="Arial" w:hAnsi="Arial"/>
                <w:sz w:val="16"/>
                <w:szCs w:val="16"/>
                <w:b w:val="1"/>
                <w:bCs w:val="1"/>
                <w:color w:val="auto"/>
              </w:rPr>
              <w:t>Gross Amount of</w:t>
            </w:r>
          </w:p>
        </w:tc>
        <w:tc>
          <w:tcPr>
            <w:tcW w:w="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Date of Draw</w:t>
            </w:r>
          </w:p>
        </w:tc>
        <w:tc>
          <w:tcPr>
            <w:tcW w:w="360" w:type="dxa"/>
            <w:vAlign w:val="bottom"/>
          </w:tcPr>
          <w:p>
            <w:pPr>
              <w:spacing w:after="0"/>
              <w:rPr>
                <w:sz w:val="21"/>
                <w:szCs w:val="21"/>
                <w:color w:val="auto"/>
              </w:rPr>
            </w:pPr>
          </w:p>
        </w:tc>
        <w:tc>
          <w:tcPr>
            <w:tcW w:w="1720" w:type="dxa"/>
            <w:vAlign w:val="bottom"/>
          </w:tcPr>
          <w:p>
            <w:pPr>
              <w:jc w:val="right"/>
              <w:ind w:right="534"/>
              <w:spacing w:after="0"/>
              <w:rPr>
                <w:sz w:val="20"/>
                <w:szCs w:val="20"/>
                <w:color w:val="auto"/>
              </w:rPr>
            </w:pPr>
            <w:r>
              <w:rPr>
                <w:rFonts w:ascii="Arial" w:cs="Arial" w:eastAsia="Arial" w:hAnsi="Arial"/>
                <w:sz w:val="16"/>
                <w:szCs w:val="16"/>
                <w:b w:val="1"/>
                <w:bCs w:val="1"/>
                <w:color w:val="auto"/>
              </w:rPr>
              <w:t>Initial Draw</w:t>
            </w:r>
          </w:p>
        </w:tc>
        <w:tc>
          <w:tcPr>
            <w:tcW w:w="80" w:type="dxa"/>
            <w:vAlign w:val="bottom"/>
          </w:tcPr>
          <w:p>
            <w:pPr>
              <w:spacing w:after="0"/>
              <w:rPr>
                <w:sz w:val="21"/>
                <w:szCs w:val="21"/>
                <w:color w:val="auto"/>
              </w:rPr>
            </w:pPr>
          </w:p>
        </w:tc>
        <w:tc>
          <w:tcPr>
            <w:tcW w:w="2180" w:type="dxa"/>
            <w:vAlign w:val="bottom"/>
            <w:gridSpan w:val="2"/>
          </w:tcPr>
          <w:p>
            <w:pPr>
              <w:ind w:left="520"/>
              <w:spacing w:after="0"/>
              <w:rPr>
                <w:sz w:val="20"/>
                <w:szCs w:val="20"/>
                <w:color w:val="auto"/>
              </w:rPr>
            </w:pPr>
            <w:r>
              <w:rPr>
                <w:rFonts w:ascii="Arial" w:cs="Arial" w:eastAsia="Arial" w:hAnsi="Arial"/>
                <w:sz w:val="16"/>
                <w:szCs w:val="16"/>
                <w:b w:val="1"/>
                <w:bCs w:val="1"/>
                <w:color w:val="auto"/>
              </w:rPr>
              <w:t>Coupon Interest Rate</w:t>
            </w:r>
          </w:p>
        </w:tc>
        <w:tc>
          <w:tcPr>
            <w:tcW w:w="340" w:type="dxa"/>
            <w:vAlign w:val="bottom"/>
          </w:tcPr>
          <w:p>
            <w:pPr>
              <w:spacing w:after="0"/>
              <w:rPr>
                <w:sz w:val="21"/>
                <w:szCs w:val="21"/>
                <w:color w:val="auto"/>
              </w:rPr>
            </w:pPr>
          </w:p>
        </w:tc>
        <w:tc>
          <w:tcPr>
            <w:tcW w:w="1740" w:type="dxa"/>
            <w:vAlign w:val="bottom"/>
          </w:tcPr>
          <w:p>
            <w:pPr>
              <w:jc w:val="right"/>
              <w:ind w:right="52"/>
              <w:spacing w:after="0"/>
              <w:rPr>
                <w:sz w:val="20"/>
                <w:szCs w:val="20"/>
                <w:color w:val="auto"/>
              </w:rPr>
            </w:pPr>
            <w:r>
              <w:rPr>
                <w:rFonts w:ascii="Arial" w:cs="Arial" w:eastAsia="Arial" w:hAnsi="Arial"/>
                <w:sz w:val="16"/>
                <w:szCs w:val="16"/>
                <w:b w:val="1"/>
                <w:bCs w:val="1"/>
                <w:color w:val="auto"/>
              </w:rPr>
              <w:t>Debt Issuance Costs</w:t>
            </w: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2021</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8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ind w:right="715"/>
              <w:spacing w:after="0"/>
              <w:rPr>
                <w:sz w:val="20"/>
                <w:szCs w:val="20"/>
                <w:color w:val="auto"/>
              </w:rPr>
            </w:pPr>
            <w:r>
              <w:rPr>
                <w:rFonts w:ascii="Arial" w:cs="Arial" w:eastAsia="Arial" w:hAnsi="Arial"/>
                <w:sz w:val="18"/>
                <w:szCs w:val="18"/>
                <w:color w:val="auto"/>
              </w:rPr>
              <w:t>14.3%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30"/>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September 2022</w:t>
            </w:r>
          </w:p>
        </w:tc>
        <w:tc>
          <w:tcPr>
            <w:tcW w:w="3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4,216</w:t>
            </w:r>
          </w:p>
        </w:tc>
        <w:tc>
          <w:tcPr>
            <w:tcW w:w="2160" w:type="dxa"/>
            <w:vAlign w:val="bottom"/>
            <w:tcBorders>
              <w:bottom w:val="single" w:sz="8" w:color="CCEEFF"/>
            </w:tcBorders>
            <w:gridSpan w:val="2"/>
          </w:tcPr>
          <w:p>
            <w:pPr>
              <w:jc w:val="right"/>
              <w:ind w:right="715"/>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r>
      <w:tr>
        <w:trPr>
          <w:trHeight w:val="248"/>
        </w:trPr>
        <w:tc>
          <w:tcPr>
            <w:tcW w:w="4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Equipment Financing loans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11,216</w:t>
            </w:r>
          </w:p>
        </w:tc>
        <w:tc>
          <w:tcPr>
            <w:tcW w:w="8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September 30, 2022, the equipment facility’s unused commitment of $13,784 expired.</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2023 and December 31, 2022, total equipment financing debt outstanding was $7,196 and $8,577, respectively of which $3,093 and $2,872 are recorded as a current liability on the unaudited condensed consolidated balance sheets, respectively. The Company recognized $292 and $205 for the three months ended June 30, 2023 and 2022, and $609 and $424 for the six months ended June 30, 2023 and 2022 as interest expense attributable to the equipment financing agreement, respectively.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Warrants Liability - Related Party</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issued private placement warrants to purchase shares of common stock to the sponsor of B. Riley Principal Merger Corp. II (“BMRG”) in conjunction with its initial public offering in 2020 (the “IPO warrants”). As of June 30, 2023 and December 31, 2022, 325,000 IPO warrants were outstanding with fair values of $455 and $78, respectively.</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April 2023, the Company issued 16,000,000 shares of common stock and 16,000,000 private placement warrants to purchase shares of common stock, and in May 2023, the Company issued another 3,601,980 shares of common stock and 3,601,980 private placement warrants to purchase shares of common stock. The proceeds from the April 2023 and May 2023 Transactions were $40,000, and $8,000, respectively. The fair value of the warrants and common stock for the April 2023 and May 2023 Transactions at issuance was $66,366 and $13,267, respectively, which was greater than the proceeds. As such, the Company recorded the excess as losses in the amounts of $26,366 and $5,267, respectively, as a component of (loss) gain on change in fair value of derivatives - related party in the Company’s unaudited condensed consolidated statements of operations and comprehensive loss.</w:t>
      </w:r>
    </w:p>
    <w:p>
      <w:pPr>
        <w:spacing w:after="0" w:line="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warrants issued as part of the April 2023 Transaction and May 2023 Transaction (“April 2023 warrants” and “May 2023 warrants”, respectively) are classified as Level 3 financial instruments in the fair value hierarchy (refer to Note 15, </w:t>
      </w:r>
      <w:r>
        <w:rPr>
          <w:rFonts w:ascii="Arial" w:cs="Arial" w:eastAsia="Arial" w:hAnsi="Arial"/>
          <w:sz w:val="18"/>
          <w:szCs w:val="18"/>
          <w:i w:val="1"/>
          <w:iCs w:val="1"/>
          <w:color w:val="auto"/>
        </w:rPr>
        <w:t>Fair Value Measurement</w:t>
      </w:r>
      <w:r>
        <w:rPr>
          <w:rFonts w:ascii="Arial" w:cs="Arial" w:eastAsia="Arial" w:hAnsi="Arial"/>
          <w:sz w:val="18"/>
          <w:szCs w:val="18"/>
          <w:color w:val="auto"/>
        </w:rPr>
        <w:t>). As of June 30, 2023, the April 2023 and May 2023 warrants were outstanding with fair values of $45,980 and $10,925, respectively.</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all warrants in aggregate, the change in fair value for the three months ended June 30, 2023 and 2022 amounted to increases in the liability of $27,574 and $270 , respectively. The fair value of the warrant liability for the six months ended June 30, 2023 and 2022 increased by $27,730 and $837, respectively. The change has been recognized in (loss) gain on change in fair value of derivatives - related party in the Company’s unaudited condensed consolidated statements of operations and comprehensive loss.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financial instruments consist of cash and cash equivalents, restricted cash, accounts receivable, notes receivable, contract assets, accounts payable, warrants, convertible notes payable — related party, contract liabilities and long-term debt.</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Accounting standards establish a hierarchy, which prioritizes the inputs to valuation techniques used to measure fair value into three levels. The fair value hierarchy gives the highest priority to quoted market prices (unadjusted) in active markets for identical assets or liabilities (Level 1) and the lowest priority to unobservable inputs (Level 3). Level 2 inputs are inputs other than quoted prices included within Level 1 that are observable for the asset or liability, either directly or indirectly.</w:t>
      </w:r>
    </w:p>
    <w:p>
      <w:pPr>
        <w:spacing w:after="0" w:line="1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Accounting standards require financial assets and liabilities to be classified based on the lowest level of input that is significant to the fair value measurement. The Company’s assessment of the significance of a particular input to the fair value measurement requires judgment and the exercise of this judgment may affect the valuation of the fair value of assets and liabilities and their placement within the fair value hierarchy levels.</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 of cash and cash equivalents, restricted cash, accounts receivable, contract assets, contract liabilities and accounts payable are considered to be representative of their fair value due to the short maturity of these instruments.</w:t>
      </w:r>
    </w:p>
    <w:p>
      <w:pPr>
        <w:spacing w:after="0" w:line="1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table below summarizes the fair values of certain liabilities that are included within the Company’s accompanying unaudited condensed consolidated balance sheets, and their designations among the three fair value measurement categories: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 Fair Value Measurement </w:t>
      </w:r>
      <w:r>
        <w:rPr>
          <w:rFonts w:ascii="Arial" w:cs="Arial" w:eastAsia="Arial" w:hAnsi="Arial"/>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8"/>
                <w:szCs w:val="18"/>
                <w:b w:val="1"/>
                <w:bCs w:val="1"/>
                <w:color w:val="auto"/>
                <w:w w:val="88"/>
              </w:rPr>
              <w:t>June 30, 2023</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0"/>
              </w:rPr>
              <w:t>December 31, 2022</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13"/>
        </w:trPr>
        <w:tc>
          <w:tcPr>
            <w:tcW w:w="3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Level 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Level 2</w:t>
            </w:r>
          </w:p>
        </w:tc>
        <w:tc>
          <w:tcPr>
            <w:tcW w:w="240" w:type="dxa"/>
            <w:vAlign w:val="bottom"/>
          </w:tcPr>
          <w:p>
            <w:pPr>
              <w:spacing w:after="0"/>
              <w:rPr>
                <w:sz w:val="18"/>
                <w:szCs w:val="18"/>
                <w:color w:val="auto"/>
              </w:rPr>
            </w:pPr>
          </w:p>
        </w:tc>
        <w:tc>
          <w:tcPr>
            <w:tcW w:w="980" w:type="dxa"/>
            <w:vAlign w:val="bottom"/>
          </w:tcPr>
          <w:p>
            <w:pPr>
              <w:jc w:val="right"/>
              <w:ind w:right="273"/>
              <w:spacing w:after="0"/>
              <w:rPr>
                <w:sz w:val="20"/>
                <w:szCs w:val="20"/>
                <w:color w:val="auto"/>
              </w:rPr>
            </w:pPr>
            <w:r>
              <w:rPr>
                <w:rFonts w:ascii="Arial" w:cs="Arial" w:eastAsia="Arial" w:hAnsi="Arial"/>
                <w:sz w:val="16"/>
                <w:szCs w:val="16"/>
                <w:b w:val="1"/>
                <w:bCs w:val="1"/>
                <w:color w:val="auto"/>
              </w:rPr>
              <w:t>Level 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ind w:left="120"/>
              <w:spacing w:after="0"/>
              <w:rPr>
                <w:sz w:val="20"/>
                <w:szCs w:val="20"/>
                <w:color w:val="auto"/>
              </w:rPr>
            </w:pPr>
            <w:r>
              <w:rPr>
                <w:rFonts w:ascii="Arial" w:cs="Arial" w:eastAsia="Arial" w:hAnsi="Arial"/>
                <w:sz w:val="16"/>
                <w:szCs w:val="16"/>
                <w:b w:val="1"/>
                <w:bCs w:val="1"/>
                <w:color w:val="auto"/>
              </w:rPr>
              <w:t>Level 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Level 2</w:t>
            </w:r>
          </w:p>
        </w:tc>
        <w:tc>
          <w:tcPr>
            <w:tcW w:w="220" w:type="dxa"/>
            <w:vAlign w:val="bottom"/>
          </w:tcPr>
          <w:p>
            <w:pPr>
              <w:spacing w:after="0"/>
              <w:rPr>
                <w:sz w:val="18"/>
                <w:szCs w:val="18"/>
                <w:color w:val="auto"/>
              </w:rPr>
            </w:pPr>
          </w:p>
        </w:tc>
        <w:tc>
          <w:tcPr>
            <w:tcW w:w="980" w:type="dxa"/>
            <w:vAlign w:val="bottom"/>
          </w:tcPr>
          <w:p>
            <w:pPr>
              <w:jc w:val="right"/>
              <w:ind w:right="273"/>
              <w:spacing w:after="0"/>
              <w:rPr>
                <w:sz w:val="20"/>
                <w:szCs w:val="20"/>
                <w:color w:val="auto"/>
              </w:rPr>
            </w:pPr>
            <w:r>
              <w:rPr>
                <w:rFonts w:ascii="Arial" w:cs="Arial" w:eastAsia="Arial" w:hAnsi="Arial"/>
                <w:sz w:val="16"/>
                <w:szCs w:val="16"/>
                <w:b w:val="1"/>
                <w:bCs w:val="1"/>
                <w:color w:val="auto"/>
              </w:rPr>
              <w:t>Level 3</w:t>
            </w:r>
          </w:p>
        </w:tc>
      </w:tr>
      <w:tr>
        <w:trPr>
          <w:trHeight w:val="212"/>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Warrants liabilities</w:t>
            </w:r>
          </w:p>
        </w:tc>
        <w:tc>
          <w:tcPr>
            <w:tcW w:w="880" w:type="dxa"/>
            <w:vAlign w:val="bottom"/>
          </w:tcPr>
          <w:p>
            <w:pPr>
              <w:jc w:val="right"/>
              <w:ind w:right="693"/>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56,905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ind w:left="720"/>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Embedded derivative liabilities</w:t>
            </w:r>
          </w:p>
        </w:tc>
        <w:tc>
          <w:tcPr>
            <w:tcW w:w="880" w:type="dxa"/>
            <w:vAlign w:val="bottom"/>
            <w:shd w:val="clear" w:color="auto" w:fill="CCEEFF"/>
          </w:tcPr>
          <w:p>
            <w:pPr>
              <w:jc w:val="right"/>
              <w:ind w:right="693"/>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 Liabilities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IPO warrants are classified as Level 2 financial instruments in the table above. They are valued on the basis of the quoted price of the Company’s public warrants, adjusted for insignificant difference between the public warrants and the private placement warrants.</w:t>
      </w:r>
    </w:p>
    <w:p>
      <w:pPr>
        <w:spacing w:after="0" w:line="8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April 2023 warrants and May 2023 warrants are classified as Level 3 financial instruments in the table above. The Company estimated the fair value of the April 2023 warrants and May 2023 warrants using the Black-Scholes model at inception and on subsequent valuation dates. This model incorporates inputs such as the stock price of the Company, risk-free interest rate, volatility, and time to expiration. The volatility involves unobservable inputs classified as Level 3 of the fair value hierarchy. The assumptions used to determine the fair value of the April 2023 and May 2023 warrants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April 2023 warrants</w:t>
            </w:r>
          </w:p>
        </w:tc>
        <w:tc>
          <w:tcPr>
            <w:tcW w:w="480" w:type="dxa"/>
            <w:vAlign w:val="bottom"/>
          </w:tcPr>
          <w:p>
            <w:pPr>
              <w:spacing w:after="0"/>
              <w:rPr>
                <w:sz w:val="17"/>
                <w:szCs w:val="17"/>
                <w:color w:val="auto"/>
              </w:rPr>
            </w:pPr>
          </w:p>
        </w:tc>
        <w:tc>
          <w:tcPr>
            <w:tcW w:w="1960" w:type="dxa"/>
            <w:vAlign w:val="bottom"/>
            <w:gridSpan w:val="2"/>
          </w:tcPr>
          <w:p>
            <w:pPr>
              <w:ind w:left="380"/>
              <w:spacing w:after="0"/>
              <w:rPr>
                <w:sz w:val="20"/>
                <w:szCs w:val="20"/>
                <w:color w:val="auto"/>
              </w:rPr>
            </w:pPr>
            <w:r>
              <w:rPr>
                <w:rFonts w:ascii="Arial" w:cs="Arial" w:eastAsia="Arial" w:hAnsi="Arial"/>
                <w:sz w:val="18"/>
                <w:szCs w:val="18"/>
                <w:b w:val="1"/>
                <w:bCs w:val="1"/>
                <w:color w:val="auto"/>
              </w:rPr>
              <w:t>June 30,</w:t>
            </w:r>
          </w:p>
        </w:tc>
        <w:tc>
          <w:tcPr>
            <w:tcW w:w="420" w:type="dxa"/>
            <w:vAlign w:val="bottom"/>
          </w:tcPr>
          <w:p>
            <w:pPr>
              <w:spacing w:after="0"/>
              <w:rPr>
                <w:sz w:val="17"/>
                <w:szCs w:val="17"/>
                <w:color w:val="auto"/>
              </w:rPr>
            </w:pPr>
          </w:p>
        </w:tc>
        <w:tc>
          <w:tcPr>
            <w:tcW w:w="172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April 12, 2023</w:t>
            </w:r>
          </w:p>
        </w:tc>
        <w:tc>
          <w:tcPr>
            <w:tcW w:w="0" w:type="dxa"/>
            <w:vAlign w:val="bottom"/>
          </w:tcPr>
          <w:p>
            <w:pPr>
              <w:spacing w:after="0"/>
              <w:rPr>
                <w:sz w:val="1"/>
                <w:szCs w:val="1"/>
                <w:color w:val="auto"/>
              </w:rPr>
            </w:pPr>
          </w:p>
        </w:tc>
      </w:tr>
      <w:tr>
        <w:trPr>
          <w:trHeight w:val="230"/>
        </w:trPr>
        <w:tc>
          <w:tcPr>
            <w:tcW w:w="6660" w:type="dxa"/>
            <w:vAlign w:val="bottom"/>
            <w:tcBorders>
              <w:bottom w:val="single" w:sz="8" w:color="CCEEFF"/>
            </w:tcBorders>
            <w:vMerge w:val="continue"/>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 to expiration</w:t>
            </w:r>
          </w:p>
        </w:tc>
        <w:tc>
          <w:tcPr>
            <w:tcW w:w="4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 years</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 years</w:t>
            </w: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Common stock price</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30"/>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13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4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4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65.0 %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70.0 %</w:t>
            </w:r>
          </w:p>
        </w:tc>
        <w:tc>
          <w:tcPr>
            <w:tcW w:w="0" w:type="dxa"/>
            <w:vAlign w:val="bottom"/>
          </w:tcPr>
          <w:p>
            <w:pPr>
              <w:spacing w:after="0"/>
              <w:rPr>
                <w:sz w:val="1"/>
                <w:szCs w:val="1"/>
                <w:color w:val="auto"/>
              </w:rPr>
            </w:pPr>
          </w:p>
        </w:tc>
      </w:tr>
      <w:tr>
        <w:trPr>
          <w:trHeight w:val="270"/>
        </w:trPr>
        <w:tc>
          <w:tcPr>
            <w:tcW w:w="66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May 2023 warrants</w:t>
            </w:r>
          </w:p>
        </w:tc>
        <w:tc>
          <w:tcPr>
            <w:tcW w:w="480" w:type="dxa"/>
            <w:vAlign w:val="bottom"/>
          </w:tcPr>
          <w:p>
            <w:pPr>
              <w:spacing w:after="0"/>
              <w:rPr>
                <w:sz w:val="18"/>
                <w:szCs w:val="18"/>
                <w:color w:val="auto"/>
              </w:rPr>
            </w:pPr>
          </w:p>
        </w:tc>
        <w:tc>
          <w:tcPr>
            <w:tcW w:w="1960" w:type="dxa"/>
            <w:vAlign w:val="bottom"/>
            <w:gridSpan w:val="2"/>
          </w:tcPr>
          <w:p>
            <w:pPr>
              <w:ind w:left="380"/>
              <w:spacing w:after="0"/>
              <w:rPr>
                <w:sz w:val="20"/>
                <w:szCs w:val="20"/>
                <w:color w:val="auto"/>
              </w:rPr>
            </w:pPr>
            <w:r>
              <w:rPr>
                <w:rFonts w:ascii="Arial" w:cs="Arial" w:eastAsia="Arial" w:hAnsi="Arial"/>
                <w:sz w:val="18"/>
                <w:szCs w:val="18"/>
                <w:b w:val="1"/>
                <w:bCs w:val="1"/>
                <w:color w:val="auto"/>
              </w:rPr>
              <w:t>June 30,</w:t>
            </w:r>
          </w:p>
        </w:tc>
        <w:tc>
          <w:tcPr>
            <w:tcW w:w="440" w:type="dxa"/>
            <w:vAlign w:val="bottom"/>
          </w:tcPr>
          <w:p>
            <w:pPr>
              <w:spacing w:after="0"/>
              <w:rPr>
                <w:sz w:val="18"/>
                <w:szCs w:val="18"/>
                <w:color w:val="auto"/>
              </w:rPr>
            </w:pPr>
          </w:p>
        </w:tc>
        <w:tc>
          <w:tcPr>
            <w:tcW w:w="170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May 15, 2023</w:t>
            </w:r>
          </w:p>
        </w:tc>
        <w:tc>
          <w:tcPr>
            <w:tcW w:w="0" w:type="dxa"/>
            <w:vAlign w:val="bottom"/>
          </w:tcPr>
          <w:p>
            <w:pPr>
              <w:spacing w:after="0"/>
              <w:rPr>
                <w:sz w:val="1"/>
                <w:szCs w:val="1"/>
                <w:color w:val="auto"/>
              </w:rPr>
            </w:pPr>
          </w:p>
        </w:tc>
      </w:tr>
      <w:tr>
        <w:trPr>
          <w:trHeight w:val="230"/>
        </w:trPr>
        <w:tc>
          <w:tcPr>
            <w:tcW w:w="6660" w:type="dxa"/>
            <w:vAlign w:val="bottom"/>
            <w:tcBorders>
              <w:bottom w:val="single" w:sz="8" w:color="CCEEFF"/>
            </w:tcBorders>
            <w:vMerge w:val="continue"/>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 to expiration</w:t>
            </w:r>
          </w:p>
        </w:tc>
        <w:tc>
          <w:tcPr>
            <w:tcW w:w="4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 years</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 years</w:t>
            </w: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Common stock price</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30"/>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13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4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48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65.0 %</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70.0 %</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derivatives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estimated the fair value of the embedded conversion features using a binomial lattice model at inception and on subsequent valuation dates. This model incorporates inputs such as the stock price of the Company, dividend yield, risk-free interest rate, the effective debt yield and expected volatility. The effective debt yield and volatility involve unobservable inputs classified as Level 3 of the fair value hierarchy. The assumptions used to determine the fair value of the embedded derivative liabilities are as follows: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 Fair Value Measurement </w:t>
      </w:r>
      <w:r>
        <w:rPr>
          <w:rFonts w:ascii="Arial" w:cs="Arial" w:eastAsia="Arial" w:hAnsi="Arial"/>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2021 Convertible Notes Payable</w:t>
            </w:r>
          </w:p>
        </w:tc>
        <w:tc>
          <w:tcPr>
            <w:tcW w:w="2300" w:type="dxa"/>
            <w:vAlign w:val="bottom"/>
            <w:gridSpan w:val="2"/>
          </w:tcPr>
          <w:p>
            <w:pPr>
              <w:ind w:left="800"/>
              <w:spacing w:after="0"/>
              <w:rPr>
                <w:sz w:val="20"/>
                <w:szCs w:val="20"/>
                <w:color w:val="auto"/>
              </w:rPr>
            </w:pPr>
            <w:r>
              <w:rPr>
                <w:rFonts w:ascii="Arial" w:cs="Arial" w:eastAsia="Arial" w:hAnsi="Arial"/>
                <w:sz w:val="18"/>
                <w:szCs w:val="18"/>
                <w:b w:val="1"/>
                <w:bCs w:val="1"/>
                <w:color w:val="auto"/>
              </w:rPr>
              <w:t>June 30, 2023</w:t>
            </w:r>
          </w:p>
        </w:tc>
        <w:tc>
          <w:tcPr>
            <w:tcW w:w="228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 31, 2022</w:t>
            </w:r>
          </w:p>
        </w:tc>
      </w:tr>
      <w:tr>
        <w:trPr>
          <w:trHeight w:val="223"/>
        </w:trPr>
        <w:tc>
          <w:tcPr>
            <w:tcW w:w="6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w:t>
            </w:r>
          </w:p>
        </w:tc>
        <w:tc>
          <w:tcPr>
            <w:tcW w:w="2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 years</w:t>
            </w:r>
          </w:p>
        </w:tc>
        <w:tc>
          <w:tcPr>
            <w:tcW w:w="10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 years</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230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2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0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2200" w:type="dxa"/>
            <w:vAlign w:val="bottom"/>
          </w:tcPr>
          <w:p>
            <w:pPr>
              <w:jc w:val="right"/>
              <w:spacing w:after="0"/>
              <w:rPr>
                <w:sz w:val="20"/>
                <w:szCs w:val="20"/>
                <w:color w:val="auto"/>
              </w:rPr>
            </w:pPr>
            <w:r>
              <w:rPr>
                <w:rFonts w:ascii="Arial" w:cs="Arial" w:eastAsia="Arial" w:hAnsi="Arial"/>
                <w:sz w:val="18"/>
                <w:szCs w:val="18"/>
                <w:color w:val="auto"/>
              </w:rPr>
              <w:t>65.0 %</w:t>
            </w:r>
          </w:p>
        </w:tc>
        <w:tc>
          <w:tcPr>
            <w:tcW w:w="10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80.0 %</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debt yield</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10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25.0 %</w:t>
            </w: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AFG Convertible Notes Payable</w:t>
            </w:r>
          </w:p>
        </w:tc>
        <w:tc>
          <w:tcPr>
            <w:tcW w:w="2300" w:type="dxa"/>
            <w:vAlign w:val="bottom"/>
            <w:gridSpan w:val="2"/>
          </w:tcPr>
          <w:p>
            <w:pPr>
              <w:ind w:left="800"/>
              <w:spacing w:after="0"/>
              <w:rPr>
                <w:sz w:val="20"/>
                <w:szCs w:val="20"/>
                <w:color w:val="auto"/>
              </w:rPr>
            </w:pPr>
            <w:r>
              <w:rPr>
                <w:rFonts w:ascii="Arial" w:cs="Arial" w:eastAsia="Arial" w:hAnsi="Arial"/>
                <w:sz w:val="18"/>
                <w:szCs w:val="18"/>
                <w:b w:val="1"/>
                <w:bCs w:val="1"/>
                <w:color w:val="auto"/>
              </w:rPr>
              <w:t>June 30, 2023</w:t>
            </w:r>
          </w:p>
        </w:tc>
        <w:tc>
          <w:tcPr>
            <w:tcW w:w="2280" w:type="dxa"/>
            <w:vAlign w:val="bottom"/>
          </w:tcPr>
          <w:p>
            <w:pPr>
              <w:jc w:val="right"/>
              <w:ind w:right="170"/>
              <w:spacing w:after="0"/>
              <w:rPr>
                <w:sz w:val="20"/>
                <w:szCs w:val="20"/>
                <w:color w:val="auto"/>
              </w:rPr>
            </w:pPr>
            <w:r>
              <w:rPr>
                <w:rFonts w:ascii="Arial" w:cs="Arial" w:eastAsia="Arial" w:hAnsi="Arial"/>
                <w:sz w:val="18"/>
                <w:szCs w:val="18"/>
                <w:b w:val="1"/>
                <w:bCs w:val="1"/>
                <w:color w:val="auto"/>
              </w:rPr>
              <w:t>January 18, 2023</w:t>
            </w:r>
          </w:p>
        </w:tc>
      </w:tr>
      <w:tr>
        <w:trPr>
          <w:trHeight w:val="223"/>
        </w:trPr>
        <w:tc>
          <w:tcPr>
            <w:tcW w:w="6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w:t>
            </w:r>
          </w:p>
        </w:tc>
        <w:tc>
          <w:tcPr>
            <w:tcW w:w="2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 years</w:t>
            </w:r>
          </w:p>
        </w:tc>
        <w:tc>
          <w:tcPr>
            <w:tcW w:w="10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 years</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230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2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0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2200" w:type="dxa"/>
            <w:vAlign w:val="bottom"/>
          </w:tcPr>
          <w:p>
            <w:pPr>
              <w:jc w:val="right"/>
              <w:spacing w:after="0"/>
              <w:rPr>
                <w:sz w:val="20"/>
                <w:szCs w:val="20"/>
                <w:color w:val="auto"/>
              </w:rPr>
            </w:pPr>
            <w:r>
              <w:rPr>
                <w:rFonts w:ascii="Arial" w:cs="Arial" w:eastAsia="Arial" w:hAnsi="Arial"/>
                <w:sz w:val="18"/>
                <w:szCs w:val="18"/>
                <w:color w:val="auto"/>
              </w:rPr>
              <w:t>65.0 %</w:t>
            </w:r>
          </w:p>
        </w:tc>
        <w:tc>
          <w:tcPr>
            <w:tcW w:w="10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70.0 %</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debt yield</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10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40.0 %</w:t>
            </w:r>
          </w:p>
        </w:tc>
      </w:tr>
    </w:tbl>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Level 3 liabilities are measured at fair value on a recurring basis using significant unobservable inputs. The following table summarizes the changes in the fair value of liabilities that are included within the Company’s accompanying unaudited condensed consolidated balance sheets and are designated as Level 3:</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Level 3</w:t>
            </w:r>
          </w:p>
        </w:tc>
        <w:tc>
          <w:tcPr>
            <w:tcW w:w="400" w:type="dxa"/>
            <w:vAlign w:val="bottom"/>
          </w:tcPr>
          <w:p>
            <w:pPr>
              <w:spacing w:after="0"/>
              <w:rPr>
                <w:sz w:val="20"/>
                <w:szCs w:val="20"/>
                <w:color w:val="auto"/>
              </w:rPr>
            </w:pPr>
          </w:p>
        </w:tc>
        <w:tc>
          <w:tcPr>
            <w:tcW w:w="318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 June 30,</w:t>
            </w:r>
          </w:p>
        </w:tc>
        <w:tc>
          <w:tcPr>
            <w:tcW w:w="380" w:type="dxa"/>
            <w:vAlign w:val="bottom"/>
          </w:tcPr>
          <w:p>
            <w:pPr>
              <w:spacing w:after="0"/>
              <w:rPr>
                <w:sz w:val="20"/>
                <w:szCs w:val="20"/>
                <w:color w:val="auto"/>
              </w:rPr>
            </w:pPr>
          </w:p>
        </w:tc>
        <w:tc>
          <w:tcPr>
            <w:tcW w:w="3080" w:type="dxa"/>
            <w:vAlign w:val="bottom"/>
            <w:gridSpan w:val="4"/>
          </w:tcPr>
          <w:p>
            <w:pPr>
              <w:jc w:val="right"/>
              <w:ind w:right="691"/>
              <w:spacing w:after="0"/>
              <w:rPr>
                <w:sz w:val="20"/>
                <w:szCs w:val="20"/>
                <w:color w:val="auto"/>
              </w:rPr>
            </w:pPr>
            <w:r>
              <w:rPr>
                <w:rFonts w:ascii="Arial" w:cs="Arial" w:eastAsia="Arial" w:hAnsi="Arial"/>
                <w:sz w:val="16"/>
                <w:szCs w:val="16"/>
                <w:b w:val="1"/>
                <w:bCs w:val="1"/>
                <w:color w:val="auto"/>
              </w:rPr>
              <w:t>Six Months Ended June 30,</w:t>
            </w:r>
          </w:p>
        </w:tc>
      </w:tr>
      <w:tr>
        <w:trPr>
          <w:trHeight w:val="207"/>
        </w:trPr>
        <w:tc>
          <w:tcPr>
            <w:tcW w:w="420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2022</w:t>
            </w:r>
          </w:p>
        </w:tc>
      </w:tr>
      <w:tr>
        <w:trPr>
          <w:trHeight w:val="212"/>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Embedded derivatives</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Balance at beginning of the period</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21,255</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4,664</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1,945</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12,359</w:t>
            </w: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175"/>
        </w:trPr>
        <w:tc>
          <w:tcPr>
            <w:tcW w:w="4200" w:type="dxa"/>
            <w:vAlign w:val="bottom"/>
          </w:tcPr>
          <w:p>
            <w:pPr>
              <w:ind w:left="20"/>
              <w:spacing w:after="0" w:line="176" w:lineRule="exact"/>
              <w:rPr>
                <w:sz w:val="20"/>
                <w:szCs w:val="20"/>
                <w:color w:val="auto"/>
              </w:rPr>
            </w:pPr>
            <w:r>
              <w:rPr>
                <w:rFonts w:ascii="Arial" w:cs="Arial" w:eastAsia="Arial" w:hAnsi="Arial"/>
                <w:sz w:val="18"/>
                <w:szCs w:val="18"/>
                <w:color w:val="auto"/>
              </w:rPr>
              <w:t>Loss (gain) on change in fair value of derivatives -</w:t>
            </w: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43"/>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w:t>
            </w: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5,692</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(3,978)</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(11,673)</w:t>
            </w:r>
          </w:p>
        </w:tc>
      </w:tr>
      <w:tr>
        <w:trPr>
          <w:trHeight w:val="248"/>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the period</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42,767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Warrants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Balance at beginning of the period</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w w:val="92"/>
              </w:rPr>
              <w:t>Loss on change in fair value of derivatives - related party</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27,352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27,352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the period</w:t>
            </w: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56,905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 Fair Value Measurement </w:t>
      </w:r>
      <w:r>
        <w:rPr>
          <w:rFonts w:ascii="Arial" w:cs="Arial" w:eastAsia="Arial" w:hAnsi="Arial"/>
          <w:sz w:val="18"/>
          <w:szCs w:val="18"/>
          <w:color w:val="auto"/>
        </w:rPr>
        <w:t>(cont.)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The estimated fair value of financial instruments not carried at fair value in the unaudited condensed consolidated balance sheets was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20" w:type="dxa"/>
            <w:vAlign w:val="bottom"/>
          </w:tcPr>
          <w:p>
            <w:pPr>
              <w:spacing w:after="0"/>
              <w:rPr>
                <w:sz w:val="18"/>
                <w:szCs w:val="18"/>
                <w:color w:val="auto"/>
              </w:rPr>
            </w:pPr>
          </w:p>
        </w:tc>
        <w:tc>
          <w:tcPr>
            <w:tcW w:w="1340" w:type="dxa"/>
            <w:vAlign w:val="bottom"/>
            <w:gridSpan w:val="2"/>
            <w:vMerge w:val="restart"/>
          </w:tcPr>
          <w:p>
            <w:pPr>
              <w:ind w:left="560"/>
              <w:spacing w:after="0"/>
              <w:rPr>
                <w:sz w:val="20"/>
                <w:szCs w:val="20"/>
                <w:color w:val="auto"/>
              </w:rPr>
            </w:pPr>
            <w:r>
              <w:rPr>
                <w:rFonts w:ascii="Arial" w:cs="Arial" w:eastAsia="Arial" w:hAnsi="Arial"/>
                <w:sz w:val="16"/>
                <w:szCs w:val="16"/>
                <w:b w:val="1"/>
                <w:bCs w:val="1"/>
                <w:color w:val="auto"/>
              </w:rPr>
              <w:t>Level in</w:t>
            </w:r>
          </w:p>
        </w:tc>
        <w:tc>
          <w:tcPr>
            <w:tcW w:w="200" w:type="dxa"/>
            <w:vAlign w:val="bottom"/>
          </w:tcPr>
          <w:p>
            <w:pPr>
              <w:spacing w:after="0"/>
              <w:rPr>
                <w:sz w:val="18"/>
                <w:szCs w:val="18"/>
                <w:color w:val="auto"/>
              </w:rPr>
            </w:pPr>
          </w:p>
        </w:tc>
        <w:tc>
          <w:tcPr>
            <w:tcW w:w="3380" w:type="dxa"/>
            <w:vAlign w:val="bottom"/>
            <w:gridSpan w:val="5"/>
          </w:tcPr>
          <w:p>
            <w:pPr>
              <w:ind w:left="1280"/>
              <w:spacing w:after="0"/>
              <w:rPr>
                <w:sz w:val="20"/>
                <w:szCs w:val="20"/>
                <w:color w:val="auto"/>
              </w:rPr>
            </w:pPr>
            <w:r>
              <w:rPr>
                <w:rFonts w:ascii="Arial" w:cs="Arial" w:eastAsia="Arial" w:hAnsi="Arial"/>
                <w:sz w:val="16"/>
                <w:szCs w:val="16"/>
                <w:b w:val="1"/>
                <w:bCs w:val="1"/>
                <w:color w:val="auto"/>
              </w:rPr>
              <w:t>June 30, 2023</w:t>
            </w:r>
          </w:p>
        </w:tc>
        <w:tc>
          <w:tcPr>
            <w:tcW w:w="220" w:type="dxa"/>
            <w:vAlign w:val="bottom"/>
          </w:tcPr>
          <w:p>
            <w:pPr>
              <w:spacing w:after="0"/>
              <w:rPr>
                <w:sz w:val="18"/>
                <w:szCs w:val="18"/>
                <w:color w:val="auto"/>
              </w:rPr>
            </w:pPr>
          </w:p>
        </w:tc>
        <w:tc>
          <w:tcPr>
            <w:tcW w:w="3280" w:type="dxa"/>
            <w:vAlign w:val="bottom"/>
            <w:gridSpan w:val="4"/>
          </w:tcPr>
          <w:p>
            <w:pPr>
              <w:jc w:val="right"/>
              <w:ind w:right="791"/>
              <w:spacing w:after="0"/>
              <w:rPr>
                <w:sz w:val="20"/>
                <w:szCs w:val="20"/>
                <w:color w:val="auto"/>
              </w:rPr>
            </w:pPr>
            <w:r>
              <w:rPr>
                <w:rFonts w:ascii="Arial" w:cs="Arial" w:eastAsia="Arial" w:hAnsi="Arial"/>
                <w:sz w:val="16"/>
                <w:szCs w:val="16"/>
                <w:b w:val="1"/>
                <w:bCs w:val="1"/>
                <w:color w:val="auto"/>
              </w:rPr>
              <w:t>December 31, 2022</w:t>
            </w:r>
          </w:p>
        </w:tc>
        <w:tc>
          <w:tcPr>
            <w:tcW w:w="0" w:type="dxa"/>
            <w:vAlign w:val="bottom"/>
          </w:tcPr>
          <w:p>
            <w:pPr>
              <w:spacing w:after="0"/>
              <w:rPr>
                <w:sz w:val="1"/>
                <w:szCs w:val="1"/>
                <w:color w:val="auto"/>
              </w:rPr>
            </w:pPr>
          </w:p>
        </w:tc>
      </w:tr>
      <w:tr>
        <w:trPr>
          <w:trHeight w:val="91"/>
        </w:trPr>
        <w:tc>
          <w:tcPr>
            <w:tcW w:w="282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5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4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4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4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13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4"/>
              </w:rPr>
              <w:t>Fair Value</w:t>
            </w:r>
          </w:p>
        </w:tc>
        <w:tc>
          <w:tcPr>
            <w:tcW w:w="200" w:type="dxa"/>
            <w:vAlign w:val="bottom"/>
          </w:tcPr>
          <w:p>
            <w:pPr>
              <w:spacing w:after="0"/>
              <w:rPr>
                <w:sz w:val="14"/>
                <w:szCs w:val="14"/>
                <w:color w:val="auto"/>
              </w:rPr>
            </w:pPr>
          </w:p>
        </w:tc>
        <w:tc>
          <w:tcPr>
            <w:tcW w:w="15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Carrying Value</w:t>
            </w:r>
          </w:p>
        </w:tc>
        <w:tc>
          <w:tcPr>
            <w:tcW w:w="300" w:type="dxa"/>
            <w:vAlign w:val="bottom"/>
          </w:tcPr>
          <w:p>
            <w:pPr>
              <w:spacing w:after="0"/>
              <w:rPr>
                <w:sz w:val="14"/>
                <w:szCs w:val="14"/>
                <w:color w:val="auto"/>
              </w:rPr>
            </w:pPr>
          </w:p>
        </w:tc>
        <w:tc>
          <w:tcPr>
            <w:tcW w:w="150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Fair Value</w:t>
            </w:r>
          </w:p>
        </w:tc>
        <w:tc>
          <w:tcPr>
            <w:tcW w:w="220" w:type="dxa"/>
            <w:vAlign w:val="bottom"/>
          </w:tcPr>
          <w:p>
            <w:pPr>
              <w:spacing w:after="0"/>
              <w:rPr>
                <w:sz w:val="14"/>
                <w:szCs w:val="14"/>
                <w:color w:val="auto"/>
              </w:rPr>
            </w:pPr>
          </w:p>
        </w:tc>
        <w:tc>
          <w:tcPr>
            <w:tcW w:w="15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Carrying Value</w:t>
            </w:r>
          </w:p>
        </w:tc>
        <w:tc>
          <w:tcPr>
            <w:tcW w:w="300" w:type="dxa"/>
            <w:vAlign w:val="bottom"/>
          </w:tcPr>
          <w:p>
            <w:pPr>
              <w:spacing w:after="0"/>
              <w:rPr>
                <w:sz w:val="14"/>
                <w:szCs w:val="14"/>
                <w:color w:val="auto"/>
              </w:rPr>
            </w:pPr>
          </w:p>
        </w:tc>
        <w:tc>
          <w:tcPr>
            <w:tcW w:w="1400" w:type="dxa"/>
            <w:vAlign w:val="bottom"/>
            <w:vMerge w:val="restart"/>
          </w:tcPr>
          <w:p>
            <w:pPr>
              <w:jc w:val="right"/>
              <w:ind w:right="391"/>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3"/>
        </w:trPr>
        <w:tc>
          <w:tcPr>
            <w:tcW w:w="28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Hierarchy</w:t>
            </w:r>
          </w:p>
        </w:tc>
        <w:tc>
          <w:tcPr>
            <w:tcW w:w="20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receivable</w:t>
            </w: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30"/>
        </w:trPr>
        <w:tc>
          <w:tcPr>
            <w:tcW w:w="2820" w:type="dxa"/>
            <w:vAlign w:val="bottom"/>
          </w:tcPr>
          <w:p>
            <w:pPr>
              <w:ind w:left="20"/>
              <w:spacing w:after="0"/>
              <w:rPr>
                <w:sz w:val="20"/>
                <w:szCs w:val="20"/>
                <w:color w:val="auto"/>
              </w:rPr>
            </w:pPr>
            <w:r>
              <w:rPr>
                <w:rFonts w:ascii="Arial" w:cs="Arial" w:eastAsia="Arial" w:hAnsi="Arial"/>
                <w:sz w:val="18"/>
                <w:szCs w:val="18"/>
                <w:color w:val="auto"/>
              </w:rPr>
              <w:t>2021 Convertible Notes*</w:t>
            </w:r>
          </w:p>
        </w:tc>
        <w:tc>
          <w:tcPr>
            <w:tcW w:w="124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91,862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52,860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82,950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62,421</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Term Loan</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83,503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77,576</w:t>
            </w:r>
          </w:p>
        </w:tc>
        <w:tc>
          <w:tcPr>
            <w:tcW w:w="0" w:type="dxa"/>
            <w:vAlign w:val="bottom"/>
          </w:tcPr>
          <w:p>
            <w:pPr>
              <w:spacing w:after="0"/>
              <w:rPr>
                <w:sz w:val="1"/>
                <w:szCs w:val="1"/>
                <w:color w:val="auto"/>
              </w:rPr>
            </w:pPr>
          </w:p>
        </w:tc>
      </w:tr>
      <w:tr>
        <w:trPr>
          <w:trHeight w:val="229"/>
        </w:trPr>
        <w:tc>
          <w:tcPr>
            <w:tcW w:w="2820" w:type="dxa"/>
            <w:vAlign w:val="bottom"/>
          </w:tcPr>
          <w:p>
            <w:pPr>
              <w:ind w:left="20"/>
              <w:spacing w:after="0"/>
              <w:rPr>
                <w:sz w:val="20"/>
                <w:szCs w:val="20"/>
                <w:color w:val="auto"/>
              </w:rPr>
            </w:pPr>
            <w:r>
              <w:rPr>
                <w:rFonts w:ascii="Arial" w:cs="Arial" w:eastAsia="Arial" w:hAnsi="Arial"/>
                <w:sz w:val="18"/>
                <w:szCs w:val="18"/>
                <w:color w:val="auto"/>
              </w:rPr>
              <w:t>AFG Convertible Notes*</w:t>
            </w:r>
          </w:p>
        </w:tc>
        <w:tc>
          <w:tcPr>
            <w:tcW w:w="124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50,053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50,613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 financing facility</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6,282</w:t>
            </w:r>
          </w:p>
        </w:tc>
        <w:tc>
          <w:tcPr>
            <w:tcW w:w="0" w:type="dxa"/>
            <w:vAlign w:val="bottom"/>
          </w:tcPr>
          <w:p>
            <w:pPr>
              <w:spacing w:after="0"/>
              <w:rPr>
                <w:sz w:val="1"/>
                <w:szCs w:val="1"/>
                <w:color w:val="auto"/>
              </w:rPr>
            </w:pPr>
          </w:p>
        </w:tc>
      </w:tr>
      <w:tr>
        <w:trPr>
          <w:trHeight w:val="229"/>
        </w:trPr>
        <w:tc>
          <w:tcPr>
            <w:tcW w:w="2820" w:type="dxa"/>
            <w:vAlign w:val="bottom"/>
          </w:tcPr>
          <w:p>
            <w:pPr>
              <w:ind w:left="20"/>
              <w:spacing w:after="0"/>
              <w:rPr>
                <w:sz w:val="20"/>
                <w:szCs w:val="20"/>
                <w:color w:val="auto"/>
              </w:rPr>
            </w:pPr>
            <w:r>
              <w:rPr>
                <w:rFonts w:ascii="Arial" w:cs="Arial" w:eastAsia="Arial" w:hAnsi="Arial"/>
                <w:sz w:val="18"/>
                <w:szCs w:val="18"/>
                <w:color w:val="auto"/>
              </w:rPr>
              <w:t>Yorkville Convertible Notes*</w:t>
            </w:r>
          </w:p>
        </w:tc>
        <w:tc>
          <w:tcPr>
            <w:tcW w:w="124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2,908</w:t>
            </w:r>
          </w:p>
        </w:tc>
        <w:tc>
          <w:tcPr>
            <w:tcW w:w="0" w:type="dxa"/>
            <w:vAlign w:val="bottom"/>
          </w:tcPr>
          <w:p>
            <w:pPr>
              <w:spacing w:after="0"/>
              <w:rPr>
                <w:sz w:val="1"/>
                <w:szCs w:val="1"/>
                <w:color w:val="auto"/>
              </w:rPr>
            </w:pPr>
          </w:p>
        </w:tc>
      </w:tr>
      <w:tr>
        <w:trPr>
          <w:trHeight w:val="248"/>
        </w:trPr>
        <w:tc>
          <w:tcPr>
            <w:tcW w:w="28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233,477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149,864</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*Includes the embedded derivative liabilities.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Commitments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lease commitments under lease agreements. As of June 30, 2023, future lease payments amounted to $6,165.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Minimum Volume Commitment</w:t>
      </w:r>
    </w:p>
    <w:p>
      <w:pPr>
        <w:spacing w:after="0" w:line="15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June 2022, the Company entered into a long-term supply agreement with a minimum volume commitment with a third party, which provides services to process certain raw materials. Any purchase order issued under this supply agreement will be non-cancellable. To the extent the Company fails to order the guaranteed minimum volume defined in the contract at the end of the term, the Company is required to pay the counterparty an amount equal to the shortfall, if any, multiplied by a fee. As of June 30, 2023, the Company had open purchase commitments of $231 under this agreement. The Company believes that the probability of failing to meet the minimum volume commitment is remote and no shortfall penalty has been accrued as of June 30, 2023.</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Delaware Section 205 Petition</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12, 2020, BMRG, the predecessor to the Company, held a special meeting of stockholders (the “BMRG Special Meeting”) to approve certain matters relating to the business combination between BMRG and Eos Energy Storage LLC.</w:t>
      </w:r>
    </w:p>
    <w:p>
      <w:pPr>
        <w:spacing w:after="0" w:line="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One of these matters was a proposal to amend and restate BMRG’s certificate of incorporation in order to, among other things, increase the number of authorized shares of common stock from 125,000,000 shares of common stock, consisting of 100,000,000 shares of Class A common stock and 25,000,000 shares of Class B common stock, to 200,000,000 shares of common stock, and to reclassify all Class A common stock and Class B common stock as a single class of common stock (the “Charter Amendment Proposal”). The Charter Amendment Proposal was approved by a majority of the outstanding shares of Class A common stock and Class B common stock of BMRG as of the record date for the BMRG Special Meeting, voting together as a single class, although voting records indicate that a majority of each of the shares of Class A common stock and Class B common stock also approved the Charter Amendment Proposal. After the BMRG Special Meeting, BMRG and Eos Energy Storage LLC closed the business combination and the Company’s certificate of incorporation, as amended to give effect to the Charter Amendment Proposal, became effective.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15. Commitments and Contingencies </w:t>
      </w:r>
      <w:r>
        <w:rPr>
          <w:rFonts w:ascii="Arial" w:cs="Arial" w:eastAsia="Arial" w:hAnsi="Arial"/>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 recent ruling by the Delaware Court of Chancery introduced uncertainty as to whether Section 242(b)(2) of the Delaware General Corporation Law (the “DGCL”) would have required the Charter Amendment Proposal to be approved by separate votes of the majority of BMRG’s then-outstanding shares of Class A common stock and Class B common stock. To resolve potential uncertainty with respect to the Company’s capital structure, the Company filed a petition in the Delaware Court of Chancery under Section 205 of the DGCL to seek validation of the Charter Amendment Proposal. Section 205 of the DGCL permits the Court of Chancery, in its discretion, to ratify and validate potentially defective corporate acts.</w:t>
      </w:r>
    </w:p>
    <w:p>
      <w:pPr>
        <w:spacing w:after="0" w:line="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27, 2023, the Court of Chancery approved the Company’s request for relief and entered an order under Section 205 of the Delaware General Corporation Law (1) declaring the Company’s Third Amended and Restated Certificate of Incorporation (the “Charter”), including the filing and effectiveness thereof, as validated and effective retroactive to the date of its filing with the Office of the Secretary of State of the State of Delaware on November 16, 2020, and all amendments effected thereby and (2) ordering that the Company’s securities (and the issuance of the securities) described in the Petition and any other securities issued in reliance on the validity of the Charter are validated and declared effective, each as of the original issuance dates.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Class Action Complaints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8, 2023, Plaintiff Richard Delman filed a class action complaint (the “March Complaint”) in the Court of Chancery of the State of Delaware. The March Complaint names certain of the Company’s former directors as defendants. Neither the Company nor Eos Energy Storage LLC was named as a defendant in the March Complaint, but each was identified as a relevant non-party and the Company owes certain indemnification obligations relating to the lawsuit to the Company’s former directors.</w:t>
      </w:r>
    </w:p>
    <w:p>
      <w:pPr>
        <w:spacing w:after="0" w:line="10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August 1, 2023, a class action complaint was filed against the Company, its Chief Executive Officer, its Chief Financial Officer, and its former Chief Financial Officer (the “August Complaint”) in the United States District Court, District of New Jersey. The August Complaint asserts violations of the federal securities laws in connection with statements and alleged omissions relating to the Company’s business, prospects and reported backlog</w:t>
      </w:r>
      <w:r>
        <w:rPr>
          <w:rFonts w:ascii="Arial" w:cs="Arial" w:eastAsia="Arial" w:hAnsi="Arial"/>
          <w:sz w:val="17"/>
          <w:szCs w:val="17"/>
          <w:color w:val="444444"/>
        </w:rPr>
        <w:t>.</w:t>
      </w:r>
      <w:r>
        <w:rPr>
          <w:rFonts w:ascii="Arial" w:cs="Arial" w:eastAsia="Arial" w:hAnsi="Arial"/>
          <w:sz w:val="17"/>
          <w:szCs w:val="17"/>
          <w:color w:val="auto"/>
        </w:rPr>
        <w:t xml:space="preserve"> The Company believes the August Complaint is without merit and intends to vigorously defend against this action.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Stock-Based Compensation</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stock-based compensation expense is associated with restricted stock units (“RSU”s) and stock options. Stock-based compensation expense is recognized on a straight-line basis over the requisite service period of the award, which is generally the award vesting term. Stock options generally have a term of five to ten years and vest over periods ranging from three months to five years. RSUs generally vest over periods from three to four years. For awards with performance conditions, stock-based compensation expense is recognized on a straight-line basis based on management’s estimation of achievement of performance conditions. The estimated performance conditions primarily relate to achievement of sales and financing targets. In June 2023, the Company modified 550,000 of performance-based stock options that were issued in June 2022 and December 2022 by extending the period to meet certain performance conditions.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included in the unaudited condensed consolidated statements of operations and comprehensive loss was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80" w:type="dxa"/>
            <w:vAlign w:val="bottom"/>
          </w:tcPr>
          <w:p>
            <w:pPr>
              <w:spacing w:after="0"/>
              <w:rPr>
                <w:sz w:val="18"/>
                <w:szCs w:val="18"/>
                <w:color w:val="auto"/>
              </w:rPr>
            </w:pPr>
          </w:p>
        </w:tc>
        <w:tc>
          <w:tcPr>
            <w:tcW w:w="2920" w:type="dxa"/>
            <w:vAlign w:val="bottom"/>
            <w:tcBorders>
              <w:bottom w:val="single" w:sz="8" w:color="auto"/>
            </w:tcBorders>
            <w:gridSpan w:val="4"/>
          </w:tcPr>
          <w:p>
            <w:pPr>
              <w:jc w:val="right"/>
              <w:ind w:right="33"/>
              <w:spacing w:after="0"/>
              <w:rPr>
                <w:sz w:val="20"/>
                <w:szCs w:val="20"/>
                <w:color w:val="auto"/>
              </w:rPr>
            </w:pPr>
            <w:r>
              <w:rPr>
                <w:rFonts w:ascii="Arial" w:cs="Arial" w:eastAsia="Arial" w:hAnsi="Arial"/>
                <w:sz w:val="16"/>
                <w:szCs w:val="16"/>
                <w:b w:val="1"/>
                <w:bCs w:val="1"/>
                <w:color w:val="auto"/>
              </w:rPr>
              <w:t>Three Months Ended June 30,</w:t>
            </w:r>
          </w:p>
        </w:tc>
        <w:tc>
          <w:tcPr>
            <w:tcW w:w="6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40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2023</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rPr>
              <w:t>2022</w:t>
            </w: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4"/>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2022</w:t>
            </w:r>
          </w:p>
        </w:tc>
      </w:tr>
      <w:tr>
        <w:trPr>
          <w:trHeight w:val="22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120" w:type="dxa"/>
            <w:vAlign w:val="bottom"/>
            <w:shd w:val="clear" w:color="auto" w:fill="CCEEFF"/>
          </w:tcPr>
          <w:p>
            <w:pPr>
              <w:jc w:val="right"/>
              <w:ind w:right="935"/>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3"/>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w:t>
            </w:r>
          </w:p>
        </w:tc>
      </w:tr>
      <w:tr>
        <w:trPr>
          <w:trHeight w:val="230"/>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stock units</w:t>
            </w:r>
          </w:p>
        </w:tc>
        <w:tc>
          <w:tcPr>
            <w:tcW w:w="1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2,065</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2,925</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5,957</w:t>
            </w:r>
          </w:p>
        </w:tc>
      </w:tr>
      <w:tr>
        <w:trPr>
          <w:trHeight w:val="248"/>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shd w:val="clear" w:color="auto" w:fill="CCEEFF"/>
          </w:tcPr>
          <w:p>
            <w:pPr>
              <w:jc w:val="right"/>
              <w:ind w:right="935"/>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7,377</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stock compensation expense has been recorded in cost of goods sold, research and development expenses, and selling, general and administrative expenses.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16. Stock-Based Compensation </w:t>
      </w:r>
      <w:r>
        <w:rPr>
          <w:rFonts w:ascii="Arial" w:cs="Arial" w:eastAsia="Arial" w:hAnsi="Arial"/>
          <w:sz w:val="18"/>
          <w:szCs w:val="18"/>
          <w:color w:val="auto"/>
        </w:rPr>
        <w:t>(cont.)</w:t>
      </w:r>
    </w:p>
    <w:p>
      <w:pPr>
        <w:spacing w:after="0" w:line="200" w:lineRule="exact"/>
        <w:rPr>
          <w:sz w:val="20"/>
          <w:szCs w:val="20"/>
          <w:color w:val="auto"/>
        </w:rPr>
      </w:pPr>
    </w:p>
    <w:p>
      <w:pPr>
        <w:spacing w:after="0" w:line="38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of June 30, 2023, total unrecognized compensation expense was $9,495 of which $7,709 was attributable to unvested RSUs and $1,786 was attributable to unvested stock options. Compensation expense for these unvested awards is expected to be recognized over a weighted-average remaining vesting period of 0.7 years for stock options and 1.2 years for RSUs.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Income Taxes</w:t>
      </w:r>
    </w:p>
    <w:p>
      <w:pPr>
        <w:spacing w:after="0" w:line="1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three and six months ended June 30, 2023, income tax expense was $2 and $12, respectively, related to taxable earnings from the Company’s foreign operations. For the three and six months ended June 30, 2022, income tax benefit was $(23) and $(65), respectively. The income tax expense differs from the amount computed by applying the statutory U.S. federal income tax rate of 21% to the loss before income taxes. This is due to non-taxable income, foreign operations, and pre-tax losses for which no tax benefit can be recognized for U.S. income tax purposes.</w:t>
      </w:r>
    </w:p>
    <w:p>
      <w:pPr>
        <w:spacing w:after="0" w:line="9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estimates and applies the annual effective tax rate to its ordinary earnings each interim period. Any significant unusual or infrequent items, if any, are not included in the estimation of the annual effective tax rate. Rather, these items and their related income tax expense are separately stated in the interim period in which they occur. The quarterly estimate of the annual effective tax rate and related tax expense is subject to variation due to a multitude of factors. Factors may include, but are not limited to, the inability to accurately predict the Company’s pre-tax and taxable income and loss.</w:t>
      </w:r>
    </w:p>
    <w:p>
      <w:pPr>
        <w:spacing w:after="0" w:line="9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At each balance sheet date, management assesses the likelihood that the Company will be able to realize its deferred tax assets. Management considered all available positive and negative evidence in assessing the need for a valuation allowance. The realization of deferred tax assets depends on the generation of sufficient taxable income of the appropriate character and in the appropriate taxing jurisdiction during the future periods in which the related temporary differences become deductible. Management has determined that it is unlikely that the Company will be able to utilize its U.S. deferred tax assets at June 30, 2023 and December 31, 2022 due to cumulative losses. Therefore, the Company has a valuation allowance against its net U.S. deferred tax assets.</w:t>
      </w:r>
    </w:p>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2023 and December 31, 2022, the Company has unrecognized tax benefits associated with uncertain tax positions that, if recognized, would not affect the effective tax rate on income from continuing operations. The Company is not currently under examination by any taxing jurisdiction, and none of the uncertain tax positions are expected to reverse within the next 12 months.</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files income tax returns in U.S. federal and various state jurisdictions, as well as Italy and India. The open tax years for federal returns are 2019 and forward, and open tax years for state returns are generally 2018 and forward. In addition, net operating losses generated in closed years and utilized in open years are subject to adjustment by the tax authorities.</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August 16, 2022, President Biden signed the Inflation Reduction Act of 2022 into law. There are two major corporate tax provisions included in the Act. In general, the IRA creates a 15% corporate alternative minimum tax (“CAMT”) on any corporation that has (or has had) average annual “adjusted financial statement income” for a three-year period preceding the tax year that exceeds $1 billion. The CAMT is effective for tax years beginning after December 31, 2022. The IRA also imposes on publicly traded U.S. corporations a 1% excise tax on certain repurchases of their stock. The excise tax is effective for stock repurchases after December 31, 2022. The Company does not expect the aforementioned provisions in the IRA to have any material impact on the Company’s unaudited condensed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addition to the CAMT discussed above, the IRA has production tax credits that are discussed in Note 10, </w:t>
      </w:r>
      <w:r>
        <w:rPr>
          <w:rFonts w:ascii="Arial" w:cs="Arial" w:eastAsia="Arial" w:hAnsi="Arial"/>
          <w:sz w:val="18"/>
          <w:szCs w:val="18"/>
          <w:i w:val="1"/>
          <w:iCs w:val="1"/>
          <w:color w:val="auto"/>
        </w:rPr>
        <w:t>Government Grants.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Shareholders’ Deficit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authorized to issue 1,000,000 shares of preferred stock with such designations, voting and other rights and preferences as may be determined from time to time by the Company’s Board of Directors. At June 30, 2023 and December 31, 2022, there were no shares of preferred stock issued or outstanding.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authorized to issue 300,000,000 shares of common stock at $0.0001 par value. The holders of the Company’s common stock are entitled to one vote for each share held. At June 30, 2023 and December 31, 2022, there were 127,309,960 and 82,653,781 shares of common stock issued and outstanding.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April 2023 Transaction and May 2023 Transactions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 discussed in Note 13, </w:t>
      </w:r>
      <w:r>
        <w:rPr>
          <w:rFonts w:ascii="Arial" w:cs="Arial" w:eastAsia="Arial" w:hAnsi="Arial"/>
          <w:sz w:val="18"/>
          <w:szCs w:val="18"/>
          <w:i w:val="1"/>
          <w:iCs w:val="1"/>
          <w:color w:val="auto"/>
        </w:rPr>
        <w:t>Warrants Liability - Related Party,</w:t>
      </w:r>
      <w:r>
        <w:rPr>
          <w:rFonts w:ascii="Arial" w:cs="Arial" w:eastAsia="Arial" w:hAnsi="Arial"/>
          <w:sz w:val="18"/>
          <w:szCs w:val="18"/>
          <w:color w:val="auto"/>
        </w:rPr>
        <w:t xml:space="preserve"> the April 2023 Transaction consisted of issuance of 16,000,000 shares of common stock at a price of $2.50 per share. The Company also issued 16,000,000 private placement warrants to purchase 16,000,000 shares of common stock. The warrants have an exercise price of $3.14 per share, are not exercisable until six months from the date of issuance and expire five and one-half years from the date of issuance.</w:t>
      </w:r>
    </w:p>
    <w:p>
      <w:pPr>
        <w:spacing w:after="0" w:line="1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May 2023 Transaction consisted of issuance of 3,601,980 shares of common stock at a price of $2.221 per share. The Company also issued 3,601,980 private placement warrants to purchase 3,601,980 shares of common stock. The warrants have an exercise price of $2.50 per share, and became exercisable on July 15, 2023. The warrants expire five years from the date they are initially exercisable.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recorded treasury stock of $106 and $26 for the three months ended June 30, 2023 and 2022 and $451 and $852 for the six months ended June 30, 2023 and 2022 for shares withheld from employees to cover the payroll tax liability of RSUs vested, respectively. The treasury stock was immediately retired.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Warrants</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sold warrants to purchase 9,075,000 shares of the Company’s common stock in a public offering on May 22, 2020 (the “Public Warrants”). Each Public Warrant entitles the holder to purchase a share of common stock at a price of $11.50 per share. There were no Public Warrants exercised for the three months ended June 30, 2023 and 2022. There were 0 and 600 Public Warrants exercised for the six months ended June 30, 2023 and 2022, respectively. As of June 30, 2023 and December 31, 2022, there were 7,001,654 public warrants outstanding.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Standby Equity Purchase Agreement</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April 28, 2022, the Company entered into the SEPA with Yorkville. Pursuant to the SEPA, as amended, the Company has the right, but not the obligation, to sell to Yorkville up to $75,000 of shares of its common stock at the Company’s request at any time during the commitment period, which commenced on April 28, 2022 and will end on the earlier of (i) May 1, 2024, or (ii) the date on which Yorkville shall have made payment of advances requested by the Company totaling up to the commitment amount of $75,000. Each sale the Company requests under the SEPA (an “Advance”) may be for a number of shares of common stock with an aggregate value of up to $20,000. The SEPA provides for shares to be sold to Yorkville at 97.0% of market price. Pursuant to the terms and conditions set forth in the SEPA, 465,117 shares were issued to Yorkville in April 2022 as consideration for its irrevocable commitment to purchase shares of common stock. The fair value of these shares of $1,061 was recorded as other expense in the unaudited condensed consolidated statements of operations and comprehensive loss.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2023, total funds raised under the SEPA, inclusive of proceeds received from the Yorkville Convertible Promissory Notes, were $35,550. During the six months ended June 30, 2023, total shares issued under the SEPA were 23,630,937.</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18. Shareholders’ Deficit </w:t>
      </w:r>
      <w:r>
        <w:rPr>
          <w:rFonts w:ascii="Arial" w:cs="Arial" w:eastAsia="Arial" w:hAnsi="Arial"/>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2022, total funds raised under the SEPA, inclusive of proceeds received from the Yorkville Convertible Promissory Notes, were $12,350. During the six months ended June 30, 2022, total shares issued under the SEPA were 4,433,056.</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Offering Program</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August 5, 2022, the Company entered into the Sales Agreement with Cowen and Company LLC (“Cowen”), with respect to an ATM offering program under which the Company may offer and sell, from time to time at its sole discretion, shares of its common stock, par value $0.0001 per share, having an aggregate offering price of up to $100,000 (the “Placement Shares”) through Cowen as its sales agent and/or principal.</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The Company will pay Cowen a commission equal to 3.0% of the gross sales proceeds of any Placement Shares sold. The Company will also reimburse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Cowen for certain expenses incurred in connection with the Sales Agreement. The Sales Agreement will terminate upon the earlier of (i) the sale of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Placement Shares subject to the Sales Agreement or (ii) termination of the Sales Agreement in accordance with the terms and conditions set forth therein.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(Loss) Per Share</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Basic earnings per share (“EPS”) is computed by dividing earnings available to common shareholders by the weighted average number of shares of common stock outstanding during the period. Other potentially dilutive common shares, and the related impact to earnings, are considered when calculating EPS on a diluted basis. As the Company incurred a net loss for the three and six months ended June 30, 2023 and 2022, the potential dilutive shares from stock options, restricted stock units, warrants, and convertible redeemable notes were excluded from the calculation of diluted net loss per share because their effect would have been anti-dilutive for the periods presented. Therefore, basic and diluted EPS are computed using the same number of weighted average shares for the three and six months ended June 30, 2023 and 2022. The following potentially dilutive shares were excluded from the calculation of diluted net loss per share because their effect would have been anti-dilutive for the periods presented:</w:t>
      </w:r>
    </w:p>
    <w:p>
      <w:pPr>
        <w:spacing w:after="0" w:line="245" w:lineRule="exact"/>
        <w:rPr>
          <w:sz w:val="20"/>
          <w:szCs w:val="20"/>
          <w:color w:val="auto"/>
        </w:rPr>
      </w:pPr>
    </w:p>
    <w:p>
      <w:pPr>
        <w:ind w:left="7340"/>
        <w:spacing w:after="0"/>
        <w:rPr>
          <w:sz w:val="20"/>
          <w:szCs w:val="20"/>
          <w:color w:val="auto"/>
        </w:rPr>
      </w:pPr>
      <w:r>
        <w:rPr>
          <w:rFonts w:ascii="Arial" w:cs="Arial" w:eastAsia="Arial" w:hAnsi="Arial"/>
          <w:sz w:val="16"/>
          <w:szCs w:val="16"/>
          <w:b w:val="1"/>
          <w:bCs w:val="1"/>
          <w:color w:val="auto"/>
        </w:rPr>
        <w:t>For the Three and Six Months Ended June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2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9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160" w:type="dxa"/>
            <w:vAlign w:val="bottom"/>
            <w:tcBorders>
              <w:top w:val="single" w:sz="8" w:color="auto"/>
              <w:bottom w:val="single" w:sz="8" w:color="auto"/>
            </w:tcBorders>
          </w:tcPr>
          <w:p>
            <w:pPr>
              <w:jc w:val="right"/>
              <w:ind w:right="832"/>
              <w:spacing w:after="0"/>
              <w:rPr>
                <w:sz w:val="20"/>
                <w:szCs w:val="20"/>
                <w:color w:val="auto"/>
              </w:rPr>
            </w:pPr>
            <w:r>
              <w:rPr>
                <w:rFonts w:ascii="Arial" w:cs="Arial" w:eastAsia="Arial" w:hAnsi="Arial"/>
                <w:sz w:val="16"/>
                <w:szCs w:val="16"/>
                <w:b w:val="1"/>
                <w:bCs w:val="1"/>
                <w:color w:val="auto"/>
              </w:rPr>
              <w:t>2022</w:t>
            </w:r>
          </w:p>
        </w:tc>
      </w:tr>
      <w:tr>
        <w:trPr>
          <w:trHeight w:val="226"/>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and restricted stock units</w:t>
            </w:r>
          </w:p>
        </w:tc>
        <w:tc>
          <w:tcPr>
            <w:tcW w:w="1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6,279,623</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8,080,793</w:t>
            </w:r>
          </w:p>
        </w:tc>
      </w:tr>
      <w:tr>
        <w:trPr>
          <w:trHeight w:val="230"/>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Public and private placement warrants</w:t>
            </w:r>
          </w:p>
        </w:tc>
        <w:tc>
          <w:tcPr>
            <w:tcW w:w="900" w:type="dxa"/>
            <w:vAlign w:val="bottom"/>
          </w:tcPr>
          <w:p>
            <w:pPr>
              <w:jc w:val="right"/>
              <w:spacing w:after="0"/>
              <w:rPr>
                <w:sz w:val="20"/>
                <w:szCs w:val="20"/>
                <w:color w:val="auto"/>
              </w:rPr>
            </w:pPr>
            <w:r>
              <w:rPr>
                <w:rFonts w:ascii="Arial" w:cs="Arial" w:eastAsia="Arial" w:hAnsi="Arial"/>
                <w:sz w:val="18"/>
                <w:szCs w:val="18"/>
                <w:color w:val="auto"/>
                <w:w w:val="88"/>
              </w:rPr>
              <w:t>26,928,634</w:t>
            </w:r>
          </w:p>
        </w:tc>
        <w:tc>
          <w:tcPr>
            <w:tcW w:w="1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7,326,654</w:t>
            </w:r>
          </w:p>
        </w:tc>
      </w:tr>
      <w:tr>
        <w:trPr>
          <w:trHeight w:val="230"/>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Convertible Notes (if converted)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14,836,450</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8,692,061</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evaluated subsequent events through the issuance date of these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Class Action Complaint</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August 1, 2023, a class action complaint was filed against the Company, its Chief Executive Officer, its Chief Financial Officer, and its former Chief Financial Officer (the “August Complaint”) in the United States District Court, District of New Jersey. The August Complaint asserts violations of the federal securities laws in connection with statements and alleged omissions relating to the Company’s business, prospects and reported backlog</w:t>
      </w:r>
      <w:r>
        <w:rPr>
          <w:rFonts w:ascii="Arial" w:cs="Arial" w:eastAsia="Arial" w:hAnsi="Arial"/>
          <w:sz w:val="17"/>
          <w:szCs w:val="17"/>
          <w:color w:val="444444"/>
        </w:rPr>
        <w:t>.</w:t>
      </w:r>
      <w:r>
        <w:rPr>
          <w:rFonts w:ascii="Arial" w:cs="Arial" w:eastAsia="Arial" w:hAnsi="Arial"/>
          <w:sz w:val="17"/>
          <w:szCs w:val="17"/>
          <w:color w:val="auto"/>
        </w:rPr>
        <w:t xml:space="preserve"> The Company believes the August Complaint is without merit and intends to vigorously defend against this action.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The following discussion should be read in conjunction with the accompanying unaudited condensed consolidated financial statements for the six months ended June 30, 2023 and 2022 and the Company’s Annual Report on Form 10-K for the year ended December 31, 2022, including the financial statements and notes thereto.</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offers an innovative Znyth™ aqueous zinc battery energy storage system designed to provide the operating flexibility to manage increased grid complexity deriving from an overall increase in renewable energy generation and a congested grid coming from an increase in electricity demand growth. The Company’s battery energy storage system is a proven chemistry with accessible non-precious earth components in a durable, safe, scalable and sustainable design that delivers results in a wide variety of temperatures and conditions. Manufactured in the United States, the Company’s battery energy storage system is the core of the Company’s innovative systems that today provide utilities, independent power producers, renewables developers, and C&amp;I customers with a proven, reliable energy storage alternative for 3- to 12-hour discharge durations. The Company’s innovative spirit extends to its manufacturing strategy, which includes proprietary equipment and processes that allow the Company to scale quickly and with a lower capital intensity than other similar technologies. The Company believes its technology will continue to reduce cost and improve the operating efficiency and competitiveness of its battery energy storage systems.</w:t>
      </w:r>
    </w:p>
    <w:p>
      <w:pPr>
        <w:spacing w:after="0" w:line="11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Company’s growth strategy contemplates increasing sales of battery energy storage systems and related software and services through a direct sales team and sales channel partners. The Company’s current and target customers include utilities, project developers, independent power producers and commercial and industrial companies.</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battery energy storage systems, the Company currently offers: (a) a Battery Management System, a remote asset monitoring capability and service to track the performance and health of the Company’s battery energy storage system and to proactively identify future system performance issues through predictive analytics; (b) project management services to ensure the process of implementing the Company’s battery energy storage systems are coordinated in conjunction with the customer’s overall project plans; (c) commissioning services that ensure the customer’s installation of the battery energy storage system meets the performance expected by the customer; and (d) operations and maintenance plans to maintain optimal operating performance of the Company’s systems</w:t>
      </w:r>
      <w:r>
        <w:rPr>
          <w:rFonts w:ascii="Arial" w:cs="Arial" w:eastAsia="Arial" w:hAnsi="Arial"/>
          <w:sz w:val="18"/>
          <w:szCs w:val="18"/>
          <w:b w:val="1"/>
          <w:bCs w:val="1"/>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4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continues to invest in the design, development, and production of its next generation product, the Eos Z3™ battery, which builds off the same electrochemistry that has not fundamentally changed for the better part of a decade. The next generation Eos Z3 battery is being designed to reduce cost and weight while improving manufacturability and system performance. The Eos Z3 battery is expected to be more cost-effective and have a simpler tub design with 50% fewer cells and 98% fewer welds per battery module, compared to Gen 2.3. The Company currently expects the Eos Z3 battery will give customers the benefit of two times energy density per square foot with the same safety and reliability as the previous generation battery. The Eos Z3 transition is fully underway, and the first semi-automated battery manufacturing line is installed and has started commercial production. Eos Z3 batteries utilize the same chemistry, which has over 3 million cycles, and incorporates a new mechanical design aimed at improving performance, lowering cost and increasing manufacturability. The Company expects to deliver its first customer orders from this line in the third quarter. Eos’s progression to the Eos Z3 battery incorporates valuable lessons learned from the past 15 years into a new system design which the Company expects to result in efficiencies as it develops its new state-of-the-art manufacturing line.</w:t>
      </w:r>
    </w:p>
    <w:p>
      <w:pPr>
        <w:spacing w:after="0" w:line="1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believes the simplicity, flexibility, and safety of our products are what the market desires. In addition, we understand that the Inflation Reduction Act gives us a competitive advantage with production tax credits (“PTC”) that can be claimed on battery components manufactured domestically, in addition to a tax credit for customers for projects that satisfy domestic content requirements.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the Company plans to participate in a consortium of community leaders, universities, and supply chain partners in anticipation of pursuing grants made available under the Bipartisan Infrastructure Law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Landscape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Reduction Act of 2022 (“IRA”)</w:t>
      </w:r>
    </w:p>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IRA features significant economic incentives for both energy storage customers and manufacturers for projects placed in service after December 31, 2022. One of the most important features of the IRA is that it offers a 10-year term tax credit, whereas historically similar industrial credits have been shorter in duration. Customers placing new energy storage facilities in service will be allowed to claim at least a thirty percent investment tax credit (“ITC”) under certain conditions. The IRA also offers an extra ten percent credit if the project is in an “energy community” and another ten percent credit if the project satisfies domestic content requirements, which will be set forth when the implementing regulations are finalized. The ten percent bonus for domestic content could represent a strategic advantage for the Company resulting from the Company’s near-sourcing and Made in America strategy, and we currently anticipate that projects utilizing Eos batteries will qualify for the bonus.</w:t>
      </w:r>
    </w:p>
    <w:p>
      <w:pPr>
        <w:spacing w:after="0" w:line="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As discussed in Note 10, </w:t>
      </w:r>
      <w:r>
        <w:rPr>
          <w:rFonts w:ascii="Arial" w:cs="Arial" w:eastAsia="Arial" w:hAnsi="Arial"/>
          <w:sz w:val="18"/>
          <w:szCs w:val="18"/>
          <w:i w:val="1"/>
          <w:iCs w:val="1"/>
          <w:color w:val="auto"/>
        </w:rPr>
        <w:t>Government Grants</w:t>
      </w:r>
      <w:r>
        <w:rPr>
          <w:rFonts w:ascii="Arial" w:cs="Arial" w:eastAsia="Arial" w:hAnsi="Arial"/>
          <w:sz w:val="18"/>
          <w:szCs w:val="18"/>
          <w:color w:val="auto"/>
        </w:rPr>
        <w:t xml:space="preserve"> to our unaudited condensed consolidated financial statements included elsewhere in this Quarterly Report, starting in 2023, there are Production Tax Credits under Internal Revenue Code 45X (“PTC”), that can be claimed on battery components manufactured in the U.S. and sold to U.S. or foreign customers. These tax credits available to manufacturers include a credit for ten percent of the cost incurred to make electrode active materials in addition to credits of $35 per kWh of capacity of battery cells and $10 per kWh of capacity of battery modules. These credits are cumulative, meaning that companies will be able to claim each of the available tax credits based on the battery components produced and sold through 2029, after which the PTC will begin to gradually phase down through 2032. These credits are expected to be a new source of cash flow for Eos in the future.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Highlights</w:t>
      </w:r>
    </w:p>
    <w:p>
      <w:pPr>
        <w:spacing w:after="0" w:line="121" w:lineRule="exact"/>
        <w:rPr>
          <w:sz w:val="20"/>
          <w:szCs w:val="20"/>
          <w:color w:val="auto"/>
        </w:rPr>
      </w:pPr>
    </w:p>
    <w:p>
      <w:pPr>
        <w:jc w:val="both"/>
        <w:ind w:left="660" w:hanging="328"/>
        <w:spacing w:after="0" w:line="259"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In January 2023, several investors, including Clear Creek Investments, LLC, Ardsley Advisory Partners LP, and AltEnergy, LLC, made a $13.75 million investment in the Company by purchasing the Company’s 26.5% Convertible Senior PIK Notes due 2026, the proceeds of which supported the Company’s strategic growth initiatives. See Note 12, </w:t>
      </w:r>
      <w:r>
        <w:rPr>
          <w:rFonts w:ascii="Arial" w:cs="Arial" w:eastAsia="Arial" w:hAnsi="Arial"/>
          <w:sz w:val="18"/>
          <w:szCs w:val="18"/>
          <w:i w:val="1"/>
          <w:iCs w:val="1"/>
          <w:color w:val="auto"/>
        </w:rPr>
        <w:t>Borrowings</w:t>
      </w:r>
      <w:r>
        <w:rPr>
          <w:rFonts w:ascii="Arial" w:cs="Arial" w:eastAsia="Arial" w:hAnsi="Arial"/>
          <w:sz w:val="18"/>
          <w:szCs w:val="18"/>
          <w:color w:val="auto"/>
        </w:rPr>
        <w:t xml:space="preserve"> to our unaudited condensed consolidated financial statements included elsewhere in this Quarterly Report for further discussion.</w:t>
      </w:r>
    </w:p>
    <w:p>
      <w:pPr>
        <w:spacing w:after="0" w:line="7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February 2023, the Company announced an initial 47 MWh renewables plus storage project with one of the largest operators of energy storage in the U.S., along with a separate long-term agreement that contributes 4GWh to the Company’s pipeline.</w:t>
      </w:r>
    </w:p>
    <w:p>
      <w:pPr>
        <w:spacing w:after="0" w:line="62"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In February 2023, the Company issued and sold a convertible promissory note (the “February 2023 Promissory Note”) with an aggregate principal amount of $5.0 million in a private placement to Yorkville under the second supplemental agreement (the “Second Supplemental Agreement”) to the Standby Equity Purchase Agreement (the “SEPA”). See Note 12, </w:t>
      </w:r>
      <w:r>
        <w:rPr>
          <w:rFonts w:ascii="Arial" w:cs="Arial" w:eastAsia="Arial" w:hAnsi="Arial"/>
          <w:sz w:val="18"/>
          <w:szCs w:val="18"/>
          <w:i w:val="1"/>
          <w:iCs w:val="1"/>
          <w:color w:val="auto"/>
        </w:rPr>
        <w:t>Borrowings</w:t>
      </w:r>
      <w:r>
        <w:rPr>
          <w:rFonts w:ascii="Arial" w:cs="Arial" w:eastAsia="Arial" w:hAnsi="Arial"/>
          <w:sz w:val="18"/>
          <w:szCs w:val="18"/>
          <w:color w:val="auto"/>
        </w:rPr>
        <w:t xml:space="preserve"> to our unaudited condensed consolidated financial statements included elsewhere in this Quarterly Report for further discussion.</w:t>
      </w:r>
    </w:p>
    <w:p>
      <w:pPr>
        <w:spacing w:after="0" w:line="7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color w:val="auto"/>
        </w:rPr>
        <w:t>In February 2023, the Company completed the first Eos Cube™ powered by the next-generation Eos Z3™ battery.</w:t>
      </w:r>
    </w:p>
    <w:p>
      <w:pPr>
        <w:spacing w:after="0" w:line="117"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February 2023, the Company achieved UL 9540A for the next generation Eos Z3 battery.</w:t>
      </w:r>
    </w:p>
    <w:p>
      <w:pPr>
        <w:spacing w:after="0" w:line="117"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In March 2023, the Company issued and sold a convertible promissory note (the “March 2023 Promissory Note” and, together with the February 2023 Promissory Note and a convertible promissory note issued and sold to Yorkville in December 2022, the “Yorkville Convertible Promissory Notes”) with an aggregate principal amount of $15.0 million in a private placement to Yorkville under the third supplemental agreement (the “Third Supplemental Agreement”) to the SEPA. See Note 12, </w:t>
      </w:r>
      <w:r>
        <w:rPr>
          <w:rFonts w:ascii="Arial" w:cs="Arial" w:eastAsia="Arial" w:hAnsi="Arial"/>
          <w:sz w:val="18"/>
          <w:szCs w:val="18"/>
          <w:i w:val="1"/>
          <w:iCs w:val="1"/>
          <w:color w:val="auto"/>
        </w:rPr>
        <w:t>Borrowings</w:t>
      </w:r>
      <w:r>
        <w:rPr>
          <w:rFonts w:ascii="Arial" w:cs="Arial" w:eastAsia="Arial" w:hAnsi="Arial"/>
          <w:sz w:val="18"/>
          <w:szCs w:val="18"/>
          <w:color w:val="auto"/>
        </w:rPr>
        <w:t xml:space="preserve"> to our unaudited condensed consolidated financial statements included elsewhere in this Quarterly Report for further discussion.</w:t>
      </w:r>
    </w:p>
    <w:p>
      <w:pPr>
        <w:spacing w:after="0" w:line="79"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In April 2023, the Company issued and sold a convertible promissory note (the “April 2023 Promissory Note”) with an aggregate principal amount of $15.0 million in a private placement to Yorkville under the SEPA.</w:t>
      </w:r>
    </w:p>
    <w:p>
      <w:pPr>
        <w:spacing w:after="0" w:line="62" w:lineRule="exact"/>
        <w:rPr>
          <w:rFonts w:ascii="Arial" w:cs="Arial" w:eastAsia="Arial" w:hAnsi="Arial"/>
          <w:sz w:val="18"/>
          <w:szCs w:val="18"/>
          <w:b w:val="1"/>
          <w:bCs w:val="1"/>
          <w:color w:val="auto"/>
        </w:rPr>
      </w:pPr>
    </w:p>
    <w:p>
      <w:pPr>
        <w:jc w:val="both"/>
        <w:ind w:left="660" w:hanging="328"/>
        <w:spacing w:after="0" w:line="259"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April 2023, the Company issued 16,000,000 shares of the Company’s common stock at a purchase price of $2.50 per share in a registered direct offering. The Company issued in a concurrent private placement unregistered warrants to purchase up to an aggregate of 16,000,000 shares of common stock. The gross proceeds to the Company from the offering were $40.0 million, before deducting advisory fees and other offering expenses payable by the Company.</w:t>
      </w:r>
    </w:p>
    <w:p>
      <w:pPr>
        <w:spacing w:after="0" w:line="78"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May 2023, the Company issued 3,601,980 shares of the Company’s common stock at a purchase price of $2.221 per share in a registered direct offering. The Company issued in a concurrent private placement unregistered warrants to purchase up to an aggregate of 3,601,980 shares of common stock. The gross proceeds to the Company from the offering were $8.0 million, before deducting advisory fees and other offering expenses payable by the Company.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For the six months ended June 30, 2023, the Company recognized $0.8 million of grant income related to the IRA PTC.</w:t>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26" w:lineRule="exact"/>
        <w:rPr>
          <w:rFonts w:ascii="Arial" w:cs="Arial" w:eastAsia="Arial" w:hAnsi="Arial"/>
          <w:sz w:val="16"/>
          <w:szCs w:val="16"/>
          <w:b w:val="1"/>
          <w:bCs w:val="1"/>
          <w:color w:val="auto"/>
        </w:rPr>
      </w:pPr>
    </w:p>
    <w:p>
      <w:pPr>
        <w:ind w:left="5540"/>
        <w:spacing w:after="0"/>
        <w:rPr>
          <w:rFonts w:ascii="Arial" w:cs="Arial" w:eastAsia="Arial" w:hAnsi="Arial"/>
          <w:sz w:val="16"/>
          <w:szCs w:val="16"/>
          <w:b w:val="1"/>
          <w:bCs w:val="1"/>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20" w:type="dxa"/>
            <w:vAlign w:val="bottom"/>
          </w:tcPr>
          <w:p>
            <w:pPr>
              <w:spacing w:after="0"/>
              <w:rPr>
                <w:sz w:val="16"/>
                <w:szCs w:val="16"/>
                <w:color w:val="auto"/>
              </w:rPr>
            </w:pPr>
          </w:p>
        </w:tc>
        <w:tc>
          <w:tcPr>
            <w:tcW w:w="2320" w:type="dxa"/>
            <w:vAlign w:val="bottom"/>
            <w:gridSpan w:val="6"/>
          </w:tcPr>
          <w:p>
            <w:pPr>
              <w:ind w:left="340"/>
              <w:spacing w:after="0"/>
              <w:rPr>
                <w:sz w:val="20"/>
                <w:szCs w:val="20"/>
                <w:color w:val="auto"/>
              </w:rPr>
            </w:pPr>
            <w:r>
              <w:rPr>
                <w:rFonts w:ascii="Arial" w:cs="Arial" w:eastAsia="Arial" w:hAnsi="Arial"/>
                <w:sz w:val="16"/>
                <w:szCs w:val="16"/>
                <w:b w:val="1"/>
                <w:bCs w:val="1"/>
                <w:color w:val="auto"/>
              </w:rPr>
              <w:t>For the Three Months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5"/>
          </w:tcPr>
          <w:p>
            <w:pPr>
              <w:ind w:left="220"/>
              <w:spacing w:after="0"/>
              <w:rPr>
                <w:sz w:val="20"/>
                <w:szCs w:val="20"/>
                <w:color w:val="auto"/>
              </w:rPr>
            </w:pPr>
            <w:r>
              <w:rPr>
                <w:rFonts w:ascii="Arial" w:cs="Arial" w:eastAsia="Arial" w:hAnsi="Arial"/>
                <w:sz w:val="16"/>
                <w:szCs w:val="16"/>
                <w:b w:val="1"/>
                <w:bCs w:val="1"/>
                <w:color w:val="auto"/>
              </w:rPr>
              <w:t>For the Six Months</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0"/>
        </w:trPr>
        <w:tc>
          <w:tcPr>
            <w:tcW w:w="1620" w:type="dxa"/>
            <w:vAlign w:val="bottom"/>
          </w:tcPr>
          <w:p>
            <w:pPr>
              <w:spacing w:after="0"/>
              <w:rPr>
                <w:sz w:val="18"/>
                <w:szCs w:val="18"/>
                <w:color w:val="auto"/>
              </w:rPr>
            </w:pPr>
          </w:p>
        </w:tc>
        <w:tc>
          <w:tcPr>
            <w:tcW w:w="2320" w:type="dxa"/>
            <w:vAlign w:val="bottom"/>
            <w:gridSpan w:val="6"/>
          </w:tcPr>
          <w:p>
            <w:pPr>
              <w:ind w:left="600"/>
              <w:spacing w:after="0"/>
              <w:rPr>
                <w:sz w:val="20"/>
                <w:szCs w:val="20"/>
                <w:color w:val="auto"/>
              </w:rPr>
            </w:pPr>
            <w:r>
              <w:rPr>
                <w:rFonts w:ascii="Arial" w:cs="Arial" w:eastAsia="Arial" w:hAnsi="Arial"/>
                <w:sz w:val="16"/>
                <w:szCs w:val="16"/>
                <w:b w:val="1"/>
                <w:bCs w:val="1"/>
                <w:color w:val="auto"/>
              </w:rPr>
              <w:t>Ended June 30,</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00" w:type="dxa"/>
            <w:vAlign w:val="bottom"/>
            <w:gridSpan w:val="5"/>
          </w:tcPr>
          <w:p>
            <w:pPr>
              <w:ind w:left="360"/>
              <w:spacing w:after="0"/>
              <w:rPr>
                <w:sz w:val="20"/>
                <w:szCs w:val="20"/>
                <w:color w:val="auto"/>
              </w:rPr>
            </w:pPr>
            <w:r>
              <w:rPr>
                <w:rFonts w:ascii="Arial" w:cs="Arial" w:eastAsia="Arial" w:hAnsi="Arial"/>
                <w:sz w:val="16"/>
                <w:szCs w:val="16"/>
                <w:b w:val="1"/>
                <w:bCs w:val="1"/>
                <w:color w:val="auto"/>
              </w:rPr>
              <w:t>Ended June 30,</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5"/>
        </w:trPr>
        <w:tc>
          <w:tcPr>
            <w:tcW w:w="162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700" w:type="dxa"/>
            <w:vAlign w:val="bottom"/>
            <w:tcBorders>
              <w:top w:val="single" w:sz="8" w:color="auto"/>
            </w:tcBorders>
          </w:tcPr>
          <w:p>
            <w:pPr>
              <w:ind w:left="360"/>
              <w:spacing w:after="0"/>
              <w:rPr>
                <w:sz w:val="20"/>
                <w:szCs w:val="20"/>
                <w:color w:val="auto"/>
              </w:rPr>
            </w:pPr>
            <w:r>
              <w:rPr>
                <w:rFonts w:ascii="Arial" w:cs="Arial" w:eastAsia="Arial" w:hAnsi="Arial"/>
                <w:sz w:val="16"/>
                <w:szCs w:val="16"/>
                <w:b w:val="1"/>
                <w:bCs w:val="1"/>
                <w:color w:val="auto"/>
                <w:w w:val="89"/>
              </w:rPr>
              <w:t>2023</w:t>
            </w:r>
          </w:p>
        </w:tc>
        <w:tc>
          <w:tcPr>
            <w:tcW w:w="3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180" w:type="dxa"/>
            <w:vAlign w:val="bottom"/>
            <w:gridSpan w:val="2"/>
          </w:tcPr>
          <w:p>
            <w:pPr>
              <w:ind w:left="220"/>
              <w:spacing w:after="0"/>
              <w:rPr>
                <w:sz w:val="20"/>
                <w:szCs w:val="20"/>
                <w:color w:val="auto"/>
              </w:rPr>
            </w:pPr>
            <w:r>
              <w:rPr>
                <w:rFonts w:ascii="Arial" w:cs="Arial" w:eastAsia="Arial" w:hAnsi="Arial"/>
                <w:sz w:val="16"/>
                <w:szCs w:val="16"/>
                <w:b w:val="1"/>
                <w:bCs w:val="1"/>
                <w:color w:val="auto"/>
              </w:rPr>
              <w:t>$ Change</w:t>
            </w:r>
          </w:p>
        </w:tc>
        <w:tc>
          <w:tcPr>
            <w:tcW w:w="1320" w:type="dxa"/>
            <w:vAlign w:val="bottom"/>
            <w:gridSpan w:val="2"/>
          </w:tcPr>
          <w:p>
            <w:pPr>
              <w:ind w:left="240"/>
              <w:spacing w:after="0"/>
              <w:rPr>
                <w:sz w:val="20"/>
                <w:szCs w:val="20"/>
                <w:color w:val="auto"/>
              </w:rPr>
            </w:pPr>
            <w:r>
              <w:rPr>
                <w:rFonts w:ascii="Arial" w:cs="Arial" w:eastAsia="Arial" w:hAnsi="Arial"/>
                <w:sz w:val="16"/>
                <w:szCs w:val="16"/>
                <w:b w:val="1"/>
                <w:bCs w:val="1"/>
                <w:color w:val="auto"/>
              </w:rPr>
              <w:t>% Change</w:t>
            </w: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97"/>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1200" w:type="dxa"/>
            <w:vAlign w:val="bottom"/>
            <w:gridSpan w:val="2"/>
          </w:tcPr>
          <w:p>
            <w:pPr>
              <w:ind w:left="240"/>
              <w:spacing w:after="0"/>
              <w:rPr>
                <w:sz w:val="20"/>
                <w:szCs w:val="20"/>
                <w:color w:val="auto"/>
              </w:rPr>
            </w:pPr>
            <w:r>
              <w:rPr>
                <w:rFonts w:ascii="Arial" w:cs="Arial" w:eastAsia="Arial" w:hAnsi="Arial"/>
                <w:sz w:val="16"/>
                <w:szCs w:val="16"/>
                <w:b w:val="1"/>
                <w:bCs w:val="1"/>
                <w:color w:val="auto"/>
              </w:rPr>
              <w:t>$ Change</w:t>
            </w:r>
          </w:p>
        </w:tc>
        <w:tc>
          <w:tcPr>
            <w:tcW w:w="1240" w:type="dxa"/>
            <w:vAlign w:val="bottom"/>
          </w:tcPr>
          <w:p>
            <w:pPr>
              <w:jc w:val="right"/>
              <w:ind w:right="175"/>
              <w:spacing w:after="0"/>
              <w:rPr>
                <w:sz w:val="20"/>
                <w:szCs w:val="20"/>
                <w:color w:val="auto"/>
              </w:rPr>
            </w:pPr>
            <w:r>
              <w:rPr>
                <w:rFonts w:ascii="Arial" w:cs="Arial" w:eastAsia="Arial" w:hAnsi="Arial"/>
                <w:sz w:val="16"/>
                <w:szCs w:val="16"/>
                <w:b w:val="1"/>
                <w:bCs w:val="1"/>
                <w:color w:val="auto"/>
              </w:rPr>
              <w:t>% Change</w:t>
            </w:r>
          </w:p>
        </w:tc>
      </w:tr>
      <w:tr>
        <w:trPr>
          <w:trHeight w:val="223"/>
        </w:trPr>
        <w:tc>
          <w:tcPr>
            <w:tcW w:w="1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700" w:type="dxa"/>
            <w:vAlign w:val="bottom"/>
            <w:tcBorders>
              <w:top w:val="single" w:sz="8" w:color="auto"/>
            </w:tcBorders>
            <w:shd w:val="clear" w:color="auto" w:fill="CCEEFF"/>
          </w:tcPr>
          <w:p>
            <w:pPr>
              <w:jc w:val="right"/>
              <w:ind w:right="517"/>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5,895</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(5,646)</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97"/>
              </w:rPr>
              <w:t>9,084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9,193</w:t>
            </w:r>
          </w:p>
        </w:tc>
        <w:tc>
          <w:tcPr>
            <w:tcW w:w="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generates revenues from the delivery of its battery energy storage systems (“BESS”) and service-related solutions. The Company expects revenues to increase as it scales production to meet customer demand.</w:t>
      </w:r>
    </w:p>
    <w:p>
      <w:pPr>
        <w:spacing w:after="0" w:line="89"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Revenue decreased by $5.6 million, or 96% from $5.9 million for the three months ended June 30, 2022 to $0.2 million for the three months ended June 30, 2023, due to reduced production and deliveries from the shift to next generation technology Eos Z3</w:t>
      </w:r>
      <w:r>
        <w:rPr>
          <w:rFonts w:ascii="Arial" w:cs="Arial" w:eastAsia="Arial" w:hAnsi="Arial"/>
          <w:sz w:val="23"/>
          <w:szCs w:val="23"/>
          <w:color w:val="auto"/>
          <w:vertAlign w:val="superscript"/>
        </w:rPr>
        <w:t>TM</w:t>
      </w:r>
      <w:r>
        <w:rPr>
          <w:rFonts w:ascii="Arial" w:cs="Arial" w:eastAsia="Arial" w:hAnsi="Arial"/>
          <w:sz w:val="18"/>
          <w:szCs w:val="18"/>
          <w:color w:val="auto"/>
        </w:rPr>
        <w:t>. Revenue remained relatively flat for the six months ended June 30, 2022 compared to the six months ended June 30, 2023.</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5"/>
          </w:tcPr>
          <w:p>
            <w:pPr>
              <w:ind w:left="120"/>
              <w:spacing w:after="0"/>
              <w:rPr>
                <w:sz w:val="20"/>
                <w:szCs w:val="20"/>
                <w:color w:val="auto"/>
              </w:rPr>
            </w:pPr>
            <w:r>
              <w:rPr>
                <w:rFonts w:ascii="Arial" w:cs="Arial" w:eastAsia="Arial" w:hAnsi="Arial"/>
                <w:sz w:val="16"/>
                <w:szCs w:val="16"/>
                <w:b w:val="1"/>
                <w:bCs w:val="1"/>
                <w:color w:val="auto"/>
              </w:rPr>
              <w:t>For the Three Months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3"/>
              </w:rPr>
              <w:t>For the Six Months</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0"/>
        </w:trPr>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5"/>
          </w:tcPr>
          <w:p>
            <w:pPr>
              <w:ind w:left="380"/>
              <w:spacing w:after="0"/>
              <w:rPr>
                <w:sz w:val="20"/>
                <w:szCs w:val="20"/>
                <w:color w:val="auto"/>
              </w:rPr>
            </w:pPr>
            <w:r>
              <w:rPr>
                <w:rFonts w:ascii="Arial" w:cs="Arial" w:eastAsia="Arial" w:hAnsi="Arial"/>
                <w:sz w:val="16"/>
                <w:szCs w:val="16"/>
                <w:b w:val="1"/>
                <w:bCs w:val="1"/>
                <w:color w:val="auto"/>
              </w:rPr>
              <w:t>Ended June 30,</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0"/>
              </w:rPr>
              <w:t>Ended June 30,</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5"/>
        </w:trPr>
        <w:tc>
          <w:tcPr>
            <w:tcW w:w="158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ind w:left="140"/>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180" w:type="dxa"/>
            <w:vAlign w:val="bottom"/>
            <w:gridSpan w:val="2"/>
          </w:tcPr>
          <w:p>
            <w:pPr>
              <w:ind w:left="220"/>
              <w:spacing w:after="0"/>
              <w:rPr>
                <w:sz w:val="20"/>
                <w:szCs w:val="20"/>
                <w:color w:val="auto"/>
              </w:rPr>
            </w:pPr>
            <w:r>
              <w:rPr>
                <w:rFonts w:ascii="Arial" w:cs="Arial" w:eastAsia="Arial" w:hAnsi="Arial"/>
                <w:sz w:val="16"/>
                <w:szCs w:val="16"/>
                <w:b w:val="1"/>
                <w:bCs w:val="1"/>
                <w:color w:val="auto"/>
              </w:rPr>
              <w:t>$ Change</w:t>
            </w:r>
          </w:p>
        </w:tc>
        <w:tc>
          <w:tcPr>
            <w:tcW w:w="1320" w:type="dxa"/>
            <w:vAlign w:val="bottom"/>
            <w:gridSpan w:val="2"/>
          </w:tcPr>
          <w:p>
            <w:pPr>
              <w:ind w:left="240"/>
              <w:spacing w:after="0"/>
              <w:rPr>
                <w:sz w:val="20"/>
                <w:szCs w:val="20"/>
                <w:color w:val="auto"/>
              </w:rPr>
            </w:pPr>
            <w:r>
              <w:rPr>
                <w:rFonts w:ascii="Arial" w:cs="Arial" w:eastAsia="Arial" w:hAnsi="Arial"/>
                <w:sz w:val="16"/>
                <w:szCs w:val="16"/>
                <w:b w:val="1"/>
                <w:bCs w:val="1"/>
                <w:color w:val="auto"/>
              </w:rPr>
              <w:t>% Change</w:t>
            </w: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97"/>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1200" w:type="dxa"/>
            <w:vAlign w:val="bottom"/>
            <w:gridSpan w:val="2"/>
          </w:tcPr>
          <w:p>
            <w:pPr>
              <w:ind w:left="240"/>
              <w:spacing w:after="0"/>
              <w:rPr>
                <w:sz w:val="20"/>
                <w:szCs w:val="20"/>
                <w:color w:val="auto"/>
              </w:rPr>
            </w:pPr>
            <w:r>
              <w:rPr>
                <w:rFonts w:ascii="Arial" w:cs="Arial" w:eastAsia="Arial" w:hAnsi="Arial"/>
                <w:sz w:val="16"/>
                <w:szCs w:val="16"/>
                <w:b w:val="1"/>
                <w:bCs w:val="1"/>
                <w:color w:val="auto"/>
              </w:rPr>
              <w:t>$ Change</w:t>
            </w:r>
          </w:p>
        </w:tc>
        <w:tc>
          <w:tcPr>
            <w:tcW w:w="1240" w:type="dxa"/>
            <w:vAlign w:val="bottom"/>
          </w:tcPr>
          <w:p>
            <w:pPr>
              <w:jc w:val="right"/>
              <w:ind w:right="175"/>
              <w:spacing w:after="0"/>
              <w:rPr>
                <w:sz w:val="20"/>
                <w:szCs w:val="20"/>
                <w:color w:val="auto"/>
              </w:rPr>
            </w:pPr>
            <w:r>
              <w:rPr>
                <w:rFonts w:ascii="Arial" w:cs="Arial" w:eastAsia="Arial" w:hAnsi="Arial"/>
                <w:sz w:val="16"/>
                <w:szCs w:val="16"/>
                <w:b w:val="1"/>
                <w:bCs w:val="1"/>
                <w:color w:val="auto"/>
              </w:rPr>
              <w:t>% Change</w:t>
            </w:r>
          </w:p>
        </w:tc>
      </w:tr>
      <w:tr>
        <w:trPr>
          <w:trHeight w:val="223"/>
        </w:trPr>
        <w:tc>
          <w:tcPr>
            <w:tcW w:w="1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36,866</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(25,620)</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38,186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72,443</w:t>
            </w:r>
          </w:p>
        </w:tc>
        <w:tc>
          <w:tcPr>
            <w:tcW w:w="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(34,257)</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bl>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Cost of goods sold primarily consists of costs relating to direct labor, direct material and overhead that is directly tied to product manufacturing, engineering, procurement and construction (“EPC”), project delivery, commissioning, and start-up test procedures. Other indirect costs included in cost of goods sold are manufacturing overhead such as manufacturing engineering, equipment maintenance, environmental health and safety, quality and production control procurement, transportation, logistics, depreciation and facility-related costs. As a nascent technology and a new manufacturing process that is early in its product lifecycle, the Company still faces significant costs associated with production start-up, commissioning of various components, modules, and subsystems and other related costs. The Company expects its cost of goods sold to exceed revenues in the near term as it continues to scale production and prepares battery energy storage systems delivered to customers to go-live.</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goods sold decreased by $25.6 million, or 69% from $36.9 million for the three months ended June 30, 2022 to $11.2 million for the three months ended June 30, 2023. Cost of goods sold decreased by $34.3 million, or 47% from $72.4 million for the six months ended June 30, 2022 to $38.2 million for the six months ended June 30, 2023. Cost of goods sold decreased for the three and six months ended June 30, 2023 mainly due to lower BESS shipments in 2023, partially offset by increases in commissioning cost and idle factory costs.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5"/>
          </w:tcPr>
          <w:p>
            <w:pPr>
              <w:ind w:left="120"/>
              <w:spacing w:after="0"/>
              <w:rPr>
                <w:sz w:val="20"/>
                <w:szCs w:val="20"/>
                <w:color w:val="auto"/>
              </w:rPr>
            </w:pPr>
            <w:r>
              <w:rPr>
                <w:rFonts w:ascii="Arial" w:cs="Arial" w:eastAsia="Arial" w:hAnsi="Arial"/>
                <w:sz w:val="16"/>
                <w:szCs w:val="16"/>
                <w:b w:val="1"/>
                <w:bCs w:val="1"/>
                <w:color w:val="auto"/>
              </w:rPr>
              <w:t>For the Three Months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3"/>
              </w:rPr>
              <w:t>For the Six Months</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0"/>
        </w:trPr>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5"/>
          </w:tcPr>
          <w:p>
            <w:pPr>
              <w:ind w:left="360"/>
              <w:spacing w:after="0"/>
              <w:rPr>
                <w:sz w:val="20"/>
                <w:szCs w:val="20"/>
                <w:color w:val="auto"/>
              </w:rPr>
            </w:pPr>
            <w:r>
              <w:rPr>
                <w:rFonts w:ascii="Arial" w:cs="Arial" w:eastAsia="Arial" w:hAnsi="Arial"/>
                <w:sz w:val="16"/>
                <w:szCs w:val="16"/>
                <w:b w:val="1"/>
                <w:bCs w:val="1"/>
                <w:color w:val="auto"/>
              </w:rPr>
              <w:t>Ended June 30,</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0"/>
              </w:rPr>
              <w:t>Ended June 30,</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5"/>
        </w:trPr>
        <w:tc>
          <w:tcPr>
            <w:tcW w:w="160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ind w:left="140"/>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180" w:type="dxa"/>
            <w:vAlign w:val="bottom"/>
            <w:gridSpan w:val="2"/>
          </w:tcPr>
          <w:p>
            <w:pPr>
              <w:ind w:left="220"/>
              <w:spacing w:after="0"/>
              <w:rPr>
                <w:sz w:val="20"/>
                <w:szCs w:val="20"/>
                <w:color w:val="auto"/>
              </w:rPr>
            </w:pPr>
            <w:r>
              <w:rPr>
                <w:rFonts w:ascii="Arial" w:cs="Arial" w:eastAsia="Arial" w:hAnsi="Arial"/>
                <w:sz w:val="16"/>
                <w:szCs w:val="16"/>
                <w:b w:val="1"/>
                <w:bCs w:val="1"/>
                <w:color w:val="auto"/>
              </w:rPr>
              <w:t>$ Change</w:t>
            </w:r>
          </w:p>
        </w:tc>
        <w:tc>
          <w:tcPr>
            <w:tcW w:w="1320" w:type="dxa"/>
            <w:vAlign w:val="bottom"/>
            <w:gridSpan w:val="2"/>
          </w:tcPr>
          <w:p>
            <w:pPr>
              <w:ind w:left="240"/>
              <w:spacing w:after="0"/>
              <w:rPr>
                <w:sz w:val="20"/>
                <w:szCs w:val="20"/>
                <w:color w:val="auto"/>
              </w:rPr>
            </w:pPr>
            <w:r>
              <w:rPr>
                <w:rFonts w:ascii="Arial" w:cs="Arial" w:eastAsia="Arial" w:hAnsi="Arial"/>
                <w:sz w:val="16"/>
                <w:szCs w:val="16"/>
                <w:b w:val="1"/>
                <w:bCs w:val="1"/>
                <w:color w:val="auto"/>
              </w:rPr>
              <w:t>% Change</w:t>
            </w: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97"/>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1200" w:type="dxa"/>
            <w:vAlign w:val="bottom"/>
            <w:gridSpan w:val="2"/>
          </w:tcPr>
          <w:p>
            <w:pPr>
              <w:ind w:left="240"/>
              <w:spacing w:after="0"/>
              <w:rPr>
                <w:sz w:val="20"/>
                <w:szCs w:val="20"/>
                <w:color w:val="auto"/>
              </w:rPr>
            </w:pPr>
            <w:r>
              <w:rPr>
                <w:rFonts w:ascii="Arial" w:cs="Arial" w:eastAsia="Arial" w:hAnsi="Arial"/>
                <w:sz w:val="16"/>
                <w:szCs w:val="16"/>
                <w:b w:val="1"/>
                <w:bCs w:val="1"/>
                <w:color w:val="auto"/>
              </w:rPr>
              <w:t>$ Change</w:t>
            </w:r>
          </w:p>
        </w:tc>
        <w:tc>
          <w:tcPr>
            <w:tcW w:w="1240" w:type="dxa"/>
            <w:vAlign w:val="bottom"/>
          </w:tcPr>
          <w:p>
            <w:pPr>
              <w:jc w:val="right"/>
              <w:ind w:right="175"/>
              <w:spacing w:after="0"/>
              <w:rPr>
                <w:sz w:val="20"/>
                <w:szCs w:val="20"/>
                <w:color w:val="auto"/>
              </w:rPr>
            </w:pPr>
            <w:r>
              <w:rPr>
                <w:rFonts w:ascii="Arial" w:cs="Arial" w:eastAsia="Arial" w:hAnsi="Arial"/>
                <w:sz w:val="16"/>
                <w:szCs w:val="16"/>
                <w:b w:val="1"/>
                <w:bCs w:val="1"/>
                <w:color w:val="auto"/>
              </w:rPr>
              <w:t>% Change</w:t>
            </w:r>
          </w:p>
        </w:tc>
      </w:tr>
      <w:tr>
        <w:trPr>
          <w:trHeight w:val="223"/>
        </w:trPr>
        <w:tc>
          <w:tcPr>
            <w:tcW w:w="1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R&amp;D expenses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97"/>
              </w:rPr>
              <w:t>5,026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5,464</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10,427</w:t>
            </w:r>
          </w:p>
        </w:tc>
        <w:tc>
          <w:tcPr>
            <w:tcW w:w="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0.4 %</w:t>
            </w:r>
          </w:p>
        </w:tc>
      </w:tr>
    </w:tbl>
    <w:p>
      <w:pPr>
        <w:spacing w:after="0" w:line="21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Research and development expenses consist primarily of salaries and other personnel-related costs, materials, third-party services, depreciation, and amortization of intangible assets. The Company expects research and development costs to increase for the foreseeable future as the Company invests on</w:t>
      </w:r>
    </w:p>
    <w:p>
      <w:pPr>
        <w:jc w:val="both"/>
        <w:spacing w:after="0" w:line="241" w:lineRule="auto"/>
        <w:rPr>
          <w:sz w:val="20"/>
          <w:szCs w:val="20"/>
          <w:color w:val="auto"/>
        </w:rPr>
      </w:pPr>
      <w:r>
        <w:rPr>
          <w:rFonts w:ascii="Arial" w:cs="Arial" w:eastAsia="Arial" w:hAnsi="Arial"/>
          <w:sz w:val="18"/>
          <w:szCs w:val="18"/>
          <w:color w:val="auto"/>
        </w:rPr>
        <w:t>the design of its next generation technology Eos Z3</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product</w:t>
      </w:r>
      <w:r>
        <w:rPr>
          <w:rFonts w:ascii="Arial" w:cs="Arial" w:eastAsia="Arial" w:hAnsi="Arial"/>
          <w:sz w:val="21"/>
          <w:szCs w:val="21"/>
          <w:color w:val="auto"/>
        </w:rPr>
        <w:t>.</w:t>
      </w:r>
      <w:r>
        <w:rPr>
          <w:rFonts w:ascii="Arial" w:cs="Arial" w:eastAsia="Arial" w:hAnsi="Arial"/>
          <w:sz w:val="18"/>
          <w:szCs w:val="18"/>
          <w:color w:val="auto"/>
        </w:rPr>
        <w:t xml:space="preserve"> Early Eos Z3</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battery test results show improved performance at a projected lower system cost than the Company’s current product configuration.</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costs decreased by $0.4 million or 8% from $5.5 million for the three months ended June 30, 2022 to $5.0 million for the three months ended June 30, 2023. The decrease in research and development costs was primarily driven by decreases of $1.7 million for outside professional services and $0.2 million of facility costs, partially offset by increases of $1.3 million for materials and supplies and $0.2 million in payroll and personnel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costs increased by $0.04 million or 0.4% from $10.4 million for the six months ended June 30, 2022, to $10.5 million for the six months ended June 30, 2023. The increase in research and development costs was primarily driven by increases of $2.0 million for materials and supplies and $0.3 million for facility costs, partially offset by decreases of $2.0 million for outside professional services and $0.3 million of stock compensation costs.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5"/>
          </w:tcPr>
          <w:p>
            <w:pPr>
              <w:ind w:left="120"/>
              <w:spacing w:after="0"/>
              <w:rPr>
                <w:sz w:val="20"/>
                <w:szCs w:val="20"/>
                <w:color w:val="auto"/>
              </w:rPr>
            </w:pPr>
            <w:r>
              <w:rPr>
                <w:rFonts w:ascii="Arial" w:cs="Arial" w:eastAsia="Arial" w:hAnsi="Arial"/>
                <w:sz w:val="16"/>
                <w:szCs w:val="16"/>
                <w:b w:val="1"/>
                <w:bCs w:val="1"/>
                <w:color w:val="auto"/>
              </w:rPr>
              <w:t>For the Three Months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3"/>
              </w:rPr>
              <w:t>For the Six Months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0"/>
        </w:trPr>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5"/>
          </w:tcPr>
          <w:p>
            <w:pPr>
              <w:ind w:left="380"/>
              <w:spacing w:after="0"/>
              <w:rPr>
                <w:sz w:val="20"/>
                <w:szCs w:val="20"/>
                <w:color w:val="auto"/>
              </w:rPr>
            </w:pPr>
            <w:r>
              <w:rPr>
                <w:rFonts w:ascii="Arial" w:cs="Arial" w:eastAsia="Arial" w:hAnsi="Arial"/>
                <w:sz w:val="16"/>
                <w:szCs w:val="16"/>
                <w:b w:val="1"/>
                <w:bCs w:val="1"/>
                <w:color w:val="auto"/>
              </w:rPr>
              <w:t>Ended June 30,</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0"/>
              </w:rPr>
              <w:t>Ended June 30,</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5"/>
        </w:trPr>
        <w:tc>
          <w:tcPr>
            <w:tcW w:w="160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ind w:left="140"/>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1180" w:type="dxa"/>
            <w:vAlign w:val="bottom"/>
            <w:gridSpan w:val="2"/>
          </w:tcPr>
          <w:p>
            <w:pPr>
              <w:ind w:left="220"/>
              <w:spacing w:after="0"/>
              <w:rPr>
                <w:sz w:val="20"/>
                <w:szCs w:val="20"/>
                <w:color w:val="auto"/>
              </w:rPr>
            </w:pPr>
            <w:r>
              <w:rPr>
                <w:rFonts w:ascii="Arial" w:cs="Arial" w:eastAsia="Arial" w:hAnsi="Arial"/>
                <w:sz w:val="16"/>
                <w:szCs w:val="16"/>
                <w:b w:val="1"/>
                <w:bCs w:val="1"/>
                <w:color w:val="auto"/>
              </w:rPr>
              <w:t>$ Change</w:t>
            </w:r>
          </w:p>
        </w:tc>
        <w:tc>
          <w:tcPr>
            <w:tcW w:w="1320" w:type="dxa"/>
            <w:vAlign w:val="bottom"/>
            <w:gridSpan w:val="2"/>
          </w:tcPr>
          <w:p>
            <w:pPr>
              <w:ind w:left="260"/>
              <w:spacing w:after="0"/>
              <w:rPr>
                <w:sz w:val="20"/>
                <w:szCs w:val="20"/>
                <w:color w:val="auto"/>
              </w:rPr>
            </w:pPr>
            <w:r>
              <w:rPr>
                <w:rFonts w:ascii="Arial" w:cs="Arial" w:eastAsia="Arial" w:hAnsi="Arial"/>
                <w:sz w:val="16"/>
                <w:szCs w:val="16"/>
                <w:b w:val="1"/>
                <w:bCs w:val="1"/>
                <w:color w:val="auto"/>
              </w:rPr>
              <w:t>% Change</w:t>
            </w: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97"/>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180" w:type="dxa"/>
            <w:vAlign w:val="bottom"/>
            <w:gridSpan w:val="2"/>
          </w:tcPr>
          <w:p>
            <w:pPr>
              <w:ind w:left="220"/>
              <w:spacing w:after="0"/>
              <w:rPr>
                <w:sz w:val="20"/>
                <w:szCs w:val="20"/>
                <w:color w:val="auto"/>
              </w:rPr>
            </w:pPr>
            <w:r>
              <w:rPr>
                <w:rFonts w:ascii="Arial" w:cs="Arial" w:eastAsia="Arial" w:hAnsi="Arial"/>
                <w:sz w:val="16"/>
                <w:szCs w:val="16"/>
                <w:b w:val="1"/>
                <w:bCs w:val="1"/>
                <w:color w:val="auto"/>
              </w:rPr>
              <w:t>$ Change</w:t>
            </w:r>
          </w:p>
        </w:tc>
        <w:tc>
          <w:tcPr>
            <w:tcW w:w="1240" w:type="dxa"/>
            <w:vAlign w:val="bottom"/>
          </w:tcPr>
          <w:p>
            <w:pPr>
              <w:jc w:val="right"/>
              <w:ind w:right="175"/>
              <w:spacing w:after="0"/>
              <w:rPr>
                <w:sz w:val="20"/>
                <w:szCs w:val="20"/>
                <w:color w:val="auto"/>
              </w:rPr>
            </w:pPr>
            <w:r>
              <w:rPr>
                <w:rFonts w:ascii="Arial" w:cs="Arial" w:eastAsia="Arial" w:hAnsi="Arial"/>
                <w:sz w:val="16"/>
                <w:szCs w:val="16"/>
                <w:b w:val="1"/>
                <w:bCs w:val="1"/>
                <w:color w:val="auto"/>
              </w:rPr>
              <w:t>% Change</w:t>
            </w:r>
          </w:p>
        </w:tc>
      </w:tr>
      <w:tr>
        <w:trPr>
          <w:trHeight w:val="223"/>
        </w:trPr>
        <w:tc>
          <w:tcPr>
            <w:tcW w:w="1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SG&amp;A expenses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19,115</w:t>
            </w: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(5,977)</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27,093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33,394</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(6,301)</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expenses primarily consist of payroll and personnel-related, outside professional services, facilities, depreciation, travel, marketing, and public company costs.</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expenses decreased by $6.0 million or 31% from $19.1 million for the three months ended June 30, 2022 to $13.1 million for the three months ended June 30, 2023. The decrease was primarily driven by decreases in outside consulting expenses of $3.5 million, legal and professional costs of $1.1 million, stock compensation costs of $1.0 million, and marketing expenses of $0.1 million.</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decreased by $6.3 million or 19% from $33.4 million for the six months ended June 30, 2022 to $27.1 million for the six months ended June 30, 2023. The decrease was primarily driven by decreases in outside consulting expenses of $4.4 million, stock compensation costs of $1.1 million, legal and professional costs of $1.0 million, and duties and fees of $0.7 million, partially offset by an increase in payroll and personnel costs of $0.8 million.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write-down of property, plant and equipment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320" w:type="dxa"/>
            <w:vAlign w:val="bottom"/>
            <w:gridSpan w:val="3"/>
          </w:tcPr>
          <w:p>
            <w:pPr>
              <w:ind w:left="480"/>
              <w:spacing w:after="0"/>
              <w:rPr>
                <w:sz w:val="20"/>
                <w:szCs w:val="20"/>
                <w:color w:val="auto"/>
              </w:rPr>
            </w:pPr>
            <w:r>
              <w:rPr>
                <w:rFonts w:ascii="Arial" w:cs="Arial" w:eastAsia="Arial" w:hAnsi="Arial"/>
                <w:sz w:val="16"/>
                <w:szCs w:val="16"/>
                <w:b w:val="1"/>
                <w:bCs w:val="1"/>
                <w:color w:val="auto"/>
              </w:rPr>
              <w:t>For the Three Months</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40" w:type="dxa"/>
            <w:vAlign w:val="bottom"/>
            <w:gridSpan w:val="3"/>
          </w:tcPr>
          <w:p>
            <w:pPr>
              <w:ind w:left="20"/>
              <w:spacing w:after="0"/>
              <w:rPr>
                <w:sz w:val="20"/>
                <w:szCs w:val="20"/>
                <w:color w:val="auto"/>
              </w:rPr>
            </w:pPr>
            <w:r>
              <w:rPr>
                <w:rFonts w:ascii="Arial" w:cs="Arial" w:eastAsia="Arial" w:hAnsi="Arial"/>
                <w:sz w:val="16"/>
                <w:szCs w:val="16"/>
                <w:b w:val="1"/>
                <w:bCs w:val="1"/>
                <w:color w:val="auto"/>
                <w:w w:val="90"/>
              </w:rPr>
              <w:t>For the Six Months</w:t>
            </w:r>
          </w:p>
        </w:tc>
        <w:tc>
          <w:tcPr>
            <w:tcW w:w="960" w:type="dxa"/>
            <w:vAlign w:val="bottom"/>
          </w:tcPr>
          <w:p>
            <w:pPr>
              <w:spacing w:after="0"/>
              <w:rPr>
                <w:sz w:val="16"/>
                <w:szCs w:val="16"/>
                <w:color w:val="auto"/>
              </w:rPr>
            </w:pPr>
          </w:p>
        </w:tc>
      </w:tr>
      <w:tr>
        <w:trPr>
          <w:trHeight w:val="210"/>
        </w:trPr>
        <w:tc>
          <w:tcPr>
            <w:tcW w:w="46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3"/>
          </w:tcPr>
          <w:p>
            <w:pPr>
              <w:ind w:left="740"/>
              <w:spacing w:after="0"/>
              <w:rPr>
                <w:sz w:val="20"/>
                <w:szCs w:val="20"/>
                <w:color w:val="auto"/>
              </w:rPr>
            </w:pPr>
            <w:r>
              <w:rPr>
                <w:rFonts w:ascii="Arial" w:cs="Arial" w:eastAsia="Arial" w:hAnsi="Arial"/>
                <w:sz w:val="16"/>
                <w:szCs w:val="16"/>
                <w:b w:val="1"/>
                <w:bCs w:val="1"/>
                <w:color w:val="auto"/>
              </w:rPr>
              <w:t>Ended June 30,</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ind w:left="160"/>
              <w:spacing w:after="0"/>
              <w:rPr>
                <w:sz w:val="20"/>
                <w:szCs w:val="20"/>
                <w:color w:val="auto"/>
              </w:rPr>
            </w:pPr>
            <w:r>
              <w:rPr>
                <w:rFonts w:ascii="Arial" w:cs="Arial" w:eastAsia="Arial" w:hAnsi="Arial"/>
                <w:sz w:val="16"/>
                <w:szCs w:val="16"/>
                <w:b w:val="1"/>
                <w:bCs w:val="1"/>
                <w:color w:val="auto"/>
                <w:w w:val="98"/>
              </w:rPr>
              <w:t>Ended June 30,</w:t>
            </w:r>
          </w:p>
        </w:tc>
        <w:tc>
          <w:tcPr>
            <w:tcW w:w="960" w:type="dxa"/>
            <w:vAlign w:val="bottom"/>
            <w:tcBorders>
              <w:bottom w:val="single" w:sz="8" w:color="auto"/>
            </w:tcBorders>
          </w:tcPr>
          <w:p>
            <w:pPr>
              <w:spacing w:after="0"/>
              <w:rPr>
                <w:sz w:val="18"/>
                <w:szCs w:val="18"/>
                <w:color w:val="auto"/>
              </w:rPr>
            </w:pPr>
          </w:p>
        </w:tc>
      </w:tr>
      <w:tr>
        <w:trPr>
          <w:trHeight w:val="215"/>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thousands)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w w:val="89"/>
              </w:rPr>
              <w:t>2022</w:t>
            </w: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write-down of property, plant and equipment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5,436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5"/>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5"/>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6,196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w:t>
            </w:r>
          </w:p>
        </w:tc>
      </w:tr>
    </w:tbl>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incurred a loss of $5.4 million and $2.0 million from write-down of property, plant and equipment for the three months ended June 30, 2023 and 2022, respectively, and a loss of $6.2 million and $2.0 million for the six months ended June 30, 2023 and 2022, respectively, due to higher write-offs in 2023 for disposal of equipment and tooling that was used for manufacturing of Gen 2.3 BESS, but cannot be repurposed for the next generation Eos Z3 battery production.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(income) expense, net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2720" w:type="dxa"/>
            <w:vAlign w:val="bottom"/>
            <w:gridSpan w:val="4"/>
          </w:tcPr>
          <w:p>
            <w:pPr>
              <w:jc w:val="center"/>
              <w:ind w:left="436"/>
              <w:spacing w:after="0"/>
              <w:rPr>
                <w:sz w:val="20"/>
                <w:szCs w:val="20"/>
                <w:color w:val="auto"/>
              </w:rPr>
            </w:pPr>
            <w:r>
              <w:rPr>
                <w:rFonts w:ascii="Arial" w:cs="Arial" w:eastAsia="Arial" w:hAnsi="Arial"/>
                <w:sz w:val="16"/>
                <w:szCs w:val="16"/>
                <w:b w:val="1"/>
                <w:bCs w:val="1"/>
                <w:color w:val="auto"/>
                <w:w w:val="92"/>
              </w:rPr>
              <w:t>For the Three Months</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For the Six Months</w:t>
            </w:r>
          </w:p>
        </w:tc>
        <w:tc>
          <w:tcPr>
            <w:tcW w:w="960" w:type="dxa"/>
            <w:vAlign w:val="bottom"/>
          </w:tcPr>
          <w:p>
            <w:pPr>
              <w:spacing w:after="0"/>
              <w:rPr>
                <w:sz w:val="16"/>
                <w:szCs w:val="16"/>
                <w:color w:val="auto"/>
              </w:rPr>
            </w:pPr>
          </w:p>
        </w:tc>
      </w:tr>
      <w:tr>
        <w:trPr>
          <w:trHeight w:val="210"/>
        </w:trPr>
        <w:tc>
          <w:tcPr>
            <w:tcW w:w="466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center"/>
              <w:ind w:right="370"/>
              <w:spacing w:after="0"/>
              <w:rPr>
                <w:sz w:val="20"/>
                <w:szCs w:val="20"/>
                <w:color w:val="auto"/>
              </w:rPr>
            </w:pPr>
            <w:r>
              <w:rPr>
                <w:rFonts w:ascii="Arial" w:cs="Arial" w:eastAsia="Arial" w:hAnsi="Arial"/>
                <w:sz w:val="16"/>
                <w:szCs w:val="16"/>
                <w:b w:val="1"/>
                <w:bCs w:val="1"/>
                <w:color w:val="auto"/>
                <w:w w:val="91"/>
              </w:rPr>
              <w:t>Ended June 30,</w:t>
            </w:r>
          </w:p>
        </w:tc>
        <w:tc>
          <w:tcPr>
            <w:tcW w:w="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1"/>
              </w:rPr>
              <w:t>Ended June 30,</w:t>
            </w:r>
          </w:p>
        </w:tc>
        <w:tc>
          <w:tcPr>
            <w:tcW w:w="960" w:type="dxa"/>
            <w:vAlign w:val="bottom"/>
            <w:tcBorders>
              <w:bottom w:val="single" w:sz="8" w:color="auto"/>
            </w:tcBorders>
          </w:tcPr>
          <w:p>
            <w:pPr>
              <w:spacing w:after="0"/>
              <w:rPr>
                <w:sz w:val="18"/>
                <w:szCs w:val="18"/>
                <w:color w:val="auto"/>
              </w:rPr>
            </w:pPr>
          </w:p>
        </w:tc>
      </w:tr>
      <w:tr>
        <w:trPr>
          <w:trHeight w:val="215"/>
        </w:trPr>
        <w:tc>
          <w:tcPr>
            <w:tcW w:w="466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170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2022</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right"/>
              <w:ind w:right="535"/>
              <w:spacing w:after="0"/>
              <w:rPr>
                <w:sz w:val="20"/>
                <w:szCs w:val="20"/>
                <w:color w:val="auto"/>
              </w:rPr>
            </w:pPr>
            <w:r>
              <w:rPr>
                <w:rFonts w:ascii="Arial" w:cs="Arial" w:eastAsia="Arial" w:hAnsi="Arial"/>
                <w:sz w:val="16"/>
                <w:szCs w:val="16"/>
                <w:b w:val="1"/>
                <w:bCs w:val="1"/>
                <w:color w:val="auto"/>
                <w:w w:val="89"/>
              </w:rPr>
              <w:t>2022</w:t>
            </w:r>
          </w:p>
        </w:tc>
      </w:tr>
      <w:tr>
        <w:trPr>
          <w:trHeight w:val="223"/>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 (income) expense, net</w:t>
            </w:r>
          </w:p>
        </w:tc>
        <w:tc>
          <w:tcPr>
            <w:tcW w:w="1020" w:type="dxa"/>
            <w:vAlign w:val="bottom"/>
            <w:tcBorders>
              <w:top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55"/>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bl>
    <w:p>
      <w:pPr>
        <w:spacing w:after="0" w:line="21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Grant (income) expense, net includes grant-related expenses net of grant income for a grant with the California Energy Commission (“CEC”). Grant (income) expense recorded for the three and six months ended June 30, 2022 relates to the timing of grant activity and recovery of expenses from the CEC grant.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2700" w:type="dxa"/>
            <w:vAlign w:val="bottom"/>
            <w:gridSpan w:val="4"/>
          </w:tcPr>
          <w:p>
            <w:pPr>
              <w:jc w:val="center"/>
              <w:ind w:left="436"/>
              <w:spacing w:after="0"/>
              <w:rPr>
                <w:sz w:val="20"/>
                <w:szCs w:val="20"/>
                <w:color w:val="auto"/>
              </w:rPr>
            </w:pPr>
            <w:r>
              <w:rPr>
                <w:rFonts w:ascii="Arial" w:cs="Arial" w:eastAsia="Arial" w:hAnsi="Arial"/>
                <w:sz w:val="16"/>
                <w:szCs w:val="16"/>
                <w:b w:val="1"/>
                <w:bCs w:val="1"/>
                <w:color w:val="auto"/>
                <w:w w:val="94"/>
              </w:rPr>
              <w:t>For the Three Months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40" w:type="dxa"/>
            <w:vAlign w:val="bottom"/>
            <w:gridSpan w:val="3"/>
          </w:tcPr>
          <w:p>
            <w:pPr>
              <w:jc w:val="center"/>
              <w:ind w:left="497"/>
              <w:spacing w:after="0"/>
              <w:rPr>
                <w:sz w:val="20"/>
                <w:szCs w:val="20"/>
                <w:color w:val="auto"/>
              </w:rPr>
            </w:pPr>
            <w:r>
              <w:rPr>
                <w:rFonts w:ascii="Arial" w:cs="Arial" w:eastAsia="Arial" w:hAnsi="Arial"/>
                <w:sz w:val="16"/>
                <w:szCs w:val="16"/>
                <w:b w:val="1"/>
                <w:bCs w:val="1"/>
                <w:color w:val="auto"/>
                <w:w w:val="91"/>
              </w:rPr>
              <w:t>For the Six Months</w:t>
            </w:r>
          </w:p>
        </w:tc>
        <w:tc>
          <w:tcPr>
            <w:tcW w:w="940" w:type="dxa"/>
            <w:vAlign w:val="bottom"/>
          </w:tcPr>
          <w:p>
            <w:pPr>
              <w:spacing w:after="0"/>
              <w:rPr>
                <w:sz w:val="16"/>
                <w:szCs w:val="16"/>
                <w:color w:val="auto"/>
              </w:rPr>
            </w:pPr>
          </w:p>
        </w:tc>
      </w:tr>
      <w:tr>
        <w:trPr>
          <w:trHeight w:val="210"/>
        </w:trPr>
        <w:tc>
          <w:tcPr>
            <w:tcW w:w="46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center"/>
              <w:ind w:right="335"/>
              <w:spacing w:after="0"/>
              <w:rPr>
                <w:sz w:val="20"/>
                <w:szCs w:val="20"/>
                <w:color w:val="auto"/>
              </w:rPr>
            </w:pPr>
            <w:r>
              <w:rPr>
                <w:rFonts w:ascii="Arial" w:cs="Arial" w:eastAsia="Arial" w:hAnsi="Arial"/>
                <w:sz w:val="16"/>
                <w:szCs w:val="16"/>
                <w:b w:val="1"/>
                <w:bCs w:val="1"/>
                <w:color w:val="auto"/>
                <w:w w:val="90"/>
              </w:rPr>
              <w:t>Ended June 30,</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center"/>
              <w:ind w:left="537"/>
              <w:spacing w:after="0"/>
              <w:rPr>
                <w:sz w:val="20"/>
                <w:szCs w:val="20"/>
                <w:color w:val="auto"/>
              </w:rPr>
            </w:pPr>
            <w:r>
              <w:rPr>
                <w:rFonts w:ascii="Arial" w:cs="Arial" w:eastAsia="Arial" w:hAnsi="Arial"/>
                <w:sz w:val="16"/>
                <w:szCs w:val="16"/>
                <w:b w:val="1"/>
                <w:bCs w:val="1"/>
                <w:color w:val="auto"/>
                <w:w w:val="91"/>
              </w:rPr>
              <w:t>Ended June 30,</w:t>
            </w:r>
          </w:p>
        </w:tc>
        <w:tc>
          <w:tcPr>
            <w:tcW w:w="940" w:type="dxa"/>
            <w:vAlign w:val="bottom"/>
            <w:tcBorders>
              <w:bottom w:val="single" w:sz="8" w:color="auto"/>
            </w:tcBorders>
          </w:tcPr>
          <w:p>
            <w:pPr>
              <w:spacing w:after="0"/>
              <w:rPr>
                <w:sz w:val="18"/>
                <w:szCs w:val="18"/>
                <w:color w:val="auto"/>
              </w:rPr>
            </w:pPr>
          </w:p>
        </w:tc>
      </w:tr>
      <w:tr>
        <w:trPr>
          <w:trHeight w:val="215"/>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thousands)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7"/>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w w:val="84"/>
              </w:rPr>
              <w:t>2022</w:t>
            </w: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(4,886)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5"/>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r>
    </w:tbl>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includes accrued interest and the amortization of debt issuance cost and the debt discount. Interest expense, net increased by $4.6 million and $9.1 million for the three and six months ended June 30, 2023, respectively. These increases are a result of interest recognized on the Senior Secured Term Loan and the equipment financing facility.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 related party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80" w:type="dxa"/>
            <w:vAlign w:val="bottom"/>
            <w:gridSpan w:val="3"/>
          </w:tcPr>
          <w:p>
            <w:pPr>
              <w:jc w:val="center"/>
              <w:ind w:left="137"/>
              <w:spacing w:after="0"/>
              <w:rPr>
                <w:sz w:val="20"/>
                <w:szCs w:val="20"/>
                <w:color w:val="auto"/>
              </w:rPr>
            </w:pPr>
            <w:r>
              <w:rPr>
                <w:rFonts w:ascii="Arial" w:cs="Arial" w:eastAsia="Arial" w:hAnsi="Arial"/>
                <w:sz w:val="16"/>
                <w:szCs w:val="16"/>
                <w:b w:val="1"/>
                <w:bCs w:val="1"/>
                <w:color w:val="auto"/>
                <w:w w:val="94"/>
              </w:rPr>
              <w:t>For the Three Months</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Arial" w:cs="Arial" w:eastAsia="Arial" w:hAnsi="Arial"/>
                <w:sz w:val="16"/>
                <w:szCs w:val="16"/>
                <w:b w:val="1"/>
                <w:bCs w:val="1"/>
                <w:color w:val="auto"/>
              </w:rPr>
              <w:t>For the Six Months</w:t>
            </w:r>
          </w:p>
        </w:tc>
        <w:tc>
          <w:tcPr>
            <w:tcW w:w="960" w:type="dxa"/>
            <w:vAlign w:val="bottom"/>
          </w:tcPr>
          <w:p>
            <w:pPr>
              <w:spacing w:after="0"/>
              <w:rPr>
                <w:sz w:val="16"/>
                <w:szCs w:val="16"/>
                <w:color w:val="auto"/>
              </w:rPr>
            </w:pPr>
          </w:p>
        </w:tc>
      </w:tr>
      <w:tr>
        <w:trPr>
          <w:trHeight w:val="210"/>
        </w:trPr>
        <w:tc>
          <w:tcPr>
            <w:tcW w:w="46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3"/>
          </w:tcPr>
          <w:p>
            <w:pPr>
              <w:jc w:val="center"/>
              <w:ind w:left="177"/>
              <w:spacing w:after="0"/>
              <w:rPr>
                <w:sz w:val="20"/>
                <w:szCs w:val="20"/>
                <w:color w:val="auto"/>
              </w:rPr>
            </w:pPr>
            <w:r>
              <w:rPr>
                <w:rFonts w:ascii="Arial" w:cs="Arial" w:eastAsia="Arial" w:hAnsi="Arial"/>
                <w:sz w:val="16"/>
                <w:szCs w:val="16"/>
                <w:b w:val="1"/>
                <w:bCs w:val="1"/>
                <w:color w:val="auto"/>
                <w:w w:val="90"/>
              </w:rPr>
              <w:t>Ended June 30,</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Ended June 30,</w:t>
            </w:r>
          </w:p>
        </w:tc>
        <w:tc>
          <w:tcPr>
            <w:tcW w:w="960" w:type="dxa"/>
            <w:vAlign w:val="bottom"/>
            <w:tcBorders>
              <w:bottom w:val="single" w:sz="8" w:color="auto"/>
            </w:tcBorders>
          </w:tcPr>
          <w:p>
            <w:pPr>
              <w:spacing w:after="0"/>
              <w:rPr>
                <w:sz w:val="18"/>
                <w:szCs w:val="18"/>
                <w:color w:val="auto"/>
              </w:rPr>
            </w:pPr>
          </w:p>
        </w:tc>
      </w:tr>
      <w:tr>
        <w:trPr>
          <w:trHeight w:val="215"/>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thousands)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w w:val="89"/>
              </w:rPr>
              <w:t>2022</w:t>
            </w: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related party</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(4,838)</w:t>
            </w: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related party includes accrued interest and the amortization of debt issuance cost and debt discount. Interest expense - related party increased by $12.1 million for the three months ended June 30, 2023, compared to the three months ended June 30, 2022, and increased by $23.7 million for the six months ended June 30, 2023, compared to the six months June 30, 2022.</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and six months ended June 30, 2023, in addition to the interest expense from the 2021 Convertible Notes and the AFG Convertible Notes, the Company recognized losses from issuance of Yorkville Convertible Promissory Notes and the AFG Convertible Notes whose fair value exceeded proceeds at issuance.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day 1 losses recognized in interest expense, related party for the three and six months ended June 30, 2023 were due to:</w:t>
      </w:r>
    </w:p>
    <w:p>
      <w:pPr>
        <w:spacing w:after="0" w:line="158"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Yorkville Convertible Promissory Notes in the amounts of $10.6 million and $17.6 million, respectively.</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AFG Convertible Notes in the amount of $2.9 million.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Note 12, </w:t>
      </w:r>
      <w:r>
        <w:rPr>
          <w:rFonts w:ascii="Arial" w:cs="Arial" w:eastAsia="Arial" w:hAnsi="Arial"/>
          <w:sz w:val="16"/>
          <w:szCs w:val="16"/>
          <w:i w:val="1"/>
          <w:iCs w:val="1"/>
          <w:color w:val="auto"/>
        </w:rPr>
        <w:t>Borrowings</w:t>
      </w:r>
      <w:r>
        <w:rPr>
          <w:rFonts w:ascii="Arial" w:cs="Arial" w:eastAsia="Arial" w:hAnsi="Arial"/>
          <w:sz w:val="16"/>
          <w:szCs w:val="16"/>
          <w:color w:val="auto"/>
        </w:rPr>
        <w:t xml:space="preserve"> to our unaudited condensed consolidated financial statements included elsewhere in this Quarterly Report for further discussion.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six months ended June 30, 2022, there was only interest expense related to the 2021 Convertible Notes.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gain on change in fair value of derivatives - related party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320" w:type="dxa"/>
            <w:vAlign w:val="bottom"/>
            <w:gridSpan w:val="3"/>
          </w:tcPr>
          <w:p>
            <w:pPr>
              <w:jc w:val="right"/>
              <w:ind w:right="213"/>
              <w:spacing w:after="0"/>
              <w:rPr>
                <w:sz w:val="20"/>
                <w:szCs w:val="20"/>
                <w:color w:val="auto"/>
              </w:rPr>
            </w:pPr>
            <w:r>
              <w:rPr>
                <w:rFonts w:ascii="Arial" w:cs="Arial" w:eastAsia="Arial" w:hAnsi="Arial"/>
                <w:sz w:val="16"/>
                <w:szCs w:val="16"/>
                <w:b w:val="1"/>
                <w:bCs w:val="1"/>
                <w:color w:val="auto"/>
              </w:rPr>
              <w:t>For the Three Months</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Arial" w:cs="Arial" w:eastAsia="Arial" w:hAnsi="Arial"/>
                <w:sz w:val="16"/>
                <w:szCs w:val="16"/>
                <w:b w:val="1"/>
                <w:bCs w:val="1"/>
                <w:color w:val="auto"/>
              </w:rPr>
              <w:t>For the Six Months</w:t>
            </w:r>
          </w:p>
        </w:tc>
        <w:tc>
          <w:tcPr>
            <w:tcW w:w="960" w:type="dxa"/>
            <w:vAlign w:val="bottom"/>
          </w:tcPr>
          <w:p>
            <w:pPr>
              <w:spacing w:after="0"/>
              <w:rPr>
                <w:sz w:val="16"/>
                <w:szCs w:val="16"/>
                <w:color w:val="auto"/>
              </w:rPr>
            </w:pPr>
          </w:p>
        </w:tc>
      </w:tr>
      <w:tr>
        <w:trPr>
          <w:trHeight w:val="210"/>
        </w:trPr>
        <w:tc>
          <w:tcPr>
            <w:tcW w:w="46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3"/>
          </w:tcPr>
          <w:p>
            <w:pPr>
              <w:jc w:val="right"/>
              <w:ind w:right="433"/>
              <w:spacing w:after="0"/>
              <w:rPr>
                <w:sz w:val="20"/>
                <w:szCs w:val="20"/>
                <w:color w:val="auto"/>
              </w:rPr>
            </w:pPr>
            <w:r>
              <w:rPr>
                <w:rFonts w:ascii="Arial" w:cs="Arial" w:eastAsia="Arial" w:hAnsi="Arial"/>
                <w:sz w:val="16"/>
                <w:szCs w:val="16"/>
                <w:b w:val="1"/>
                <w:bCs w:val="1"/>
                <w:color w:val="auto"/>
              </w:rPr>
              <w:t>Ended June 30,</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Ended June 30,</w:t>
            </w:r>
          </w:p>
        </w:tc>
        <w:tc>
          <w:tcPr>
            <w:tcW w:w="960" w:type="dxa"/>
            <w:vAlign w:val="bottom"/>
            <w:tcBorders>
              <w:bottom w:val="single" w:sz="8" w:color="auto"/>
            </w:tcBorders>
          </w:tcPr>
          <w:p>
            <w:pPr>
              <w:spacing w:after="0"/>
              <w:rPr>
                <w:sz w:val="18"/>
                <w:szCs w:val="18"/>
                <w:color w:val="auto"/>
              </w:rPr>
            </w:pPr>
          </w:p>
        </w:tc>
      </w:tr>
      <w:tr>
        <w:trPr>
          <w:trHeight w:val="215"/>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thousands)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w w:val="89"/>
              </w:rPr>
              <w:t>2022</w:t>
            </w: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embedded derivative - related party</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3"/>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11,673</w:t>
            </w:r>
          </w:p>
        </w:tc>
      </w:tr>
      <w:tr>
        <w:trPr>
          <w:trHeight w:val="229"/>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fair value, warrants liability - related party</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(59,207)</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(59,363)</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r>
      <w:tr>
        <w:trPr>
          <w:trHeight w:val="168"/>
        </w:trPr>
        <w:tc>
          <w:tcPr>
            <w:tcW w:w="4680" w:type="dxa"/>
            <w:vAlign w:val="bottom"/>
            <w:shd w:val="clear" w:color="auto" w:fill="CCEEFF"/>
          </w:tcPr>
          <w:p>
            <w:pPr>
              <w:ind w:left="300"/>
              <w:spacing w:after="0" w:line="168" w:lineRule="exact"/>
              <w:rPr>
                <w:sz w:val="20"/>
                <w:szCs w:val="20"/>
                <w:color w:val="auto"/>
              </w:rPr>
            </w:pPr>
            <w:r>
              <w:rPr>
                <w:rFonts w:ascii="Arial" w:cs="Arial" w:eastAsia="Arial" w:hAnsi="Arial"/>
                <w:sz w:val="18"/>
                <w:szCs w:val="18"/>
                <w:color w:val="auto"/>
                <w:w w:val="95"/>
              </w:rPr>
              <w:t>(Loss) gain on change in fair value of derivatives - related</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party</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(74,633)</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33"/>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(87,723)</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12,510</w:t>
            </w:r>
          </w:p>
        </w:tc>
      </w:tr>
    </w:tbl>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As discussed in Note 14, </w:t>
      </w:r>
      <w:r>
        <w:rPr>
          <w:rFonts w:ascii="Arial" w:cs="Arial" w:eastAsia="Arial" w:hAnsi="Arial"/>
          <w:sz w:val="17"/>
          <w:szCs w:val="17"/>
          <w:i w:val="1"/>
          <w:iCs w:val="1"/>
          <w:color w:val="auto"/>
        </w:rPr>
        <w:t>Fair Value Measurement</w:t>
      </w:r>
      <w:r>
        <w:rPr>
          <w:rFonts w:ascii="Arial" w:cs="Arial" w:eastAsia="Arial" w:hAnsi="Arial"/>
          <w:sz w:val="17"/>
          <w:szCs w:val="17"/>
          <w:color w:val="auto"/>
        </w:rPr>
        <w:t>, the embedded derivatives for the 2021 Convertible Notes, Yorkville Convertible Notes, the AFG Convertible Notes, the Yorkville Promissory Notes, as well as all warrants liabilities, are remeasured at fair value on each balance sheet date.</w:t>
      </w:r>
    </w:p>
    <w:p>
      <w:pPr>
        <w:spacing w:after="0" w:line="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 in the fair value of the embedded derivatives - related party, for the three and six months ended June 30, 2023, compared to the three and six months ended June 30, 2022, is largely a result of the change in the Company’s stock price.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change in fair value, warrants liability- related party for the three and six months ended June 30, 2023 is mainly due to:</w:t>
      </w:r>
    </w:p>
    <w:p>
      <w:pPr>
        <w:spacing w:after="0" w:line="63"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day 1 loss for the April 2023 Transaction and the May 2023 Transaction in the amounts of $26.4 million and $5.3 million, respectively.</w:t>
      </w:r>
    </w:p>
    <w:p>
      <w:pPr>
        <w:spacing w:after="0" w:line="74" w:lineRule="exact"/>
        <w:rPr>
          <w:rFonts w:ascii="Arial" w:cs="Arial" w:eastAsia="Arial" w:hAnsi="Arial"/>
          <w:sz w:val="17"/>
          <w:szCs w:val="17"/>
          <w:color w:val="auto"/>
        </w:rPr>
      </w:pPr>
    </w:p>
    <w:p>
      <w:pPr>
        <w:jc w:val="both"/>
        <w:ind w:left="340" w:hanging="332"/>
        <w:spacing w:after="0" w:line="263" w:lineRule="auto"/>
        <w:tabs>
          <w:tab w:leader="none" w:pos="3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An additional loss on the change in fair value for the April 2023 Warrants and the May 2023 Warrants in the amounts of $21.4 million and $6.0 million, respectively. (See Note 13, </w:t>
      </w:r>
      <w:r>
        <w:rPr>
          <w:rFonts w:ascii="Arial" w:cs="Arial" w:eastAsia="Arial" w:hAnsi="Arial"/>
          <w:sz w:val="18"/>
          <w:szCs w:val="18"/>
          <w:i w:val="1"/>
          <w:iCs w:val="1"/>
          <w:color w:val="auto"/>
        </w:rPr>
        <w:t>Warrants Liability- Related Party</w:t>
      </w:r>
      <w:r>
        <w:rPr>
          <w:rFonts w:ascii="Arial" w:cs="Arial" w:eastAsia="Arial" w:hAnsi="Arial"/>
          <w:sz w:val="18"/>
          <w:szCs w:val="18"/>
          <w:color w:val="auto"/>
        </w:rPr>
        <w:t xml:space="preserve"> to our unaudited condensed consolidated financial statements included elsewhere in this Quarterly Report for further discussion)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debt extinguishment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2780" w:type="dxa"/>
            <w:vAlign w:val="bottom"/>
            <w:gridSpan w:val="4"/>
          </w:tcPr>
          <w:p>
            <w:pPr>
              <w:jc w:val="center"/>
              <w:ind w:left="356"/>
              <w:spacing w:after="0"/>
              <w:rPr>
                <w:sz w:val="20"/>
                <w:szCs w:val="20"/>
                <w:color w:val="auto"/>
              </w:rPr>
            </w:pPr>
            <w:r>
              <w:rPr>
                <w:rFonts w:ascii="Arial" w:cs="Arial" w:eastAsia="Arial" w:hAnsi="Arial"/>
                <w:sz w:val="16"/>
                <w:szCs w:val="16"/>
                <w:b w:val="1"/>
                <w:bCs w:val="1"/>
                <w:color w:val="auto"/>
                <w:w w:val="94"/>
              </w:rPr>
              <w:t>For the Three Months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40" w:type="dxa"/>
            <w:vAlign w:val="bottom"/>
            <w:gridSpan w:val="3"/>
          </w:tcPr>
          <w:p>
            <w:pPr>
              <w:jc w:val="center"/>
              <w:ind w:left="497"/>
              <w:spacing w:after="0"/>
              <w:rPr>
                <w:sz w:val="20"/>
                <w:szCs w:val="20"/>
                <w:color w:val="auto"/>
              </w:rPr>
            </w:pPr>
            <w:r>
              <w:rPr>
                <w:rFonts w:ascii="Arial" w:cs="Arial" w:eastAsia="Arial" w:hAnsi="Arial"/>
                <w:sz w:val="16"/>
                <w:szCs w:val="16"/>
                <w:b w:val="1"/>
                <w:bCs w:val="1"/>
                <w:color w:val="auto"/>
                <w:w w:val="91"/>
              </w:rPr>
              <w:t>For the Six Months</w:t>
            </w:r>
          </w:p>
        </w:tc>
        <w:tc>
          <w:tcPr>
            <w:tcW w:w="940" w:type="dxa"/>
            <w:vAlign w:val="bottom"/>
          </w:tcPr>
          <w:p>
            <w:pPr>
              <w:spacing w:after="0"/>
              <w:rPr>
                <w:sz w:val="16"/>
                <w:szCs w:val="16"/>
                <w:color w:val="auto"/>
              </w:rPr>
            </w:pPr>
          </w:p>
        </w:tc>
      </w:tr>
      <w:tr>
        <w:trPr>
          <w:trHeight w:val="210"/>
        </w:trPr>
        <w:tc>
          <w:tcPr>
            <w:tcW w:w="46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center"/>
              <w:ind w:right="415"/>
              <w:spacing w:after="0"/>
              <w:rPr>
                <w:sz w:val="20"/>
                <w:szCs w:val="20"/>
                <w:color w:val="auto"/>
              </w:rPr>
            </w:pPr>
            <w:r>
              <w:rPr>
                <w:rFonts w:ascii="Arial" w:cs="Arial" w:eastAsia="Arial" w:hAnsi="Arial"/>
                <w:sz w:val="16"/>
                <w:szCs w:val="16"/>
                <w:b w:val="1"/>
                <w:bCs w:val="1"/>
                <w:color w:val="auto"/>
                <w:w w:val="90"/>
              </w:rPr>
              <w:t>Ended June 30,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center"/>
              <w:ind w:left="537"/>
              <w:spacing w:after="0"/>
              <w:rPr>
                <w:sz w:val="20"/>
                <w:szCs w:val="20"/>
                <w:color w:val="auto"/>
              </w:rPr>
            </w:pPr>
            <w:r>
              <w:rPr>
                <w:rFonts w:ascii="Arial" w:cs="Arial" w:eastAsia="Arial" w:hAnsi="Arial"/>
                <w:sz w:val="16"/>
                <w:szCs w:val="16"/>
                <w:b w:val="1"/>
                <w:bCs w:val="1"/>
                <w:color w:val="auto"/>
                <w:w w:val="91"/>
              </w:rPr>
              <w:t>Ended June 30,</w:t>
            </w:r>
          </w:p>
        </w:tc>
        <w:tc>
          <w:tcPr>
            <w:tcW w:w="940" w:type="dxa"/>
            <w:vAlign w:val="bottom"/>
            <w:tcBorders>
              <w:bottom w:val="single" w:sz="8" w:color="auto"/>
            </w:tcBorders>
          </w:tcPr>
          <w:p>
            <w:pPr>
              <w:spacing w:after="0"/>
              <w:rPr>
                <w:sz w:val="18"/>
                <w:szCs w:val="18"/>
                <w:color w:val="auto"/>
              </w:rPr>
            </w:pPr>
          </w:p>
        </w:tc>
      </w:tr>
      <w:tr>
        <w:trPr>
          <w:trHeight w:val="215"/>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thousands)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95"/>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7"/>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w w:val="84"/>
              </w:rPr>
              <w:t>2022</w:t>
            </w: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debt extinguishment</w:t>
            </w: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(1,876)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5"/>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Company recognized a loss on debt extinguishment of $1.9 million and $3.5 million for the three and six months ended June 30, 2023 from the issuance of common stock from the Yorkville Convertible Promissory Notes, respectively. See Note 12, </w:t>
      </w:r>
      <w:r>
        <w:rPr>
          <w:rFonts w:ascii="Arial" w:cs="Arial" w:eastAsia="Arial" w:hAnsi="Arial"/>
          <w:sz w:val="18"/>
          <w:szCs w:val="18"/>
          <w:i w:val="1"/>
          <w:iCs w:val="1"/>
          <w:color w:val="auto"/>
        </w:rPr>
        <w:t>Borrowings</w:t>
      </w:r>
      <w:r>
        <w:rPr>
          <w:rFonts w:ascii="Arial" w:cs="Arial" w:eastAsia="Arial" w:hAnsi="Arial"/>
          <w:sz w:val="18"/>
          <w:szCs w:val="18"/>
          <w:color w:val="auto"/>
        </w:rPr>
        <w:t xml:space="preserve"> to our unaudited condensed consolidated financial statements included elsewhere in this Quarterly Report for further discussion.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tcPr>
          <w:p>
            <w:pPr>
              <w:spacing w:after="0"/>
              <w:rPr>
                <w:sz w:val="16"/>
                <w:szCs w:val="16"/>
                <w:color w:val="auto"/>
              </w:rPr>
            </w:pPr>
          </w:p>
        </w:tc>
        <w:tc>
          <w:tcPr>
            <w:tcW w:w="2700" w:type="dxa"/>
            <w:vAlign w:val="bottom"/>
            <w:gridSpan w:val="4"/>
          </w:tcPr>
          <w:p>
            <w:pPr>
              <w:jc w:val="center"/>
              <w:ind w:left="436"/>
              <w:spacing w:after="0"/>
              <w:rPr>
                <w:sz w:val="20"/>
                <w:szCs w:val="20"/>
                <w:color w:val="auto"/>
              </w:rPr>
            </w:pPr>
            <w:r>
              <w:rPr>
                <w:rFonts w:ascii="Arial" w:cs="Arial" w:eastAsia="Arial" w:hAnsi="Arial"/>
                <w:sz w:val="16"/>
                <w:szCs w:val="16"/>
                <w:b w:val="1"/>
                <w:bCs w:val="1"/>
                <w:color w:val="auto"/>
                <w:w w:val="94"/>
              </w:rPr>
              <w:t>For the Three Months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For the Six Months</w:t>
            </w:r>
          </w:p>
        </w:tc>
        <w:tc>
          <w:tcPr>
            <w:tcW w:w="940" w:type="dxa"/>
            <w:vAlign w:val="bottom"/>
          </w:tcPr>
          <w:p>
            <w:pPr>
              <w:spacing w:after="0"/>
              <w:rPr>
                <w:sz w:val="16"/>
                <w:szCs w:val="16"/>
                <w:color w:val="auto"/>
              </w:rPr>
            </w:pPr>
          </w:p>
        </w:tc>
      </w:tr>
      <w:tr>
        <w:trPr>
          <w:trHeight w:val="210"/>
        </w:trPr>
        <w:tc>
          <w:tcPr>
            <w:tcW w:w="47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center"/>
              <w:ind w:right="375"/>
              <w:spacing w:after="0"/>
              <w:rPr>
                <w:sz w:val="20"/>
                <w:szCs w:val="20"/>
                <w:color w:val="auto"/>
              </w:rPr>
            </w:pPr>
            <w:r>
              <w:rPr>
                <w:rFonts w:ascii="Arial" w:cs="Arial" w:eastAsia="Arial" w:hAnsi="Arial"/>
                <w:sz w:val="16"/>
                <w:szCs w:val="16"/>
                <w:b w:val="1"/>
                <w:bCs w:val="1"/>
                <w:color w:val="auto"/>
                <w:w w:val="90"/>
              </w:rPr>
              <w:t>Ended June 30,</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0"/>
              </w:rPr>
              <w:t>Ended June 30,</w:t>
            </w:r>
          </w:p>
        </w:tc>
        <w:tc>
          <w:tcPr>
            <w:tcW w:w="940" w:type="dxa"/>
            <w:vAlign w:val="bottom"/>
            <w:tcBorders>
              <w:bottom w:val="single" w:sz="8" w:color="auto"/>
            </w:tcBorders>
          </w:tcPr>
          <w:p>
            <w:pPr>
              <w:spacing w:after="0"/>
              <w:rPr>
                <w:sz w:val="18"/>
                <w:szCs w:val="18"/>
                <w:color w:val="auto"/>
              </w:rPr>
            </w:pPr>
          </w:p>
        </w:tc>
      </w:tr>
      <w:tr>
        <w:trPr>
          <w:trHeight w:val="21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thousands)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w w:val="84"/>
              </w:rPr>
              <w:t>2022</w:t>
            </w: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102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5"/>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5"/>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expense increased by $0.2 million and $0.4 million for the three and six months ended June 30, 2023, respectively, primarily due to the expenses incurred from the April 2023 Transaction and the May 2023 Transaction.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 (benefit)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tcPr>
          <w:p>
            <w:pPr>
              <w:spacing w:after="0"/>
              <w:rPr>
                <w:sz w:val="16"/>
                <w:szCs w:val="16"/>
                <w:color w:val="auto"/>
              </w:rPr>
            </w:pPr>
          </w:p>
        </w:tc>
        <w:tc>
          <w:tcPr>
            <w:tcW w:w="2740" w:type="dxa"/>
            <w:vAlign w:val="bottom"/>
            <w:gridSpan w:val="4"/>
          </w:tcPr>
          <w:p>
            <w:pPr>
              <w:jc w:val="center"/>
              <w:ind w:left="396"/>
              <w:spacing w:after="0"/>
              <w:rPr>
                <w:sz w:val="20"/>
                <w:szCs w:val="20"/>
                <w:color w:val="auto"/>
              </w:rPr>
            </w:pPr>
            <w:r>
              <w:rPr>
                <w:rFonts w:ascii="Arial" w:cs="Arial" w:eastAsia="Arial" w:hAnsi="Arial"/>
                <w:sz w:val="16"/>
                <w:szCs w:val="16"/>
                <w:b w:val="1"/>
                <w:bCs w:val="1"/>
                <w:color w:val="auto"/>
                <w:w w:val="94"/>
              </w:rPr>
              <w:t>For the Three Months</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For the Six Months</w:t>
            </w:r>
          </w:p>
        </w:tc>
        <w:tc>
          <w:tcPr>
            <w:tcW w:w="940" w:type="dxa"/>
            <w:vAlign w:val="bottom"/>
          </w:tcPr>
          <w:p>
            <w:pPr>
              <w:spacing w:after="0"/>
              <w:rPr>
                <w:sz w:val="16"/>
                <w:szCs w:val="16"/>
                <w:color w:val="auto"/>
              </w:rPr>
            </w:pPr>
          </w:p>
        </w:tc>
      </w:tr>
      <w:tr>
        <w:trPr>
          <w:trHeight w:val="210"/>
        </w:trPr>
        <w:tc>
          <w:tcPr>
            <w:tcW w:w="47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center"/>
              <w:ind w:right="415"/>
              <w:spacing w:after="0"/>
              <w:rPr>
                <w:sz w:val="20"/>
                <w:szCs w:val="20"/>
                <w:color w:val="auto"/>
              </w:rPr>
            </w:pPr>
            <w:r>
              <w:rPr>
                <w:rFonts w:ascii="Arial" w:cs="Arial" w:eastAsia="Arial" w:hAnsi="Arial"/>
                <w:sz w:val="16"/>
                <w:szCs w:val="16"/>
                <w:b w:val="1"/>
                <w:bCs w:val="1"/>
                <w:color w:val="auto"/>
                <w:w w:val="90"/>
              </w:rPr>
              <w:t>Ended June 30,</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0"/>
              </w:rPr>
              <w:t>Ended June 30,</w:t>
            </w:r>
          </w:p>
        </w:tc>
        <w:tc>
          <w:tcPr>
            <w:tcW w:w="940" w:type="dxa"/>
            <w:vAlign w:val="bottom"/>
            <w:tcBorders>
              <w:bottom w:val="single" w:sz="8" w:color="auto"/>
            </w:tcBorders>
          </w:tcPr>
          <w:p>
            <w:pPr>
              <w:spacing w:after="0"/>
              <w:rPr>
                <w:sz w:val="18"/>
                <w:szCs w:val="18"/>
                <w:color w:val="auto"/>
              </w:rPr>
            </w:pPr>
          </w:p>
        </w:tc>
      </w:tr>
      <w:tr>
        <w:trPr>
          <w:trHeight w:val="21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thousands)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w w:val="84"/>
              </w:rPr>
              <w:t>2022</w:t>
            </w: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102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5"/>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5"/>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incurred income tax expense (benefit) for the three and six months ended June 30, 2023 and 2022 in relation to the pre-tax income/loss from the Company’s international subsidiaries.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and Going Concern</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a growth company in the early commercialization stage of its lifecycle, Eos is subject to inherent risks and uncertainties associated with the development of an enterprise. In this regard, substantially all of the Company’s efforts to date have been devoted to the development and manufacturing of battery energy storage systems and complimentary products and services, recruitment of management and technical staff, deployment of capital to expand the Company’s operations to meet customer demand and raising capital to fund the Company’s development. As a result of these efforts, the Company has incurred significant losses and negative cash flows from operations since its inception and expects to continue to incur such losses and negative cash flows for the foreseeable future until such time that the Company can reach a scale of profitability to sustain its operations.</w:t>
      </w:r>
    </w:p>
    <w:p>
      <w:pPr>
        <w:spacing w:after="0" w:line="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order to execute its development strategy, the Company has historically relied on outside capital through the issuance of equity, debt, and borrowings under financing arrangements (collectively “outside capital”) to fund its cost structure and expects to continue to rely on outside capital for the foreseeable future. While the Company believes it will eventually reach a scale of profitability to sustain its operations, there can be no assurance the Company will be able to achieve such profitability or do so in a manner that does not require its continued reliance on outside capital. Moreover, while the Company has historically been successful in raising outside capital, there can be no assurance the Company will be able to continue to obtain outside capital in the future or do so on terms that are acceptable to the Company.</w:t>
      </w:r>
    </w:p>
    <w:p>
      <w:pPr>
        <w:spacing w:after="0" w:line="1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the date the accompanying unaudited condensed consolidated financial statements were issued (the “issuance date”), management evaluated the significance of the following negative financial conditions in accordance with Accounting Standard Codification 205-40, Going Concern:</w:t>
      </w:r>
    </w:p>
    <w:p>
      <w:pPr>
        <w:spacing w:after="0" w:line="38" w:lineRule="exact"/>
        <w:rPr>
          <w:sz w:val="20"/>
          <w:szCs w:val="20"/>
          <w:color w:val="auto"/>
        </w:rPr>
      </w:pPr>
    </w:p>
    <w:p>
      <w:pPr>
        <w:jc w:val="both"/>
        <w:ind w:left="66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Since its inception, the Company has incurred significant losses and negative cash from operations in order to fund its development. During the six months ended June 30, 2023, the Company incurred a net loss of $203.2 million, incurred negative cash flows from operations of $75.6 million, and had an accumulated deficit of $849.6 million as of June 30, 2023.</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660" w:hanging="328"/>
        <w:spacing w:after="0" w:line="279"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As of June 30, 2023, the Company had $23.2 million of unrestricted cash and cash equivalents available to fund the Company’s operations, no additional borrowings available to fund its operations under pre-existing financing arrangements (see Note 12, </w:t>
      </w:r>
      <w:r>
        <w:rPr>
          <w:rFonts w:ascii="Arial" w:cs="Arial" w:eastAsia="Arial" w:hAnsi="Arial"/>
          <w:sz w:val="17"/>
          <w:szCs w:val="17"/>
          <w:i w:val="1"/>
          <w:iCs w:val="1"/>
          <w:color w:val="auto"/>
        </w:rPr>
        <w:t>Borrowings</w:t>
      </w:r>
      <w:r>
        <w:rPr>
          <w:rFonts w:ascii="Arial" w:cs="Arial" w:eastAsia="Arial" w:hAnsi="Arial"/>
          <w:sz w:val="17"/>
          <w:szCs w:val="17"/>
          <w:color w:val="auto"/>
        </w:rPr>
        <w:t xml:space="preserve"> to our unaudited condensed consolidated financial statements included elsewhere in this Quarterly Report) and working capital of $20.9 million, inclusive of $3.1 million of outstanding debt that is currently scheduled to mature within the next twelve months beyond the issuance date.</w:t>
      </w:r>
    </w:p>
    <w:p>
      <w:pPr>
        <w:spacing w:after="0" w:line="63" w:lineRule="exact"/>
        <w:rPr>
          <w:rFonts w:ascii="Arial" w:cs="Arial" w:eastAsia="Arial" w:hAnsi="Arial"/>
          <w:sz w:val="17"/>
          <w:szCs w:val="17"/>
          <w:color w:val="auto"/>
        </w:rPr>
      </w:pPr>
    </w:p>
    <w:p>
      <w:pPr>
        <w:jc w:val="both"/>
        <w:ind w:left="660" w:hanging="328"/>
        <w:spacing w:after="0" w:line="273" w:lineRule="auto"/>
        <w:tabs>
          <w:tab w:leader="none" w:pos="655" w:val="left"/>
        </w:tabs>
        <w:numPr>
          <w:ilvl w:val="0"/>
          <w:numId w:val="13"/>
        </w:numPr>
        <w:rPr>
          <w:rFonts w:ascii="Arial" w:cs="Arial" w:eastAsia="Arial" w:hAnsi="Arial"/>
          <w:sz w:val="17"/>
          <w:szCs w:val="17"/>
          <w:i w:val="1"/>
          <w:iCs w:val="1"/>
          <w:color w:val="auto"/>
        </w:rPr>
      </w:pPr>
      <w:r>
        <w:rPr>
          <w:rFonts w:ascii="Arial" w:cs="Arial" w:eastAsia="Arial" w:hAnsi="Arial"/>
          <w:sz w:val="17"/>
          <w:szCs w:val="17"/>
          <w:color w:val="auto"/>
        </w:rPr>
        <w:t xml:space="preserve">While the Company has available capacity under certain pre-existing arrangements to issue shares of the Company’s common stock, including under the SEPA, subject to the exchange cap, and the at-the-market offering program, (see Note 18, </w:t>
      </w:r>
      <w:r>
        <w:rPr>
          <w:rFonts w:ascii="Arial" w:cs="Arial" w:eastAsia="Arial" w:hAnsi="Arial"/>
          <w:sz w:val="17"/>
          <w:szCs w:val="17"/>
          <w:i w:val="1"/>
          <w:iCs w:val="1"/>
          <w:color w:val="auto"/>
        </w:rPr>
        <w:t>Shareholders’ Deficit</w:t>
      </w:r>
      <w:r>
        <w:rPr>
          <w:rFonts w:ascii="Arial" w:cs="Arial" w:eastAsia="Arial" w:hAnsi="Arial"/>
          <w:sz w:val="17"/>
          <w:szCs w:val="17"/>
          <w:color w:val="auto"/>
        </w:rPr>
        <w:t xml:space="preserve"> to our unaudited condensed consolidated financial statements included elsewhere in this Quarterly Report) to aid in funding the Company’s operations, the Company’s ability to secure such funding is dependent upon certain conditions, such as investors’ willingness to purchase the Company’s common stock and at a price that is acceptable to the Company. Accordingly, as of the issuance date there is no assurance the Company will be able to secure funding under these pre-existing arrangements or on terms that are acceptable to the Company.</w:t>
      </w:r>
    </w:p>
    <w:p>
      <w:pPr>
        <w:spacing w:after="0" w:line="69" w:lineRule="exact"/>
        <w:rPr>
          <w:rFonts w:ascii="Arial" w:cs="Arial" w:eastAsia="Arial" w:hAnsi="Arial"/>
          <w:sz w:val="17"/>
          <w:szCs w:val="17"/>
          <w:i w:val="1"/>
          <w:iCs w:val="1"/>
          <w:color w:val="auto"/>
        </w:rPr>
      </w:pPr>
    </w:p>
    <w:p>
      <w:pPr>
        <w:jc w:val="both"/>
        <w:ind w:left="660" w:hanging="328"/>
        <w:spacing w:after="0" w:line="25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Similarly, while the Company has historically been successful in raising additional outside capital to fund the Company’s operations, as of the issuance date no assurance can be provided the Company will be successful in obtaining additional outside capital or on terms that are acceptable to the Company. In this regard, the Company continues to progress through the Department of Energy (“DOE”) Loan Programs Office’s (“LPO”) process for its Title XVII loan and is awaiting a conditional approval decision. There can be no assurance that the Company will be able to secure such a loan or on terms that are acceptable to the Company.</w:t>
      </w:r>
    </w:p>
    <w:p>
      <w:pPr>
        <w:spacing w:after="0" w:line="79" w:lineRule="exact"/>
        <w:rPr>
          <w:rFonts w:ascii="Arial" w:cs="Arial" w:eastAsia="Arial" w:hAnsi="Arial"/>
          <w:sz w:val="18"/>
          <w:szCs w:val="18"/>
          <w:color w:val="auto"/>
        </w:rPr>
      </w:pPr>
    </w:p>
    <w:p>
      <w:pPr>
        <w:jc w:val="both"/>
        <w:ind w:left="660" w:hanging="328"/>
        <w:spacing w:after="0" w:line="270"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Company is required to remain in compliance with a quarterly minimum financial liquidity covenant under its Senior Secured Term Loan. While the Company was in compliance with this covenant as of June 30, 2023, and expects to remain in compliance as of September 30, 2023, absent the Company’s ability to secure additional outside capital, the Company may be unable to remain in compliance with this covenant beginning on December 31, 2023 and thereafter. In the event the Company is unable to remain in compliance with the minimum financial liquidity covenant and the other nonfinancial covenants required by the Senior Secured Term Loan, and the Company is further unable to cure such noncompliance or secure a waiver, Atlas may, at its discretion, exercise any and all of its existing rights and remedies, which may include, among other things, entering into a forbearance agreement with the Company, and/or asserting its rights in the Company’s assets securing the loan. Moreover, the Company’s other lenders may exercise similar rights and remedies under the cross-default provisions of their respective borrowing arrangements with the Company.</w:t>
      </w:r>
    </w:p>
    <w:p>
      <w:pPr>
        <w:spacing w:after="0" w:line="7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Absent an ability to secure additional outside capital in the near term, the Company will be unable to meet its obligations as they become due over the next twelve months beyond the issuance date.</w:t>
      </w:r>
    </w:p>
    <w:p>
      <w:pPr>
        <w:spacing w:after="0" w:line="62"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the event the Company’s ongoing efforts to raise additional outside capital prove unsuccessful, management will be required to seek other strategic alternatives, which may include, among others, a significant curtailment in the Company’s operations, a sale of certain of the Company’s assets, a sale of the entire Company to strategic or financial investors, and/or allowing the Company to become insolvent.</w:t>
      </w:r>
    </w:p>
    <w:p>
      <w:pPr>
        <w:spacing w:after="0" w:line="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uncertainties raise substantial doubt about the Company’s ability to continue as a going concern. The accompanying unaudited condensed consolidated financial statements have been prepared on the basis that the Company will continue to operate as a going concern, which contemplates that the Company will be able to realize assets and settle liabilities and commitments in the normal course of business for the foreseeable future. Accordingly, the accompanying unaudited condensed consolidated financial statements do not include any adjustments that may result from the outcome of these uncertainties.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Arrangements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historically relied on outside capital to fund its cost structure and expects this reliance to continue for the foreseeable future until the Company reaches profitability through its planned revenue generating activities. During the six months ended June 30, 2023, the Company closed on the following capital transactions:</w:t>
      </w:r>
    </w:p>
    <w:p>
      <w:pPr>
        <w:spacing w:after="0" w:line="76" w:lineRule="exact"/>
        <w:rPr>
          <w:sz w:val="20"/>
          <w:szCs w:val="20"/>
          <w:color w:val="auto"/>
        </w:rPr>
      </w:pPr>
    </w:p>
    <w:p>
      <w:pPr>
        <w:ind w:left="660" w:hanging="328"/>
        <w:spacing w:after="0" w:line="324" w:lineRule="auto"/>
        <w:tabs>
          <w:tab w:leader="none" w:pos="655" w:val="left"/>
        </w:tabs>
        <w:numPr>
          <w:ilvl w:val="0"/>
          <w:numId w:val="14"/>
        </w:numPr>
        <w:rPr>
          <w:rFonts w:ascii="Arial" w:cs="Arial" w:eastAsia="Arial" w:hAnsi="Arial"/>
          <w:sz w:val="16"/>
          <w:szCs w:val="16"/>
          <w:b w:val="1"/>
          <w:bCs w:val="1"/>
          <w:i w:val="1"/>
          <w:iCs w:val="1"/>
          <w:color w:val="auto"/>
        </w:rPr>
      </w:pPr>
      <w:r>
        <w:rPr>
          <w:rFonts w:ascii="Arial" w:cs="Arial" w:eastAsia="Arial" w:hAnsi="Arial"/>
          <w:sz w:val="16"/>
          <w:szCs w:val="16"/>
          <w:color w:val="auto"/>
        </w:rPr>
        <w:t xml:space="preserve">On January 18, 2023, the Company raised $13.8 million from the issuance of the AFG Convertible Notes, which mature in June 2026. See Note 12, </w:t>
      </w:r>
      <w:r>
        <w:rPr>
          <w:rFonts w:ascii="Arial" w:cs="Arial" w:eastAsia="Arial" w:hAnsi="Arial"/>
          <w:sz w:val="16"/>
          <w:szCs w:val="16"/>
          <w:i w:val="1"/>
          <w:iCs w:val="1"/>
          <w:color w:val="auto"/>
        </w:rPr>
        <w:t>Borrowings</w:t>
      </w:r>
      <w:r>
        <w:rPr>
          <w:rFonts w:ascii="Arial" w:cs="Arial" w:eastAsia="Arial" w:hAnsi="Arial"/>
          <w:sz w:val="16"/>
          <w:szCs w:val="16"/>
          <w:color w:val="auto"/>
        </w:rPr>
        <w:t xml:space="preserve"> to our unaudited condensed consolidated financial statements included elsewhere in this Quarterly Report for further discussion.</w:t>
      </w:r>
    </w:p>
    <w:p>
      <w:pPr>
        <w:spacing w:after="0" w:line="29" w:lineRule="exact"/>
        <w:rPr>
          <w:rFonts w:ascii="Arial" w:cs="Arial" w:eastAsia="Arial" w:hAnsi="Arial"/>
          <w:sz w:val="16"/>
          <w:szCs w:val="16"/>
          <w:b w:val="1"/>
          <w:bCs w:val="1"/>
          <w:i w:val="1"/>
          <w:iCs w:val="1"/>
          <w:color w:val="auto"/>
        </w:rPr>
      </w:pPr>
    </w:p>
    <w:p>
      <w:pPr>
        <w:jc w:val="both"/>
        <w:ind w:left="660" w:hanging="328"/>
        <w:spacing w:after="0" w:line="259" w:lineRule="auto"/>
        <w:tabs>
          <w:tab w:leader="none" w:pos="655"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color w:val="auto"/>
        </w:rPr>
        <w:t>In April 2023, the Company issued 16,000,000 shares of the Company’s common stock at a purchase price of $2.50 per share in a registered direct offering. The Company also issued in a concurrent private placement unregistered warrants to purchase up to an aggregate of 16,000,000 shares of common stock. The gross proceeds to the Company from the offering were $40.0 million, before deducting advisory fees and other offering expenses payable by the Company.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660" w:hanging="328"/>
        <w:spacing w:after="0" w:line="259"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May 2023, the Company issued 3,601,980 shares of the Company’s common stock at a purchase price of $2.221 per share in a registered direct offering. The Company also issued in a concurrent private placement unregistered warrants to purchase up to an aggregate of 3,601,980 shares of common stock. The gross proceeds to the Company from the offering were $8.0 million, before deducting advisory fees and other offering expenses payable by the Company.</w:t>
      </w:r>
    </w:p>
    <w:p>
      <w:pPr>
        <w:spacing w:after="0" w:line="78"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For the six months ended June 30, 2023, total funds raised under the SEPA, inclusive of net proceeds received from the Yorkville Convertible Promissory Notes, were $35.6 million. See Note 18, </w:t>
      </w:r>
      <w:r>
        <w:rPr>
          <w:rFonts w:ascii="Arial" w:cs="Arial" w:eastAsia="Arial" w:hAnsi="Arial"/>
          <w:sz w:val="18"/>
          <w:szCs w:val="18"/>
          <w:i w:val="1"/>
          <w:iCs w:val="1"/>
          <w:color w:val="auto"/>
        </w:rPr>
        <w:t>Shareholders' Deficit</w:t>
      </w:r>
      <w:r>
        <w:rPr>
          <w:rFonts w:ascii="Arial" w:cs="Arial" w:eastAsia="Arial" w:hAnsi="Arial"/>
          <w:sz w:val="18"/>
          <w:szCs w:val="18"/>
          <w:color w:val="auto"/>
        </w:rPr>
        <w:t xml:space="preserve"> to our unaudited condensed consolidated financial statements included elsewhere in this Quarterly Report for further discussion.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expects capital expenditures and working capital requirements to increase as it seeks to execute its growth strategy. Total capital expenditures for the six months ended June 30, 2023 and June 30, 2022 were $10.1 million and $11.5 million, respectively. We anticipate the 2023 spending to be used primarily for additional equipment, automation, and other infrastructure to expand the Company’s capacity to meet customer demand. The decrease in capital expenditures was due to a shift in production to the Eos Z3™ battery. The Company’s capital expenditure and working capital requirements in the foreseeable future may change depending on many factors, including but not limited to: equipment requirements to support the next generation(s) of products, growth in customer backlog, the Company’s operating results and its ability to secure funding, and any adjustments to the Company’s operating plan necessary to respond to industry conditions, competition or unexpected events.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Discussion and Analysis of Cash Flows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relies heavily on private placement of convertible notes, term loans, equipment financing and issuance of common stock. Our short-term working capital needs are primarily related to funding of debt interest payments, repayment of debt principal, product manufacturing, research and development, and general corporate expenses. The Company’s long-term working capital needs are primarily related to repayment of long-term debt obligations and capital expenses for capacity expansion and maintenance, equipment upgrades and repair of equipment. We have taken steps to conserve working capital and reduce expenses to better manage cash outflows.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cash flows from operating, investing, and financing activities for the periods presented.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80" w:type="dxa"/>
            <w:vAlign w:val="bottom"/>
            <w:gridSpan w:val="4"/>
          </w:tcPr>
          <w:p>
            <w:pPr>
              <w:ind w:left="640"/>
              <w:spacing w:after="0"/>
              <w:rPr>
                <w:sz w:val="20"/>
                <w:szCs w:val="20"/>
                <w:color w:val="auto"/>
              </w:rPr>
            </w:pPr>
            <w:r>
              <w:rPr>
                <w:rFonts w:ascii="Arial" w:cs="Arial" w:eastAsia="Arial" w:hAnsi="Arial"/>
                <w:sz w:val="16"/>
                <w:szCs w:val="16"/>
                <w:b w:val="1"/>
                <w:bCs w:val="1"/>
                <w:color w:val="auto"/>
              </w:rPr>
              <w:t>Six Months Ended June 30,</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3"/>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 in thousands)</w:t>
            </w: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74"/>
              <w:spacing w:after="0"/>
              <w:rPr>
                <w:sz w:val="20"/>
                <w:szCs w:val="20"/>
                <w:color w:val="auto"/>
              </w:rPr>
            </w:pPr>
            <w:r>
              <w:rPr>
                <w:rFonts w:ascii="Arial" w:cs="Arial" w:eastAsia="Arial" w:hAnsi="Arial"/>
                <w:sz w:val="16"/>
                <w:szCs w:val="16"/>
                <w:b w:val="1"/>
                <w:bCs w:val="1"/>
                <w:color w:val="auto"/>
              </w:rPr>
              <w:t>2023</w:t>
            </w:r>
          </w:p>
        </w:tc>
        <w:tc>
          <w:tcPr>
            <w:tcW w:w="4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72"/>
              <w:spacing w:after="0"/>
              <w:rPr>
                <w:sz w:val="20"/>
                <w:szCs w:val="20"/>
                <w:color w:val="auto"/>
              </w:rPr>
            </w:pPr>
            <w:r>
              <w:rPr>
                <w:rFonts w:ascii="Arial" w:cs="Arial" w:eastAsia="Arial" w:hAnsi="Arial"/>
                <w:sz w:val="16"/>
                <w:szCs w:val="16"/>
                <w:b w:val="1"/>
                <w:bCs w:val="1"/>
                <w:color w:val="auto"/>
              </w:rPr>
              <w:t>$ Change</w:t>
            </w:r>
          </w:p>
        </w:tc>
      </w:tr>
      <w:tr>
        <w:trPr>
          <w:trHeight w:val="226"/>
        </w:trPr>
        <w:tc>
          <w:tcPr>
            <w:tcW w:w="6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center"/>
              <w:ind w:left="434"/>
              <w:spacing w:after="0"/>
              <w:rPr>
                <w:sz w:val="20"/>
                <w:szCs w:val="20"/>
                <w:color w:val="auto"/>
              </w:rPr>
            </w:pPr>
            <w:r>
              <w:rPr>
                <w:rFonts w:ascii="Arial" w:cs="Arial" w:eastAsia="Arial" w:hAnsi="Arial"/>
                <w:sz w:val="18"/>
                <w:szCs w:val="18"/>
                <w:color w:val="auto"/>
                <w:w w:val="92"/>
              </w:rPr>
              <w:t>(75,582)</w:t>
            </w:r>
          </w:p>
        </w:tc>
        <w:tc>
          <w:tcPr>
            <w:tcW w:w="42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center"/>
              <w:ind w:left="452"/>
              <w:spacing w:after="0"/>
              <w:rPr>
                <w:sz w:val="20"/>
                <w:szCs w:val="20"/>
                <w:color w:val="auto"/>
              </w:rPr>
            </w:pPr>
            <w:r>
              <w:rPr>
                <w:rFonts w:ascii="Arial" w:cs="Arial" w:eastAsia="Arial" w:hAnsi="Arial"/>
                <w:sz w:val="18"/>
                <w:szCs w:val="18"/>
                <w:color w:val="auto"/>
                <w:w w:val="89"/>
              </w:rPr>
              <w:t>(86,992)</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11,410</w:t>
            </w:r>
          </w:p>
        </w:tc>
      </w:tr>
      <w:tr>
        <w:trPr>
          <w:trHeight w:val="229"/>
        </w:trPr>
        <w:tc>
          <w:tcPr>
            <w:tcW w:w="626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center"/>
              <w:ind w:left="434"/>
              <w:spacing w:after="0"/>
              <w:rPr>
                <w:sz w:val="20"/>
                <w:szCs w:val="20"/>
                <w:color w:val="auto"/>
              </w:rPr>
            </w:pPr>
            <w:r>
              <w:rPr>
                <w:rFonts w:ascii="Arial" w:cs="Arial" w:eastAsia="Arial" w:hAnsi="Arial"/>
                <w:sz w:val="18"/>
                <w:szCs w:val="18"/>
                <w:color w:val="auto"/>
                <w:w w:val="92"/>
              </w:rPr>
              <w:t>(10,100)</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center"/>
              <w:ind w:left="452"/>
              <w:spacing w:after="0"/>
              <w:rPr>
                <w:sz w:val="20"/>
                <w:szCs w:val="20"/>
                <w:color w:val="auto"/>
              </w:rPr>
            </w:pPr>
            <w:r>
              <w:rPr>
                <w:rFonts w:ascii="Arial" w:cs="Arial" w:eastAsia="Arial" w:hAnsi="Arial"/>
                <w:sz w:val="18"/>
                <w:szCs w:val="18"/>
                <w:color w:val="auto"/>
                <w:w w:val="89"/>
              </w:rPr>
              <w:t>(11,758)</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1,658</w:t>
            </w:r>
          </w:p>
        </w:tc>
      </w:tr>
      <w:tr>
        <w:trPr>
          <w:trHeight w:val="230"/>
        </w:trPr>
        <w:tc>
          <w:tcPr>
            <w:tcW w:w="6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center"/>
              <w:ind w:left="454"/>
              <w:spacing w:after="0"/>
              <w:rPr>
                <w:sz w:val="20"/>
                <w:szCs w:val="20"/>
                <w:color w:val="auto"/>
              </w:rPr>
            </w:pPr>
            <w:r>
              <w:rPr>
                <w:rFonts w:ascii="Arial" w:cs="Arial" w:eastAsia="Arial" w:hAnsi="Arial"/>
                <w:sz w:val="18"/>
                <w:szCs w:val="18"/>
                <w:color w:val="auto"/>
                <w:w w:val="87"/>
              </w:rPr>
              <w:t>92,612</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center"/>
              <w:ind w:left="472"/>
              <w:spacing w:after="0"/>
              <w:rPr>
                <w:sz w:val="20"/>
                <w:szCs w:val="20"/>
                <w:color w:val="auto"/>
              </w:rPr>
            </w:pPr>
            <w:r>
              <w:rPr>
                <w:rFonts w:ascii="Arial" w:cs="Arial" w:eastAsia="Arial" w:hAnsi="Arial"/>
                <w:sz w:val="18"/>
                <w:szCs w:val="18"/>
                <w:color w:val="auto"/>
                <w:w w:val="90"/>
              </w:rPr>
              <w:t>10,584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82,028</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flows used in operating activities primarily comprise of costs related to research and development, manufacturing of products, project commissioning and other general and administrative activities.</w:t>
      </w:r>
    </w:p>
    <w:p>
      <w:pPr>
        <w:spacing w:after="0" w:line="8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Net cash used in operating activities was $75.6 million for the six months ended June 30, 2023 was primarily driven by a net loss of $203.2 million, adjusted for non-cash items of $140.3 million, primarily related to stock compensation expense, depreciation and amortization, non-cash interest expense, changes in fair value of derivatives, and loss on debt extinguishment. The net cash outflows from changes in operating assets and liabilities was $12.7 million, primarily driven by a decrease in accounts payable and accrued expenses of $11.0 million, increase in vendor deposits of $5.4 million, and decrease in contract liabilities of $1.5 million, partially offset by decrease in inventory of $6.6 million.</w:t>
      </w:r>
    </w:p>
    <w:p>
      <w:pPr>
        <w:spacing w:after="0" w:line="1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used in operating activities was $87.0 million for the six months ended June 30, 2022, was primarily driven by a net loss of $102.5 million, adjusted for non-cash items of $5.1 million, primarily related to stock compensation expense, depreciation and amortization, and changes in fair value of derivatives. The net cash inflows from changes in operating assets and liabilities was $10.4 million, primarily driven by an increase in accounts payable and accrued expenses of $20.6 million and increase in contract liabilities of $0.9 million, partially offset by an increase in vendor deposits of $5.3 million, increase in accounts receivable of $0.7 million, and decrease in notes payable of $4.7 million.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flows used in investing activities for the six months ended June 30, 2023 were composed of payments made for purchases of property, plant and equipment of $10.1 million.</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flows used in investing activities for the six months ended June 30, 2022 were primarily composed of payments made for purchases of property, plant and equipment of $11.5 million and notes receivable advanced to customers of $0.3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provided by financing activities was $92.6 million for the six months ended June 30, 2023, was primarily due to the net proceeds received from the Yorkville Convertible Promissory Notes and AFG Convertible Notes of $48.1 million and from the issuance of common stock and warrants of $49.3 million. The proceeds were partially offset by equity issuance costs of $2.1 million, debt issuance costs related to the Yorkville Convertible Promissory Notes and AFG Convertible Notes of $1.1 million, payments on the equipment financing facility of $1.4 million and $0.5 million for share repurchases from employees for tax withholding purposes.</w:t>
      </w:r>
    </w:p>
    <w:p>
      <w:pPr>
        <w:spacing w:after="0" w:line="10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cash provided by financing activities was $10.6 million for the six months ended June 30, 2022, primarily due to the net proceeds from issuance of convertible notes of $7.2 million and proceeds received from issuance of common stock of $5.0 million, partially offset by payment of equipment financing facility of $0.8 million and payment for share repurchases from employees for tax withholding purposes of $0.9 million.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certain obligations and commitments to make future payments under contracts. As of June 30, 2023, this is comprised of the following:</w:t>
      </w:r>
    </w:p>
    <w:p>
      <w:pPr>
        <w:spacing w:after="0" w:line="86" w:lineRule="exact"/>
        <w:rPr>
          <w:sz w:val="20"/>
          <w:szCs w:val="20"/>
          <w:color w:val="auto"/>
        </w:rPr>
      </w:pPr>
    </w:p>
    <w:p>
      <w:pPr>
        <w:ind w:left="660" w:hanging="328"/>
        <w:spacing w:after="0" w:line="298" w:lineRule="auto"/>
        <w:tabs>
          <w:tab w:leader="none" w:pos="655" w:val="left"/>
        </w:tabs>
        <w:numPr>
          <w:ilvl w:val="0"/>
          <w:numId w:val="16"/>
        </w:numPr>
        <w:rPr>
          <w:rFonts w:ascii="Arial" w:cs="Arial" w:eastAsia="Arial" w:hAnsi="Arial"/>
          <w:sz w:val="17"/>
          <w:szCs w:val="17"/>
          <w:b w:val="1"/>
          <w:bCs w:val="1"/>
          <w:i w:val="1"/>
          <w:iCs w:val="1"/>
          <w:color w:val="auto"/>
        </w:rPr>
      </w:pPr>
      <w:r>
        <w:rPr>
          <w:rFonts w:ascii="Arial" w:cs="Arial" w:eastAsia="Arial" w:hAnsi="Arial"/>
          <w:sz w:val="17"/>
          <w:szCs w:val="17"/>
          <w:color w:val="auto"/>
        </w:rPr>
        <w:t xml:space="preserve">Open purchase obligations of $0.2 million, related to a supply purchase agreement with a minimum volume commitment. See Note 15, </w:t>
      </w:r>
      <w:r>
        <w:rPr>
          <w:rFonts w:ascii="Arial" w:cs="Arial" w:eastAsia="Arial" w:hAnsi="Arial"/>
          <w:sz w:val="17"/>
          <w:szCs w:val="17"/>
          <w:i w:val="1"/>
          <w:iCs w:val="1"/>
          <w:color w:val="auto"/>
        </w:rPr>
        <w:t xml:space="preserve">Commitments and Contingencies </w:t>
      </w:r>
      <w:r>
        <w:rPr>
          <w:rFonts w:ascii="Arial" w:cs="Arial" w:eastAsia="Arial" w:hAnsi="Arial"/>
          <w:sz w:val="17"/>
          <w:szCs w:val="17"/>
          <w:color w:val="auto"/>
        </w:rPr>
        <w:t>to our unaudited condensed consolidated financial statements included elsewhere in this Quarterly Report.</w:t>
      </w:r>
    </w:p>
    <w:p>
      <w:pPr>
        <w:jc w:val="both"/>
        <w:ind w:left="660" w:hanging="328"/>
        <w:spacing w:after="0" w:line="263" w:lineRule="auto"/>
        <w:tabs>
          <w:tab w:leader="none" w:pos="655"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Future lease payments, including interest, under non-cancellable operating and financing leases of $6.2 million. The leases expire at various dates prior to 2028. See Note 15,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our unaudited condensed consolidated financial statements included elsewhere in this Quarterly Report.</w:t>
      </w:r>
    </w:p>
    <w:p>
      <w:pPr>
        <w:spacing w:after="0" w:line="21" w:lineRule="exact"/>
        <w:rPr>
          <w:rFonts w:ascii="Arial" w:cs="Arial" w:eastAsia="Arial" w:hAnsi="Arial"/>
          <w:sz w:val="18"/>
          <w:szCs w:val="18"/>
          <w:b w:val="1"/>
          <w:bCs w:val="1"/>
          <w:i w:val="1"/>
          <w:iCs w:val="1"/>
          <w:color w:val="auto"/>
        </w:rPr>
      </w:pPr>
    </w:p>
    <w:p>
      <w:pPr>
        <w:ind w:left="660" w:hanging="328"/>
        <w:spacing w:after="0" w:line="277" w:lineRule="auto"/>
        <w:tabs>
          <w:tab w:leader="none" w:pos="655"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Principal and Interest payments related to the following debt obligations (see Note 12, </w:t>
      </w:r>
      <w:r>
        <w:rPr>
          <w:rFonts w:ascii="Arial" w:cs="Arial" w:eastAsia="Arial" w:hAnsi="Arial"/>
          <w:sz w:val="18"/>
          <w:szCs w:val="18"/>
          <w:i w:val="1"/>
          <w:iCs w:val="1"/>
          <w:color w:val="auto"/>
        </w:rPr>
        <w:t>Borrowings</w:t>
      </w:r>
      <w:r>
        <w:rPr>
          <w:rFonts w:ascii="Arial" w:cs="Arial" w:eastAsia="Arial" w:hAnsi="Arial"/>
          <w:sz w:val="18"/>
          <w:szCs w:val="18"/>
          <w:color w:val="auto"/>
        </w:rPr>
        <w:t xml:space="preserve"> to our unaudited condensed consolidated financial statements included elsewhere in this Quarterly Report):</w:t>
      </w:r>
    </w:p>
    <w:p>
      <w:pPr>
        <w:spacing w:after="0" w:line="234" w:lineRule="exact"/>
        <w:rPr>
          <w:sz w:val="20"/>
          <w:szCs w:val="20"/>
          <w:color w:val="auto"/>
        </w:rPr>
      </w:pPr>
    </w:p>
    <w:p>
      <w:pPr>
        <w:jc w:val="center"/>
        <w:ind w:left="9660"/>
        <w:spacing w:after="0"/>
        <w:rPr>
          <w:sz w:val="20"/>
          <w:szCs w:val="20"/>
          <w:color w:val="auto"/>
        </w:rPr>
      </w:pPr>
      <w:r>
        <w:rPr>
          <w:rFonts w:ascii="Arial" w:cs="Arial" w:eastAsia="Arial" w:hAnsi="Arial"/>
          <w:sz w:val="18"/>
          <w:szCs w:val="18"/>
          <w:b w:val="1"/>
          <w:bCs w:val="1"/>
          <w:color w:val="auto"/>
        </w:rPr>
        <w:t>Future Debt</w:t>
      </w:r>
    </w:p>
    <w:p>
      <w:pPr>
        <w:spacing w:after="0" w:line="2" w:lineRule="exact"/>
        <w:rPr>
          <w:sz w:val="20"/>
          <w:szCs w:val="20"/>
          <w:color w:val="auto"/>
        </w:rPr>
      </w:pPr>
    </w:p>
    <w:p>
      <w:pPr>
        <w:jc w:val="center"/>
        <w:ind w:left="9660"/>
        <w:spacing w:after="0"/>
        <w:rPr>
          <w:sz w:val="20"/>
          <w:szCs w:val="20"/>
          <w:color w:val="auto"/>
        </w:rPr>
      </w:pPr>
      <w:r>
        <w:rPr>
          <w:rFonts w:ascii="Arial" w:cs="Arial" w:eastAsia="Arial" w:hAnsi="Arial"/>
          <w:sz w:val="18"/>
          <w:szCs w:val="18"/>
          <w:b w:val="1"/>
          <w:bCs w:val="1"/>
          <w:color w:val="auto"/>
        </w:rPr>
        <w:t>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2021 Convertible Notes Payable - due June 2026 </w:t>
      </w:r>
      <w:r>
        <w:rPr>
          <w:rFonts w:ascii="Arial" w:cs="Arial" w:eastAsia="Arial" w:hAnsi="Arial"/>
          <w:sz w:val="20"/>
          <w:szCs w:val="20"/>
          <w:color w:val="auto"/>
          <w:vertAlign w:val="superscript"/>
        </w:rPr>
        <w:t>(1)</w:t>
      </w:r>
    </w:p>
    <w:p>
      <w:pPr>
        <w:ind w:left="20"/>
        <w:spacing w:after="0" w:line="222" w:lineRule="auto"/>
        <w:rPr>
          <w:sz w:val="20"/>
          <w:szCs w:val="20"/>
          <w:color w:val="auto"/>
        </w:rPr>
      </w:pPr>
      <w:r>
        <w:rPr>
          <w:rFonts w:ascii="Arial" w:cs="Arial" w:eastAsia="Arial" w:hAnsi="Arial"/>
          <w:sz w:val="18"/>
          <w:szCs w:val="18"/>
          <w:color w:val="auto"/>
        </w:rPr>
        <w:t xml:space="preserve">AFG Convertible Notes - due June 2026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Senior Secured Term Loan - due March 2026</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Equipment financing facility - due April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ind w:left="880" w:hanging="875"/>
        <w:spacing w:after="0"/>
        <w:tabs>
          <w:tab w:leader="none" w:pos="8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134,261</w:t>
      </w:r>
    </w:p>
    <w:p>
      <w:pPr>
        <w:spacing w:after="0" w:line="46"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5"/>
          <w:szCs w:val="15"/>
          <w:color w:val="auto"/>
        </w:rPr>
        <w:t>32,468</w:t>
      </w:r>
    </w:p>
    <w:p>
      <w:pPr>
        <w:spacing w:after="0" w:line="5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138,500</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8,570</w:t>
      </w:r>
    </w:p>
    <w:p>
      <w:pPr>
        <w:spacing w:after="0" w:line="35" w:lineRule="exact"/>
        <w:rPr>
          <w:sz w:val="20"/>
          <w:szCs w:val="20"/>
          <w:color w:val="auto"/>
        </w:rPr>
      </w:pPr>
    </w:p>
    <w:p>
      <w:pPr>
        <w:ind w:left="880" w:hanging="875"/>
        <w:spacing w:after="0"/>
        <w:tabs>
          <w:tab w:leader="none" w:pos="8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313,799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55245</wp:posOffset>
            </wp:positionV>
            <wp:extent cx="9861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2">
            <w:col w:w="8980" w:space="720"/>
            <w:col w:w="1540"/>
          </w:cols>
          <w:pgMar w:left="320" w:top="125" w:right="339" w:bottom="1440" w:gutter="0" w:footer="0" w:header="0"/>
          <w:type w:val="continuous"/>
        </w:sectPr>
      </w:pPr>
    </w:p>
    <w:p>
      <w:pPr>
        <w:spacing w:after="0" w:line="156"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21"/>
          <w:szCs w:val="21"/>
          <w:color w:val="auto"/>
          <w:vertAlign w:val="superscript"/>
        </w:rPr>
      </w:pPr>
      <w:r>
        <w:rPr>
          <w:rFonts w:ascii="Arial" w:cs="Arial" w:eastAsia="Arial" w:hAnsi="Arial"/>
          <w:sz w:val="15"/>
          <w:szCs w:val="15"/>
          <w:color w:val="auto"/>
        </w:rPr>
        <w:t>As of June 30, 2023, the Company is obligated to repay future contractual interest payments for the 2021 Convertible Notes and AFG Convertible Notes in-kind.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6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unaudited condensed consolidated financial statements are prepared in conformity with U.S. generally accepted accounting principles (U.S. GAAP). In preparing the Company’s unaudited condensed consolidated financial statements, management makes assumptions, judgments, and estimates on historical experience and various other factors that management believes to be reasonable under the circumstances. Actual results could differ materially from these estimates under different assumptions or conditions. Management regularly reevaluates assumptions, judgments, and estimates. The Company’s significant accounting policies are described in the Company’s Annual Report on Form 10-K for the year ended December 31, 2022.</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Critical accounting estimates are those estimates that involve a significant level of estimation uncertainty and could have a material impact on our financial condition or results of operations. We have critical accounting estimates in the areas of warranty liability and financial instruments that are classified as level 3 in the fair value hierarchy, as discussed further below.</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Liability</w:t>
      </w:r>
    </w:p>
    <w:p>
      <w:pPr>
        <w:spacing w:after="0" w:line="15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The Company generally provides a standard warranty for a period of two years. We also provide extended warranties and performance guarantees, which are identified as separate performance obligations in the Company's contracts with customers. We accrue warranty reserves at the time of recording the sale. Warranty reserves include management’s best estimate of the projected costs to repair or to replace any items under warranty, which is based on various factors including actual claim data to date, results of lab testing, factory quality data, and field monitoring. Due to limited claim experience since commercialization of our product, and the potential for variability in these underlying factors, the difference between our estimated costs and our actual costs could be material to our consolidated financial statements. If actual product failure rates or the frequency or severity of reported claims differ from our estimates, we may be required to revise our estimated warranty liability. We will also update actual warranty experience to determine warranty reserves as such experience becomes available. We review our reserves at least quarterly, seeking to ensure that our accruals are adequate in meeting expected future warranty obligations, and we will adjust our estimates as needed. Initial warranty data can be limited at the early stage in the commercialization of our products and, the adjustments that we record may be material. Thus, it is likely that as we sell additional BESS, we will acquire additional information on the projected costs to repair or replace items under warranty and may need to make additional adjustments. See Note 9, </w:t>
      </w:r>
      <w:r>
        <w:rPr>
          <w:rFonts w:ascii="Arial" w:cs="Arial" w:eastAsia="Arial" w:hAnsi="Arial"/>
          <w:sz w:val="16"/>
          <w:szCs w:val="16"/>
          <w:i w:val="1"/>
          <w:iCs w:val="1"/>
          <w:color w:val="auto"/>
        </w:rPr>
        <w:t>Accrued Expenses</w:t>
      </w:r>
      <w:r>
        <w:rPr>
          <w:rFonts w:ascii="Arial" w:cs="Arial" w:eastAsia="Arial" w:hAnsi="Arial"/>
          <w:sz w:val="16"/>
          <w:szCs w:val="16"/>
          <w:color w:val="auto"/>
        </w:rPr>
        <w:t xml:space="preserve"> to our unaudited condensed consolidated financial statements included elsewhere in this Quarterly Report.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 Liability</w:t>
      </w:r>
    </w:p>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Company estimated the fair value of the April 2023 warrants and May 2023 warrants using the Black-Scholes model at inception and on subsequent valuation dates. This model incorporates inputs such as the stock price of the Company, risk-free interest rate, volatility, and time to expiration. The volatility involves unobservable inputs classified as Level 3 of the fair value hierarchy. See Note 14,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to our unaudited condensed consolidated financial statements included elsewhere in this Quarterly Report for further discussion. The sensitivity of the fair value calculation to this assumption could create materially different results under different conditions or using different assumptions.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 and Embedded Derivatives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Company estimated the fair value of the embedded conversion features in the 2021 Convertible Notes and the AFG Convertible Notes using a binomial lattice model at inception and on subsequent valuation dates. This model incorporates inputs such as the stock price of the Company, dividend yield, risk-free interest rate, the effective debt yield and expected volatility. The effective debt yield and volatility involve unobservable inputs classified as Level 3 of the fair value hierarchy. See Note 14,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to our unaudited condensed consolidated financial statements included elsewhere in this Quarterly Report for further discussion. The sensitivity of the fair value calculation to these methods, assumptions, and estimates included could create materially different results under different conditions or using different assumptions.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in the Company’s market risk exposures for the six months ended June 30, 2023, as compared to those discussed in its Annual Report on Form 10-K for the year ended December 31, 2022.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under the supervision of the Chief Executive Officer (CEO) and the Chief Financial Officer (CFO), evaluated the effectiveness of the design and operation of the Company’s disclosure controls and procedures (as defined in Rules 13a-15(e) and 15d-15(e) under the Exchange Act) as of the end of the period covered by this report. Based upon that evaluation, and consistent with the evaluations previously reported in prior periods, the CEO and CFO have concluded that the Company’s disclosure controls and procedures were not effective as of June 30, 2023 because of material weaknesses resulting from lack of a formalized internal control framework in accordance with COSO, inadequate segregation of duties in the financial reporting process, lack of review and approval of journal entries, and a lack of management review controls.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the Company’s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the Company’s reports filed under the Exchange Act is accumulated and communicated to management, including its CEO and its CFO, to allow timely decisions regarding required disclosure.</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light of these material weaknesses, management performed additional analyses, reconciliations, and other post-closing procedures to determine that the Company’s unaudited condensed consolidated financial statements are prepared in accordance with U.S. GAAP. Based on this review, management concluded that the unaudited condensed consolidated financial statements included in this report fairly present in all material respects the Company’s financial condition, results of operations and cash flows for the periods presented.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defined in Rules 13a-15(f) and 15d-15(f) under the Securities Exchange Act of 1934) during the most recent quarter that have materially affected, or are reasonably likely to materially affect, the Company’s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 -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the Company may be involved in litigation relating to claims arising out of the Company’s operations. While the outcomes of these types of claims are uncertain, management does not expect that the ultimate costs to resolve these matters will have a material adverse effect on our consolidated financial position, results of operations or cash flows.</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As disclosed in Note 15,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to our unaudited condensed consolidated financial statements included elsewhere in this Quarterly Report, on August 1, 2023, a class action complaint was filed against the Company, its Chief Executive Officer, its Chief Financial Officer, and its former Chief Financial Officer (the “August Complaint”) in the United States District Court, District of New Jersey. The August Complaint asserts violations of the federal securities laws in connection with statements and alleged omissions relating to the Company’s business, prospects and reported backlog</w:t>
      </w:r>
      <w:r>
        <w:rPr>
          <w:rFonts w:ascii="Arial" w:cs="Arial" w:eastAsia="Arial" w:hAnsi="Arial"/>
          <w:sz w:val="17"/>
          <w:szCs w:val="17"/>
          <w:color w:val="444444"/>
        </w:rPr>
        <w:t>.</w:t>
      </w:r>
      <w:r>
        <w:rPr>
          <w:rFonts w:ascii="Arial" w:cs="Arial" w:eastAsia="Arial" w:hAnsi="Arial"/>
          <w:sz w:val="17"/>
          <w:szCs w:val="17"/>
          <w:color w:val="auto"/>
        </w:rPr>
        <w:t xml:space="preserve"> The Company believes the August Complaint is without merit and intends to vigorously defend against this action.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the date of this Quarterly Report on Form 10-Q, there have been no additional material changes to the risk factors disclosed in our annual report on Form 10-K for the fiscal year ended December 31, 2022, except as discussed below. We may disclose changes to such risk factors or disclose additional risk factors from time to time in our future filings with the SEC.</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6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currently, and may in the future, have assets held at financial institutions that may exceed the insurance coverage offered by the Federal Deposit Insurance Corporation (“FDIC”), and the loss of such assets would have a severe negative affect on our operations and liquidity.</w:t>
      </w:r>
    </w:p>
    <w:p>
      <w:pPr>
        <w:spacing w:after="0" w:line="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Recent turmoil in the banking sector has led to the failure of several financial institutions. Although these failures have not impacted us to date, we currently have our cash and cash equivalents held in deposit at a single financial institution. The amounts held in the deposit accounts are in excess of the insurance coverage offered by the FDIC. In the future, we may maintain our cash assets at additional financial institutions in the United States in amounts that may be in excess of the FDIC insurance limit of $250,000. In the event of a failure of any of these financial institutions where we maintain our deposits or other assets, we may incur a loss to the extent such loss exceeds the FDIC insurance limitation, which could have a material adverse effect upon our liquidity, financial condition and our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gridSpan w:val="2"/>
          </w:tcPr>
          <w:p>
            <w:pPr>
              <w:spacing w:after="0"/>
              <w:rPr>
                <w:sz w:val="20"/>
                <w:szCs w:val="20"/>
                <w:color w:val="auto"/>
              </w:rPr>
            </w:pPr>
            <w:r>
              <w:rPr>
                <w:rFonts w:ascii="Arial" w:cs="Arial" w:eastAsia="Arial" w:hAnsi="Arial"/>
                <w:sz w:val="18"/>
                <w:szCs w:val="18"/>
                <w:i w:val="1"/>
                <w:iCs w:val="1"/>
                <w:color w:val="auto"/>
              </w:rPr>
              <w:t>(a) Exhibits</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1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Exhibit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ind w:left="340"/>
              <w:spacing w:after="0"/>
              <w:rPr>
                <w:sz w:val="20"/>
                <w:szCs w:val="20"/>
                <w:color w:val="auto"/>
              </w:rPr>
            </w:pPr>
            <w:r>
              <w:rPr>
                <w:rFonts w:ascii="Arial" w:cs="Arial" w:eastAsia="Arial" w:hAnsi="Arial"/>
                <w:sz w:val="18"/>
                <w:szCs w:val="18"/>
                <w:b w:val="1"/>
                <w:bCs w:val="1"/>
                <w:color w:val="auto"/>
                <w:w w:val="92"/>
              </w:rPr>
              <w:t>Incorporated by Reference</w:t>
            </w: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4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0" w:type="dxa"/>
            <w:vAlign w:val="bottom"/>
            <w:gridSpan w:val="23"/>
          </w:tcPr>
          <w:p>
            <w:pPr>
              <w:ind w:left="660"/>
              <w:spacing w:after="0"/>
              <w:rPr>
                <w:sz w:val="20"/>
                <w:szCs w:val="20"/>
                <w:color w:val="auto"/>
              </w:rPr>
            </w:pPr>
            <w:r>
              <w:rPr>
                <w:rFonts w:ascii="Arial" w:cs="Arial" w:eastAsia="Arial" w:hAnsi="Arial"/>
                <w:sz w:val="18"/>
                <w:szCs w:val="18"/>
                <w:b w:val="1"/>
                <w:bCs w:val="1"/>
                <w:color w:val="auto"/>
              </w:rPr>
              <w:t>Description of Document</w:t>
            </w: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Schedule/Form</w:t>
            </w: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File Number</w:t>
            </w:r>
          </w:p>
        </w:tc>
        <w:tc>
          <w:tcPr>
            <w:tcW w:w="1200" w:type="dxa"/>
            <w:vAlign w:val="bottom"/>
            <w:gridSpan w:val="3"/>
          </w:tcPr>
          <w:p>
            <w:pPr>
              <w:ind w:left="140"/>
              <w:spacing w:after="0"/>
              <w:rPr>
                <w:sz w:val="20"/>
                <w:szCs w:val="20"/>
                <w:color w:val="auto"/>
              </w:rPr>
            </w:pPr>
            <w:r>
              <w:rPr>
                <w:rFonts w:ascii="Arial" w:cs="Arial" w:eastAsia="Arial" w:hAnsi="Arial"/>
                <w:sz w:val="18"/>
                <w:szCs w:val="18"/>
                <w:b w:val="1"/>
                <w:bCs w:val="1"/>
                <w:color w:val="auto"/>
              </w:rPr>
              <w:t>Exhibits</w:t>
            </w:r>
          </w:p>
        </w:tc>
        <w:tc>
          <w:tcPr>
            <w:tcW w:w="164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Filing Date</w:t>
            </w:r>
          </w:p>
        </w:tc>
        <w:tc>
          <w:tcPr>
            <w:tcW w:w="0" w:type="dxa"/>
            <w:vAlign w:val="bottom"/>
          </w:tcPr>
          <w:p>
            <w:pPr>
              <w:spacing w:after="0"/>
              <w:rPr>
                <w:sz w:val="1"/>
                <w:szCs w:val="1"/>
                <w:color w:val="auto"/>
              </w:rPr>
            </w:pPr>
          </w:p>
        </w:tc>
      </w:tr>
      <w:tr>
        <w:trPr>
          <w:trHeight w:val="182"/>
        </w:trPr>
        <w:tc>
          <w:tcPr>
            <w:tcW w:w="1020" w:type="dxa"/>
            <w:vAlign w:val="bottom"/>
            <w:tcBorders>
              <w:top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3.1</w:t>
            </w: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4600" w:type="dxa"/>
            <w:vAlign w:val="bottom"/>
            <w:tcBorders>
              <w:top w:val="single" w:sz="8" w:color="auto"/>
            </w:tcBorders>
            <w:gridSpan w:val="25"/>
            <w:shd w:val="clear" w:color="auto" w:fill="CCEEFF"/>
          </w:tcPr>
          <w:p>
            <w:pPr>
              <w:spacing w:after="0" w:line="182" w:lineRule="exact"/>
              <w:rPr>
                <w:rFonts w:ascii="Arial" w:cs="Arial" w:eastAsia="Arial" w:hAnsi="Arial"/>
                <w:sz w:val="18"/>
                <w:szCs w:val="18"/>
                <w:color w:val="0000FF"/>
                <w:w w:val="97"/>
              </w:rPr>
            </w:pPr>
            <w:hyperlink r:id="rId92">
              <w:r>
                <w:rPr>
                  <w:rFonts w:ascii="Arial" w:cs="Arial" w:eastAsia="Arial" w:hAnsi="Arial"/>
                  <w:sz w:val="18"/>
                  <w:szCs w:val="18"/>
                  <w:color w:val="0000FF"/>
                  <w:w w:val="97"/>
                </w:rPr>
                <w:t>Third Amended and Restated Certificate of Incorporation of</w:t>
              </w:r>
            </w:hyperlink>
          </w:p>
        </w:tc>
        <w:tc>
          <w:tcPr>
            <w:tcW w:w="4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Form 10-K</w:t>
            </w:r>
          </w:p>
        </w:tc>
        <w:tc>
          <w:tcPr>
            <w:tcW w:w="1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File No. 001-</w:t>
            </w: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7"/>
              </w:rPr>
              <w:t>3.1</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jc w:val="center"/>
              <w:ind w:right="90"/>
              <w:spacing w:after="0" w:line="182" w:lineRule="exact"/>
              <w:rPr>
                <w:sz w:val="20"/>
                <w:szCs w:val="20"/>
                <w:color w:val="auto"/>
              </w:rPr>
            </w:pPr>
            <w:r>
              <w:rPr>
                <w:rFonts w:ascii="Arial" w:cs="Arial" w:eastAsia="Arial" w:hAnsi="Arial"/>
                <w:sz w:val="18"/>
                <w:szCs w:val="18"/>
                <w:color w:val="auto"/>
                <w:w w:val="91"/>
              </w:rPr>
              <w:t>February 28, 2023</w:t>
            </w:r>
          </w:p>
        </w:tc>
        <w:tc>
          <w:tcPr>
            <w:tcW w:w="0" w:type="dxa"/>
            <w:vAlign w:val="bottom"/>
          </w:tcPr>
          <w:p>
            <w:pPr>
              <w:spacing w:after="0"/>
              <w:rPr>
                <w:sz w:val="1"/>
                <w:szCs w:val="1"/>
                <w:color w:val="auto"/>
              </w:rPr>
            </w:pPr>
          </w:p>
        </w:tc>
      </w:tr>
      <w:tr>
        <w:trPr>
          <w:trHeight w:val="190"/>
        </w:trPr>
        <w:tc>
          <w:tcPr>
            <w:tcW w:w="10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4340" w:type="dxa"/>
            <w:vAlign w:val="bottom"/>
            <w:tcBorders>
              <w:top w:val="single" w:sz="8" w:color="0000FF"/>
            </w:tcBorders>
            <w:gridSpan w:val="14"/>
            <w:shd w:val="clear" w:color="auto" w:fill="CCEEFF"/>
          </w:tcPr>
          <w:p>
            <w:pPr>
              <w:spacing w:after="0" w:line="156" w:lineRule="exact"/>
              <w:rPr>
                <w:rFonts w:ascii="Arial" w:cs="Arial" w:eastAsia="Arial" w:hAnsi="Arial"/>
                <w:sz w:val="18"/>
                <w:szCs w:val="18"/>
                <w:color w:val="0000FF"/>
              </w:rPr>
            </w:pPr>
            <w:hyperlink r:id="rId92">
              <w:r>
                <w:rPr>
                  <w:rFonts w:ascii="Arial" w:cs="Arial" w:eastAsia="Arial" w:hAnsi="Arial"/>
                  <w:sz w:val="18"/>
                  <w:szCs w:val="18"/>
                  <w:color w:val="0000FF"/>
                </w:rPr>
                <w:t>the Company, as amended</w:t>
              </w:r>
            </w:hyperlink>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gridSpan w:val="2"/>
            <w:shd w:val="clear" w:color="auto" w:fill="CCEEFF"/>
          </w:tcPr>
          <w:p>
            <w:pPr>
              <w:spacing w:after="0"/>
              <w:rPr>
                <w:sz w:val="16"/>
                <w:szCs w:val="16"/>
                <w:color w:val="auto"/>
              </w:rPr>
            </w:pPr>
          </w:p>
        </w:tc>
        <w:tc>
          <w:tcPr>
            <w:tcW w:w="1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39291</w:t>
            </w:r>
          </w:p>
        </w:tc>
        <w:tc>
          <w:tcPr>
            <w:tcW w:w="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0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1260" w:type="dxa"/>
            <w:vAlign w:val="bottom"/>
            <w:tcBorders>
              <w:top w:val="single" w:sz="8" w:color="0000FF"/>
            </w:tcBorders>
          </w:tcPr>
          <w:p>
            <w:pPr>
              <w:spacing w:after="0"/>
              <w:rPr>
                <w:sz w:val="12"/>
                <w:szCs w:val="12"/>
                <w:color w:val="auto"/>
              </w:rPr>
            </w:pPr>
          </w:p>
        </w:tc>
        <w:tc>
          <w:tcPr>
            <w:tcW w:w="1000" w:type="dxa"/>
            <w:vAlign w:val="bottom"/>
            <w:tcBorders>
              <w:top w:val="single" w:sz="8" w:color="CCEEFF"/>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2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9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6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3.2</w:t>
            </w:r>
          </w:p>
        </w:tc>
        <w:tc>
          <w:tcPr>
            <w:tcW w:w="120" w:type="dxa"/>
            <w:vAlign w:val="bottom"/>
            <w:tcBorders>
              <w:right w:val="single" w:sz="8" w:color="CCEEFF"/>
            </w:tcBorders>
            <w:shd w:val="clear" w:color="auto" w:fill="CCEEFF"/>
          </w:tcPr>
          <w:p>
            <w:pPr>
              <w:spacing w:after="0"/>
              <w:rPr>
                <w:sz w:val="16"/>
                <w:szCs w:val="16"/>
                <w:color w:val="auto"/>
              </w:rPr>
            </w:pPr>
          </w:p>
        </w:tc>
        <w:tc>
          <w:tcPr>
            <w:tcW w:w="4640" w:type="dxa"/>
            <w:vAlign w:val="bottom"/>
            <w:gridSpan w:val="26"/>
            <w:shd w:val="clear" w:color="auto" w:fill="CCEEFF"/>
          </w:tcPr>
          <w:p>
            <w:pPr>
              <w:spacing w:after="0" w:line="189" w:lineRule="exact"/>
              <w:rPr>
                <w:rFonts w:ascii="Arial" w:cs="Arial" w:eastAsia="Arial" w:hAnsi="Arial"/>
                <w:sz w:val="18"/>
                <w:szCs w:val="18"/>
                <w:color w:val="0000FF"/>
              </w:rPr>
            </w:pPr>
            <w:hyperlink r:id="rId93">
              <w:r>
                <w:rPr>
                  <w:rFonts w:ascii="Arial" w:cs="Arial" w:eastAsia="Arial" w:hAnsi="Arial"/>
                  <w:sz w:val="18"/>
                  <w:szCs w:val="18"/>
                  <w:color w:val="0000FF"/>
                </w:rPr>
                <w:t>Second Amended and Restated Bylaws of the Company</w:t>
              </w:r>
            </w:hyperlink>
          </w:p>
        </w:tc>
        <w:tc>
          <w:tcPr>
            <w:tcW w:w="13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Form 8-K</w:t>
            </w:r>
          </w:p>
        </w:tc>
        <w:tc>
          <w:tcPr>
            <w:tcW w:w="12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File No. 001-</w:t>
            </w:r>
          </w:p>
        </w:tc>
        <w:tc>
          <w:tcPr>
            <w:tcW w:w="9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7"/>
              </w:rPr>
              <w:t>3.1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jc w:val="center"/>
              <w:ind w:right="90"/>
              <w:spacing w:after="0" w:line="189" w:lineRule="exact"/>
              <w:rPr>
                <w:sz w:val="20"/>
                <w:szCs w:val="20"/>
                <w:color w:val="auto"/>
              </w:rPr>
            </w:pPr>
            <w:r>
              <w:rPr>
                <w:rFonts w:ascii="Arial" w:cs="Arial" w:eastAsia="Arial" w:hAnsi="Arial"/>
                <w:sz w:val="18"/>
                <w:szCs w:val="18"/>
                <w:color w:val="auto"/>
                <w:w w:val="93"/>
              </w:rPr>
              <w:t>May 19, 2022</w:t>
            </w:r>
          </w:p>
        </w:tc>
        <w:tc>
          <w:tcPr>
            <w:tcW w:w="0" w:type="dxa"/>
            <w:vAlign w:val="bottom"/>
          </w:tcPr>
          <w:p>
            <w:pPr>
              <w:spacing w:after="0"/>
              <w:rPr>
                <w:sz w:val="1"/>
                <w:szCs w:val="1"/>
                <w:color w:val="auto"/>
              </w:rPr>
            </w:pPr>
          </w:p>
        </w:tc>
      </w:tr>
      <w:tr>
        <w:trPr>
          <w:trHeight w:val="210"/>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34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280" w:type="dxa"/>
            <w:vAlign w:val="bottom"/>
            <w:tcBorders>
              <w:top w:val="single" w:sz="8" w:color="0000FF"/>
            </w:tcBorders>
            <w:shd w:val="clear" w:color="auto" w:fill="CCEEFF"/>
          </w:tcPr>
          <w:p>
            <w:pPr>
              <w:spacing w:after="0"/>
              <w:rPr>
                <w:sz w:val="18"/>
                <w:szCs w:val="18"/>
                <w:color w:val="auto"/>
              </w:rPr>
            </w:pPr>
          </w:p>
        </w:tc>
        <w:tc>
          <w:tcPr>
            <w:tcW w:w="1260" w:type="dxa"/>
            <w:vAlign w:val="bottom"/>
            <w:tcBorders>
              <w:top w:val="single" w:sz="8" w:color="0000FF"/>
            </w:tcBorders>
            <w:shd w:val="clear" w:color="auto" w:fill="CCEEFF"/>
          </w:tcPr>
          <w:p>
            <w:pPr>
              <w:spacing w:after="0"/>
              <w:rPr>
                <w:sz w:val="18"/>
                <w:szCs w:val="18"/>
                <w:color w:val="auto"/>
              </w:rPr>
            </w:pPr>
          </w:p>
        </w:tc>
        <w:tc>
          <w:tcPr>
            <w:tcW w:w="1000" w:type="dxa"/>
            <w:vAlign w:val="bottom"/>
            <w:tcBorders>
              <w:top w:val="single" w:sz="8" w:color="0000FF"/>
            </w:tcBorders>
            <w:shd w:val="clear" w:color="auto" w:fill="CCEEFF"/>
          </w:tcPr>
          <w:p>
            <w:pPr>
              <w:spacing w:after="0"/>
              <w:rPr>
                <w:sz w:val="18"/>
                <w:szCs w:val="18"/>
                <w:color w:val="auto"/>
              </w:rPr>
            </w:pPr>
          </w:p>
        </w:tc>
        <w:tc>
          <w:tcPr>
            <w:tcW w:w="520" w:type="dxa"/>
            <w:vAlign w:val="bottom"/>
            <w:tcBorders>
              <w:top w:val="single" w:sz="8" w:color="0000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28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39291</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2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4040" w:type="dxa"/>
            <w:vAlign w:val="bottom"/>
            <w:tcBorders>
              <w:bottom w:val="single" w:sz="8" w:color="0000FF"/>
            </w:tcBorders>
            <w:gridSpan w:val="9"/>
            <w:shd w:val="clear" w:color="auto" w:fill="CCEEFF"/>
          </w:tcPr>
          <w:p>
            <w:pPr>
              <w:spacing w:after="0" w:line="189" w:lineRule="exact"/>
              <w:rPr>
                <w:rFonts w:ascii="Arial" w:cs="Arial" w:eastAsia="Arial" w:hAnsi="Arial"/>
                <w:sz w:val="18"/>
                <w:szCs w:val="18"/>
                <w:color w:val="0000FF"/>
                <w:w w:val="91"/>
              </w:rPr>
            </w:pPr>
            <w:hyperlink r:id="rId94">
              <w:r>
                <w:rPr>
                  <w:rFonts w:ascii="Arial" w:cs="Arial" w:eastAsia="Arial" w:hAnsi="Arial"/>
                  <w:sz w:val="18"/>
                  <w:szCs w:val="18"/>
                  <w:color w:val="0000FF"/>
                  <w:w w:val="91"/>
                </w:rPr>
                <w:t>Convertible Promissory Note dated as of April 10, 2023</w:t>
              </w:r>
            </w:hyperlink>
          </w:p>
        </w:tc>
        <w:tc>
          <w:tcPr>
            <w:tcW w:w="600" w:type="dxa"/>
            <w:vAlign w:val="bottom"/>
            <w:tcBorders>
              <w:bottom w:val="single" w:sz="8" w:color="CCEEFF"/>
            </w:tcBorders>
            <w:gridSpan w:val="17"/>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Form 8-K</w:t>
            </w:r>
          </w:p>
        </w:tc>
        <w:tc>
          <w:tcPr>
            <w:tcW w:w="1260" w:type="dxa"/>
            <w:vAlign w:val="bottom"/>
            <w:tcBorders>
              <w:bottom w:val="single" w:sz="8" w:color="CCEEFF"/>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File No. 001-</w:t>
            </w:r>
          </w:p>
        </w:tc>
        <w:tc>
          <w:tcPr>
            <w:tcW w:w="90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7"/>
              </w:rPr>
              <w:t>4.1</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jc w:val="center"/>
              <w:ind w:right="90"/>
              <w:spacing w:after="0" w:line="189" w:lineRule="exact"/>
              <w:rPr>
                <w:sz w:val="20"/>
                <w:szCs w:val="20"/>
                <w:color w:val="auto"/>
              </w:rPr>
            </w:pPr>
            <w:r>
              <w:rPr>
                <w:rFonts w:ascii="Arial" w:cs="Arial" w:eastAsia="Arial" w:hAnsi="Arial"/>
                <w:sz w:val="18"/>
                <w:szCs w:val="18"/>
                <w:color w:val="auto"/>
                <w:w w:val="95"/>
              </w:rPr>
              <w:t>April 11, 2023</w:t>
            </w:r>
          </w:p>
        </w:tc>
        <w:tc>
          <w:tcPr>
            <w:tcW w:w="0" w:type="dxa"/>
            <w:vAlign w:val="bottom"/>
          </w:tcPr>
          <w:p>
            <w:pPr>
              <w:spacing w:after="0"/>
              <w:rPr>
                <w:sz w:val="1"/>
                <w:szCs w:val="1"/>
                <w:color w:val="auto"/>
              </w:rPr>
            </w:pPr>
          </w:p>
        </w:tc>
      </w:tr>
      <w:tr>
        <w:trPr>
          <w:trHeight w:val="189"/>
        </w:trPr>
        <w:tc>
          <w:tcPr>
            <w:tcW w:w="10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640" w:type="dxa"/>
            <w:vAlign w:val="bottom"/>
            <w:gridSpan w:val="26"/>
            <w:shd w:val="clear" w:color="auto" w:fill="CCEEFF"/>
          </w:tcPr>
          <w:p>
            <w:pPr>
              <w:spacing w:after="0" w:line="156" w:lineRule="exact"/>
              <w:rPr>
                <w:rFonts w:ascii="Arial" w:cs="Arial" w:eastAsia="Arial" w:hAnsi="Arial"/>
                <w:sz w:val="18"/>
                <w:szCs w:val="18"/>
                <w:color w:val="0000FF"/>
              </w:rPr>
            </w:pPr>
            <w:hyperlink r:id="rId94">
              <w:r>
                <w:rPr>
                  <w:rFonts w:ascii="Arial" w:cs="Arial" w:eastAsia="Arial" w:hAnsi="Arial"/>
                  <w:sz w:val="18"/>
                  <w:szCs w:val="18"/>
                  <w:color w:val="0000FF"/>
                </w:rPr>
                <w:t>between Eos Energy Enterprises, Inc. and YA II PN, LTD</w:t>
              </w:r>
            </w:hyperlink>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39291</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0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260" w:type="dxa"/>
            <w:vAlign w:val="bottom"/>
            <w:tcBorders>
              <w:top w:val="single" w:sz="8" w:color="0000FF"/>
            </w:tcBorders>
          </w:tcPr>
          <w:p>
            <w:pPr>
              <w:spacing w:after="0"/>
              <w:rPr>
                <w:sz w:val="14"/>
                <w:szCs w:val="14"/>
                <w:color w:val="auto"/>
              </w:rPr>
            </w:pPr>
          </w:p>
        </w:tc>
        <w:tc>
          <w:tcPr>
            <w:tcW w:w="100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2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6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4.2</w:t>
            </w:r>
          </w:p>
        </w:tc>
        <w:tc>
          <w:tcPr>
            <w:tcW w:w="120" w:type="dxa"/>
            <w:vAlign w:val="bottom"/>
            <w:tcBorders>
              <w:right w:val="single" w:sz="8" w:color="CCEEFF"/>
            </w:tcBorders>
            <w:shd w:val="clear" w:color="auto" w:fill="CCEEFF"/>
          </w:tcPr>
          <w:p>
            <w:pPr>
              <w:spacing w:after="0"/>
              <w:rPr>
                <w:sz w:val="16"/>
                <w:szCs w:val="16"/>
                <w:color w:val="auto"/>
              </w:rPr>
            </w:pPr>
          </w:p>
        </w:tc>
        <w:tc>
          <w:tcPr>
            <w:tcW w:w="4640" w:type="dxa"/>
            <w:vAlign w:val="bottom"/>
            <w:gridSpan w:val="26"/>
            <w:shd w:val="clear" w:color="auto" w:fill="CCEEFF"/>
          </w:tcPr>
          <w:p>
            <w:pPr>
              <w:spacing w:after="0" w:line="189" w:lineRule="exact"/>
              <w:rPr>
                <w:rFonts w:ascii="Arial" w:cs="Arial" w:eastAsia="Arial" w:hAnsi="Arial"/>
                <w:sz w:val="18"/>
                <w:szCs w:val="18"/>
                <w:color w:val="0000FF"/>
                <w:w w:val="96"/>
              </w:rPr>
            </w:pPr>
            <w:hyperlink r:id="rId95">
              <w:r>
                <w:rPr>
                  <w:rFonts w:ascii="Arial" w:cs="Arial" w:eastAsia="Arial" w:hAnsi="Arial"/>
                  <w:sz w:val="18"/>
                  <w:szCs w:val="18"/>
                  <w:color w:val="0000FF"/>
                  <w:w w:val="96"/>
                </w:rPr>
                <w:t>Form of Common Stock Purchase Warrant, dated as of April</w:t>
              </w:r>
            </w:hyperlink>
          </w:p>
        </w:tc>
        <w:tc>
          <w:tcPr>
            <w:tcW w:w="13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Form 8-K</w:t>
            </w:r>
          </w:p>
        </w:tc>
        <w:tc>
          <w:tcPr>
            <w:tcW w:w="12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File No. 001-</w:t>
            </w:r>
          </w:p>
        </w:tc>
        <w:tc>
          <w:tcPr>
            <w:tcW w:w="9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7"/>
              </w:rPr>
              <w:t>4.1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jc w:val="center"/>
              <w:ind w:right="90"/>
              <w:spacing w:after="0" w:line="189" w:lineRule="exact"/>
              <w:rPr>
                <w:sz w:val="20"/>
                <w:szCs w:val="20"/>
                <w:color w:val="auto"/>
              </w:rPr>
            </w:pPr>
            <w:r>
              <w:rPr>
                <w:rFonts w:ascii="Arial" w:cs="Arial" w:eastAsia="Arial" w:hAnsi="Arial"/>
                <w:sz w:val="18"/>
                <w:szCs w:val="18"/>
                <w:color w:val="auto"/>
                <w:w w:val="95"/>
              </w:rPr>
              <w:t>April 14, 2023</w:t>
            </w:r>
          </w:p>
        </w:tc>
        <w:tc>
          <w:tcPr>
            <w:tcW w:w="0" w:type="dxa"/>
            <w:vAlign w:val="bottom"/>
          </w:tcPr>
          <w:p>
            <w:pPr>
              <w:spacing w:after="0"/>
              <w:rPr>
                <w:sz w:val="1"/>
                <w:szCs w:val="1"/>
                <w:color w:val="auto"/>
              </w:rPr>
            </w:pPr>
          </w:p>
        </w:tc>
      </w:tr>
      <w:tr>
        <w:trPr>
          <w:trHeight w:val="195"/>
        </w:trPr>
        <w:tc>
          <w:tcPr>
            <w:tcW w:w="10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640" w:type="dxa"/>
            <w:vAlign w:val="bottom"/>
            <w:tcBorders>
              <w:top w:val="single" w:sz="8" w:color="0000FF"/>
              <w:bottom w:val="single" w:sz="8" w:color="0000FF"/>
            </w:tcBorders>
            <w:gridSpan w:val="3"/>
            <w:shd w:val="clear" w:color="auto" w:fill="CCEEFF"/>
          </w:tcPr>
          <w:p>
            <w:pPr>
              <w:spacing w:after="0" w:line="156" w:lineRule="exact"/>
              <w:rPr>
                <w:rFonts w:ascii="Arial" w:cs="Arial" w:eastAsia="Arial" w:hAnsi="Arial"/>
                <w:sz w:val="18"/>
                <w:szCs w:val="18"/>
                <w:color w:val="0000FF"/>
                <w:w w:val="88"/>
              </w:rPr>
            </w:pPr>
            <w:hyperlink r:id="rId95">
              <w:r>
                <w:rPr>
                  <w:rFonts w:ascii="Arial" w:cs="Arial" w:eastAsia="Arial" w:hAnsi="Arial"/>
                  <w:sz w:val="18"/>
                  <w:szCs w:val="18"/>
                  <w:color w:val="0000FF"/>
                  <w:w w:val="88"/>
                </w:rPr>
                <w:t>12, 2023</w:t>
              </w:r>
            </w:hyperlink>
          </w:p>
        </w:tc>
        <w:tc>
          <w:tcPr>
            <w:tcW w:w="1260" w:type="dxa"/>
            <w:vAlign w:val="bottom"/>
            <w:tcBorders>
              <w:top w:val="single" w:sz="8" w:color="0000FF"/>
              <w:bottom w:val="single" w:sz="8" w:color="CCEEFF"/>
            </w:tcBorders>
            <w:shd w:val="clear" w:color="auto" w:fill="CCEEFF"/>
          </w:tcPr>
          <w:p>
            <w:pPr>
              <w:spacing w:after="0"/>
              <w:rPr>
                <w:sz w:val="16"/>
                <w:szCs w:val="16"/>
                <w:color w:val="auto"/>
              </w:rPr>
            </w:pPr>
          </w:p>
        </w:tc>
        <w:tc>
          <w:tcPr>
            <w:tcW w:w="1000" w:type="dxa"/>
            <w:vAlign w:val="bottom"/>
            <w:tcBorders>
              <w:top w:val="single" w:sz="8" w:color="0000FF"/>
              <w:bottom w:val="single" w:sz="8" w:color="CCEEFF"/>
            </w:tcBorders>
            <w:shd w:val="clear" w:color="auto" w:fill="CCEEFF"/>
          </w:tcPr>
          <w:p>
            <w:pPr>
              <w:spacing w:after="0"/>
              <w:rPr>
                <w:sz w:val="16"/>
                <w:szCs w:val="16"/>
                <w:color w:val="auto"/>
              </w:rPr>
            </w:pPr>
          </w:p>
        </w:tc>
        <w:tc>
          <w:tcPr>
            <w:tcW w:w="520" w:type="dxa"/>
            <w:vAlign w:val="bottom"/>
            <w:tcBorders>
              <w:top w:val="single" w:sz="8" w:color="0000FF"/>
              <w:bottom w:val="single" w:sz="8" w:color="CCEEFF"/>
            </w:tcBorders>
            <w:shd w:val="clear" w:color="auto" w:fill="CCEEFF"/>
          </w:tcPr>
          <w:p>
            <w:pPr>
              <w:spacing w:after="0"/>
              <w:rPr>
                <w:sz w:val="16"/>
                <w:szCs w:val="16"/>
                <w:color w:val="auto"/>
              </w:rPr>
            </w:pPr>
          </w:p>
        </w:tc>
        <w:tc>
          <w:tcPr>
            <w:tcW w:w="240" w:type="dxa"/>
            <w:vAlign w:val="bottom"/>
            <w:tcBorders>
              <w:top w:val="single" w:sz="8" w:color="0000FF"/>
              <w:bottom w:val="single" w:sz="8" w:color="CCEEFF"/>
            </w:tcBorders>
            <w:shd w:val="clear" w:color="auto" w:fill="CCEEFF"/>
          </w:tcPr>
          <w:p>
            <w:pPr>
              <w:spacing w:after="0"/>
              <w:rPr>
                <w:sz w:val="16"/>
                <w:szCs w:val="16"/>
                <w:color w:val="auto"/>
              </w:rPr>
            </w:pPr>
          </w:p>
        </w:tc>
        <w:tc>
          <w:tcPr>
            <w:tcW w:w="280" w:type="dxa"/>
            <w:vAlign w:val="bottom"/>
            <w:tcBorders>
              <w:top w:val="single" w:sz="8" w:color="0000FF"/>
              <w:bottom w:val="single" w:sz="8" w:color="CCEEFF"/>
            </w:tcBorders>
            <w:shd w:val="clear" w:color="auto" w:fill="CCEEFF"/>
          </w:tcPr>
          <w:p>
            <w:pPr>
              <w:spacing w:after="0"/>
              <w:rPr>
                <w:sz w:val="16"/>
                <w:szCs w:val="16"/>
                <w:color w:val="auto"/>
              </w:rPr>
            </w:pPr>
          </w:p>
        </w:tc>
        <w:tc>
          <w:tcPr>
            <w:tcW w:w="100" w:type="dxa"/>
            <w:vAlign w:val="bottom"/>
            <w:tcBorders>
              <w:top w:val="single" w:sz="8" w:color="0000FF"/>
              <w:bottom w:val="single" w:sz="8" w:color="CCEEFF"/>
            </w:tcBorders>
            <w:shd w:val="clear" w:color="auto" w:fill="CCEEFF"/>
          </w:tcPr>
          <w:p>
            <w:pPr>
              <w:spacing w:after="0"/>
              <w:rPr>
                <w:sz w:val="16"/>
                <w:szCs w:val="16"/>
                <w:color w:val="auto"/>
              </w:rPr>
            </w:pPr>
          </w:p>
        </w:tc>
        <w:tc>
          <w:tcPr>
            <w:tcW w:w="120" w:type="dxa"/>
            <w:vAlign w:val="bottom"/>
            <w:tcBorders>
              <w:top w:val="single" w:sz="8" w:color="0000FF"/>
              <w:bottom w:val="single" w:sz="8" w:color="CCEEFF"/>
            </w:tcBorders>
            <w:shd w:val="clear" w:color="auto" w:fill="CCEEFF"/>
          </w:tcPr>
          <w:p>
            <w:pPr>
              <w:spacing w:after="0"/>
              <w:rPr>
                <w:sz w:val="16"/>
                <w:szCs w:val="16"/>
                <w:color w:val="auto"/>
              </w:rPr>
            </w:pPr>
          </w:p>
        </w:tc>
        <w:tc>
          <w:tcPr>
            <w:tcW w:w="60" w:type="dxa"/>
            <w:vAlign w:val="bottom"/>
            <w:tcBorders>
              <w:top w:val="single" w:sz="8" w:color="0000FF"/>
              <w:bottom w:val="single" w:sz="8" w:color="CCEEFF"/>
            </w:tcBorders>
            <w:shd w:val="clear" w:color="auto" w:fill="CCEEFF"/>
          </w:tcPr>
          <w:p>
            <w:pPr>
              <w:spacing w:after="0"/>
              <w:rPr>
                <w:sz w:val="16"/>
                <w:szCs w:val="16"/>
                <w:color w:val="auto"/>
              </w:rPr>
            </w:pPr>
          </w:p>
        </w:tc>
        <w:tc>
          <w:tcPr>
            <w:tcW w:w="40" w:type="dxa"/>
            <w:vAlign w:val="bottom"/>
            <w:tcBorders>
              <w:top w:val="single" w:sz="8" w:color="0000FF"/>
              <w:bottom w:val="single" w:sz="8" w:color="CCEEFF"/>
            </w:tcBorders>
            <w:shd w:val="clear" w:color="auto" w:fill="CCEEFF"/>
          </w:tcPr>
          <w:p>
            <w:pPr>
              <w:spacing w:after="0"/>
              <w:rPr>
                <w:sz w:val="16"/>
                <w:szCs w:val="16"/>
                <w:color w:val="auto"/>
              </w:rPr>
            </w:pPr>
          </w:p>
        </w:tc>
        <w:tc>
          <w:tcPr>
            <w:tcW w:w="6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CCEEFF"/>
              <w:bottom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39291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64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0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1260" w:type="dxa"/>
            <w:vAlign w:val="bottom"/>
            <w:tcBorders>
              <w:top w:val="single" w:sz="8" w:color="CCEEFF"/>
            </w:tcBorders>
          </w:tcPr>
          <w:p>
            <w:pPr>
              <w:spacing w:after="0"/>
              <w:rPr>
                <w:sz w:val="14"/>
                <w:szCs w:val="14"/>
                <w:color w:val="auto"/>
              </w:rPr>
            </w:pPr>
          </w:p>
        </w:tc>
        <w:tc>
          <w:tcPr>
            <w:tcW w:w="1000" w:type="dxa"/>
            <w:vAlign w:val="bottom"/>
            <w:tcBorders>
              <w:top w:val="single" w:sz="8" w:color="CCEEFF"/>
            </w:tcBorders>
          </w:tcPr>
          <w:p>
            <w:pPr>
              <w:spacing w:after="0"/>
              <w:rPr>
                <w:sz w:val="14"/>
                <w:szCs w:val="14"/>
                <w:color w:val="auto"/>
              </w:rPr>
            </w:pPr>
          </w:p>
        </w:tc>
        <w:tc>
          <w:tcPr>
            <w:tcW w:w="5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2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6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4.3</w:t>
            </w:r>
          </w:p>
        </w:tc>
        <w:tc>
          <w:tcPr>
            <w:tcW w:w="120" w:type="dxa"/>
            <w:vAlign w:val="bottom"/>
            <w:tcBorders>
              <w:right w:val="single" w:sz="8" w:color="CCEEFF"/>
            </w:tcBorders>
            <w:shd w:val="clear" w:color="auto" w:fill="CCEEFF"/>
          </w:tcPr>
          <w:p>
            <w:pPr>
              <w:spacing w:after="0"/>
              <w:rPr>
                <w:sz w:val="16"/>
                <w:szCs w:val="16"/>
                <w:color w:val="auto"/>
              </w:rPr>
            </w:pPr>
          </w:p>
        </w:tc>
        <w:tc>
          <w:tcPr>
            <w:tcW w:w="4640" w:type="dxa"/>
            <w:vAlign w:val="bottom"/>
            <w:gridSpan w:val="26"/>
            <w:shd w:val="clear" w:color="auto" w:fill="CCEEFF"/>
          </w:tcPr>
          <w:p>
            <w:pPr>
              <w:spacing w:after="0" w:line="189" w:lineRule="exact"/>
              <w:rPr>
                <w:rFonts w:ascii="Arial" w:cs="Arial" w:eastAsia="Arial" w:hAnsi="Arial"/>
                <w:sz w:val="18"/>
                <w:szCs w:val="18"/>
                <w:color w:val="0000FF"/>
                <w:w w:val="96"/>
              </w:rPr>
            </w:pPr>
            <w:hyperlink r:id="rId96">
              <w:r>
                <w:rPr>
                  <w:rFonts w:ascii="Arial" w:cs="Arial" w:eastAsia="Arial" w:hAnsi="Arial"/>
                  <w:sz w:val="18"/>
                  <w:szCs w:val="18"/>
                  <w:color w:val="0000FF"/>
                  <w:w w:val="96"/>
                </w:rPr>
                <w:t>Form of Common Stock Purchase Warrant, dated as of May</w:t>
              </w:r>
            </w:hyperlink>
          </w:p>
        </w:tc>
        <w:tc>
          <w:tcPr>
            <w:tcW w:w="13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Form 8-K</w:t>
            </w:r>
          </w:p>
        </w:tc>
        <w:tc>
          <w:tcPr>
            <w:tcW w:w="12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File No. 001-</w:t>
            </w:r>
          </w:p>
        </w:tc>
        <w:tc>
          <w:tcPr>
            <w:tcW w:w="9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7"/>
              </w:rPr>
              <w:t>4.1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jc w:val="center"/>
              <w:ind w:right="90"/>
              <w:spacing w:after="0" w:line="189" w:lineRule="exact"/>
              <w:rPr>
                <w:sz w:val="20"/>
                <w:szCs w:val="20"/>
                <w:color w:val="auto"/>
              </w:rPr>
            </w:pPr>
            <w:r>
              <w:rPr>
                <w:rFonts w:ascii="Arial" w:cs="Arial" w:eastAsia="Arial" w:hAnsi="Arial"/>
                <w:sz w:val="18"/>
                <w:szCs w:val="18"/>
                <w:color w:val="auto"/>
                <w:w w:val="93"/>
              </w:rPr>
              <w:t>May 17, 2023</w:t>
            </w:r>
          </w:p>
        </w:tc>
        <w:tc>
          <w:tcPr>
            <w:tcW w:w="0" w:type="dxa"/>
            <w:vAlign w:val="bottom"/>
          </w:tcPr>
          <w:p>
            <w:pPr>
              <w:spacing w:after="0"/>
              <w:rPr>
                <w:sz w:val="1"/>
                <w:szCs w:val="1"/>
                <w:color w:val="auto"/>
              </w:rPr>
            </w:pPr>
          </w:p>
        </w:tc>
      </w:tr>
      <w:tr>
        <w:trPr>
          <w:trHeight w:val="190"/>
        </w:trPr>
        <w:tc>
          <w:tcPr>
            <w:tcW w:w="10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1900" w:type="dxa"/>
            <w:vAlign w:val="bottom"/>
            <w:tcBorders>
              <w:top w:val="single" w:sz="8" w:color="0000FF"/>
            </w:tcBorders>
            <w:gridSpan w:val="4"/>
            <w:shd w:val="clear" w:color="auto" w:fill="CCEEFF"/>
          </w:tcPr>
          <w:p>
            <w:pPr>
              <w:spacing w:after="0" w:line="156" w:lineRule="exact"/>
              <w:rPr>
                <w:rFonts w:ascii="Arial" w:cs="Arial" w:eastAsia="Arial" w:hAnsi="Arial"/>
                <w:sz w:val="18"/>
                <w:szCs w:val="18"/>
                <w:color w:val="0000FF"/>
              </w:rPr>
            </w:pPr>
            <w:hyperlink r:id="rId96">
              <w:r>
                <w:rPr>
                  <w:rFonts w:ascii="Arial" w:cs="Arial" w:eastAsia="Arial" w:hAnsi="Arial"/>
                  <w:sz w:val="18"/>
                  <w:szCs w:val="18"/>
                  <w:color w:val="0000FF"/>
                </w:rPr>
                <w:t>15, 2023</w:t>
              </w:r>
            </w:hyperlink>
          </w:p>
        </w:tc>
        <w:tc>
          <w:tcPr>
            <w:tcW w:w="1000" w:type="dxa"/>
            <w:vAlign w:val="bottom"/>
            <w:tcBorders>
              <w:top w:val="single" w:sz="8" w:color="0000FF"/>
            </w:tcBorders>
            <w:shd w:val="clear" w:color="auto" w:fill="CCEEFF"/>
          </w:tcPr>
          <w:p>
            <w:pPr>
              <w:spacing w:after="0"/>
              <w:rPr>
                <w:sz w:val="16"/>
                <w:szCs w:val="16"/>
                <w:color w:val="auto"/>
              </w:rPr>
            </w:pPr>
          </w:p>
        </w:tc>
        <w:tc>
          <w:tcPr>
            <w:tcW w:w="520" w:type="dxa"/>
            <w:vAlign w:val="bottom"/>
            <w:tcBorders>
              <w:top w:val="single" w:sz="8" w:color="0000FF"/>
            </w:tcBorders>
            <w:shd w:val="clear" w:color="auto" w:fill="CCEEFF"/>
          </w:tcPr>
          <w:p>
            <w:pPr>
              <w:spacing w:after="0"/>
              <w:rPr>
                <w:sz w:val="16"/>
                <w:szCs w:val="16"/>
                <w:color w:val="auto"/>
              </w:rPr>
            </w:pPr>
          </w:p>
        </w:tc>
        <w:tc>
          <w:tcPr>
            <w:tcW w:w="240" w:type="dxa"/>
            <w:vAlign w:val="bottom"/>
            <w:tcBorders>
              <w:top w:val="single" w:sz="8" w:color="0000FF"/>
            </w:tcBorders>
            <w:shd w:val="clear" w:color="auto" w:fill="CCEEFF"/>
          </w:tcPr>
          <w:p>
            <w:pPr>
              <w:spacing w:after="0"/>
              <w:rPr>
                <w:sz w:val="16"/>
                <w:szCs w:val="16"/>
                <w:color w:val="auto"/>
              </w:rPr>
            </w:pPr>
          </w:p>
        </w:tc>
        <w:tc>
          <w:tcPr>
            <w:tcW w:w="280" w:type="dxa"/>
            <w:vAlign w:val="bottom"/>
            <w:tcBorders>
              <w:top w:val="single" w:sz="8" w:color="0000FF"/>
            </w:tcBorders>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spacing w:after="0"/>
              <w:rPr>
                <w:sz w:val="16"/>
                <w:szCs w:val="16"/>
                <w:color w:val="auto"/>
              </w:rPr>
            </w:pPr>
          </w:p>
        </w:tc>
        <w:tc>
          <w:tcPr>
            <w:tcW w:w="120" w:type="dxa"/>
            <w:vAlign w:val="bottom"/>
            <w:tcBorders>
              <w:top w:val="single" w:sz="8" w:color="0000FF"/>
            </w:tcBorders>
            <w:shd w:val="clear" w:color="auto" w:fill="CCEEFF"/>
          </w:tcPr>
          <w:p>
            <w:pPr>
              <w:spacing w:after="0"/>
              <w:rPr>
                <w:sz w:val="16"/>
                <w:szCs w:val="16"/>
                <w:color w:val="auto"/>
              </w:rPr>
            </w:pPr>
          </w:p>
        </w:tc>
        <w:tc>
          <w:tcPr>
            <w:tcW w:w="60" w:type="dxa"/>
            <w:vAlign w:val="bottom"/>
            <w:tcBorders>
              <w:top w:val="single" w:sz="8" w:color="0000FF"/>
            </w:tcBorders>
            <w:shd w:val="clear" w:color="auto" w:fill="CCEEFF"/>
          </w:tcPr>
          <w:p>
            <w:pPr>
              <w:spacing w:after="0"/>
              <w:rPr>
                <w:sz w:val="16"/>
                <w:szCs w:val="16"/>
                <w:color w:val="auto"/>
              </w:rPr>
            </w:pPr>
          </w:p>
        </w:tc>
        <w:tc>
          <w:tcPr>
            <w:tcW w:w="40" w:type="dxa"/>
            <w:vAlign w:val="bottom"/>
            <w:tcBorders>
              <w:top w:val="single" w:sz="8" w:color="0000FF"/>
            </w:tcBorders>
            <w:shd w:val="clear" w:color="auto" w:fill="CCEEFF"/>
          </w:tcPr>
          <w:p>
            <w:pPr>
              <w:spacing w:after="0"/>
              <w:rPr>
                <w:sz w:val="16"/>
                <w:szCs w:val="16"/>
                <w:color w:val="auto"/>
              </w:rPr>
            </w:pPr>
          </w:p>
        </w:tc>
        <w:tc>
          <w:tcPr>
            <w:tcW w:w="6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39291</w:t>
            </w:r>
          </w:p>
        </w:tc>
        <w:tc>
          <w:tcPr>
            <w:tcW w:w="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0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260" w:type="dxa"/>
            <w:vAlign w:val="bottom"/>
            <w:tcBorders>
              <w:top w:val="single" w:sz="8" w:color="CCEEFF"/>
            </w:tcBorders>
          </w:tcPr>
          <w:p>
            <w:pPr>
              <w:spacing w:after="0"/>
              <w:rPr>
                <w:sz w:val="14"/>
                <w:szCs w:val="14"/>
                <w:color w:val="auto"/>
              </w:rPr>
            </w:pPr>
          </w:p>
        </w:tc>
        <w:tc>
          <w:tcPr>
            <w:tcW w:w="1000" w:type="dxa"/>
            <w:vAlign w:val="bottom"/>
            <w:tcBorders>
              <w:top w:val="single" w:sz="8" w:color="CCEEFF"/>
            </w:tcBorders>
          </w:tcPr>
          <w:p>
            <w:pPr>
              <w:spacing w:after="0"/>
              <w:rPr>
                <w:sz w:val="14"/>
                <w:szCs w:val="14"/>
                <w:color w:val="auto"/>
              </w:rPr>
            </w:pPr>
          </w:p>
        </w:tc>
        <w:tc>
          <w:tcPr>
            <w:tcW w:w="5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2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6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4.4</w:t>
            </w:r>
          </w:p>
        </w:tc>
        <w:tc>
          <w:tcPr>
            <w:tcW w:w="120" w:type="dxa"/>
            <w:vAlign w:val="bottom"/>
            <w:tcBorders>
              <w:right w:val="single" w:sz="8" w:color="CCEEFF"/>
            </w:tcBorders>
            <w:shd w:val="clear" w:color="auto" w:fill="CCEEFF"/>
          </w:tcPr>
          <w:p>
            <w:pPr>
              <w:spacing w:after="0"/>
              <w:rPr>
                <w:sz w:val="16"/>
                <w:szCs w:val="16"/>
                <w:color w:val="auto"/>
              </w:rPr>
            </w:pPr>
          </w:p>
        </w:tc>
        <w:tc>
          <w:tcPr>
            <w:tcW w:w="4640" w:type="dxa"/>
            <w:vAlign w:val="bottom"/>
            <w:gridSpan w:val="26"/>
            <w:shd w:val="clear" w:color="auto" w:fill="CCEEFF"/>
          </w:tcPr>
          <w:p>
            <w:pPr>
              <w:spacing w:after="0" w:line="189" w:lineRule="exact"/>
              <w:rPr>
                <w:rFonts w:ascii="Arial" w:cs="Arial" w:eastAsia="Arial" w:hAnsi="Arial"/>
                <w:sz w:val="18"/>
                <w:szCs w:val="18"/>
                <w:color w:val="0000FF"/>
                <w:w w:val="98"/>
              </w:rPr>
            </w:pPr>
            <w:hyperlink r:id="rId97">
              <w:r>
                <w:rPr>
                  <w:rFonts w:ascii="Arial" w:cs="Arial" w:eastAsia="Arial" w:hAnsi="Arial"/>
                  <w:sz w:val="18"/>
                  <w:szCs w:val="18"/>
                  <w:color w:val="0000FF"/>
                  <w:w w:val="98"/>
                </w:rPr>
                <w:t>Indenture, dated May 25, 2023, between the Company and</w:t>
              </w:r>
            </w:hyperlink>
          </w:p>
        </w:tc>
        <w:tc>
          <w:tcPr>
            <w:tcW w:w="13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Form 8-K</w:t>
            </w:r>
          </w:p>
        </w:tc>
        <w:tc>
          <w:tcPr>
            <w:tcW w:w="12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File No. 001-</w:t>
            </w:r>
          </w:p>
        </w:tc>
        <w:tc>
          <w:tcPr>
            <w:tcW w:w="9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7"/>
              </w:rPr>
              <w:t>4.1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jc w:val="center"/>
              <w:ind w:right="90"/>
              <w:spacing w:after="0" w:line="189" w:lineRule="exact"/>
              <w:rPr>
                <w:sz w:val="20"/>
                <w:szCs w:val="20"/>
                <w:color w:val="auto"/>
              </w:rPr>
            </w:pPr>
            <w:r>
              <w:rPr>
                <w:rFonts w:ascii="Arial" w:cs="Arial" w:eastAsia="Arial" w:hAnsi="Arial"/>
                <w:sz w:val="18"/>
                <w:szCs w:val="18"/>
                <w:color w:val="auto"/>
                <w:w w:val="93"/>
              </w:rPr>
              <w:t>May 25, 2023</w:t>
            </w:r>
          </w:p>
        </w:tc>
        <w:tc>
          <w:tcPr>
            <w:tcW w:w="0" w:type="dxa"/>
            <w:vAlign w:val="bottom"/>
          </w:tcPr>
          <w:p>
            <w:pPr>
              <w:spacing w:after="0"/>
              <w:rPr>
                <w:sz w:val="1"/>
                <w:szCs w:val="1"/>
                <w:color w:val="auto"/>
              </w:rPr>
            </w:pPr>
          </w:p>
        </w:tc>
      </w:tr>
      <w:tr>
        <w:trPr>
          <w:trHeight w:val="190"/>
        </w:trPr>
        <w:tc>
          <w:tcPr>
            <w:tcW w:w="10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4220" w:type="dxa"/>
            <w:vAlign w:val="bottom"/>
            <w:tcBorders>
              <w:top w:val="single" w:sz="8" w:color="0000FF"/>
            </w:tcBorders>
            <w:gridSpan w:val="11"/>
            <w:shd w:val="clear" w:color="auto" w:fill="CCEEFF"/>
          </w:tcPr>
          <w:p>
            <w:pPr>
              <w:spacing w:after="0" w:line="156" w:lineRule="exact"/>
              <w:rPr>
                <w:rFonts w:ascii="Arial" w:cs="Arial" w:eastAsia="Arial" w:hAnsi="Arial"/>
                <w:sz w:val="18"/>
                <w:szCs w:val="18"/>
                <w:color w:val="0000FF"/>
              </w:rPr>
            </w:pPr>
            <w:hyperlink r:id="rId97">
              <w:r>
                <w:rPr>
                  <w:rFonts w:ascii="Arial" w:cs="Arial" w:eastAsia="Arial" w:hAnsi="Arial"/>
                  <w:sz w:val="18"/>
                  <w:szCs w:val="18"/>
                  <w:color w:val="0000FF"/>
                </w:rPr>
                <w:t>Wilmington Trust, National Association, as trustee</w:t>
              </w:r>
            </w:hyperlink>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gridSpan w:val="3"/>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gridSpan w:val="2"/>
            <w:shd w:val="clear" w:color="auto" w:fill="CCEEFF"/>
          </w:tcPr>
          <w:p>
            <w:pPr>
              <w:spacing w:after="0"/>
              <w:rPr>
                <w:sz w:val="16"/>
                <w:szCs w:val="16"/>
                <w:color w:val="auto"/>
              </w:rPr>
            </w:pPr>
          </w:p>
        </w:tc>
        <w:tc>
          <w:tcPr>
            <w:tcW w:w="1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39291</w:t>
            </w:r>
          </w:p>
        </w:tc>
        <w:tc>
          <w:tcPr>
            <w:tcW w:w="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0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260" w:type="dxa"/>
            <w:vAlign w:val="bottom"/>
            <w:tcBorders>
              <w:top w:val="single" w:sz="8" w:color="0000FF"/>
            </w:tcBorders>
          </w:tcPr>
          <w:p>
            <w:pPr>
              <w:spacing w:after="0"/>
              <w:rPr>
                <w:sz w:val="14"/>
                <w:szCs w:val="14"/>
                <w:color w:val="auto"/>
              </w:rPr>
            </w:pPr>
          </w:p>
        </w:tc>
        <w:tc>
          <w:tcPr>
            <w:tcW w:w="100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2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6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4.5</w:t>
            </w:r>
          </w:p>
        </w:tc>
        <w:tc>
          <w:tcPr>
            <w:tcW w:w="120" w:type="dxa"/>
            <w:vAlign w:val="bottom"/>
            <w:tcBorders>
              <w:right w:val="single" w:sz="8" w:color="CCEEFF"/>
            </w:tcBorders>
            <w:shd w:val="clear" w:color="auto" w:fill="CCEEFF"/>
          </w:tcPr>
          <w:p>
            <w:pPr>
              <w:spacing w:after="0"/>
              <w:rPr>
                <w:sz w:val="16"/>
                <w:szCs w:val="16"/>
                <w:color w:val="auto"/>
              </w:rPr>
            </w:pPr>
          </w:p>
        </w:tc>
        <w:tc>
          <w:tcPr>
            <w:tcW w:w="4640" w:type="dxa"/>
            <w:vAlign w:val="bottom"/>
            <w:gridSpan w:val="26"/>
            <w:shd w:val="clear" w:color="auto" w:fill="CCEEFF"/>
          </w:tcPr>
          <w:p>
            <w:pPr>
              <w:spacing w:after="0" w:line="189" w:lineRule="exact"/>
              <w:rPr>
                <w:rFonts w:ascii="Arial" w:cs="Arial" w:eastAsia="Arial" w:hAnsi="Arial"/>
                <w:sz w:val="18"/>
                <w:szCs w:val="18"/>
                <w:color w:val="0000FF"/>
              </w:rPr>
            </w:pPr>
            <w:hyperlink r:id="rId97">
              <w:r>
                <w:rPr>
                  <w:rFonts w:ascii="Arial" w:cs="Arial" w:eastAsia="Arial" w:hAnsi="Arial"/>
                  <w:sz w:val="18"/>
                  <w:szCs w:val="18"/>
                  <w:color w:val="0000FF"/>
                </w:rPr>
                <w:t>Form of Note, dated as of May 25, 2023</w:t>
              </w:r>
            </w:hyperlink>
          </w:p>
        </w:tc>
        <w:tc>
          <w:tcPr>
            <w:tcW w:w="13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Form 8-K</w:t>
            </w:r>
          </w:p>
        </w:tc>
        <w:tc>
          <w:tcPr>
            <w:tcW w:w="12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File No. 001-</w:t>
            </w:r>
          </w:p>
        </w:tc>
        <w:tc>
          <w:tcPr>
            <w:tcW w:w="9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7"/>
              </w:rPr>
              <w:t>4.2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jc w:val="center"/>
              <w:ind w:right="90"/>
              <w:spacing w:after="0" w:line="189" w:lineRule="exact"/>
              <w:rPr>
                <w:sz w:val="20"/>
                <w:szCs w:val="20"/>
                <w:color w:val="auto"/>
              </w:rPr>
            </w:pPr>
            <w:r>
              <w:rPr>
                <w:rFonts w:ascii="Arial" w:cs="Arial" w:eastAsia="Arial" w:hAnsi="Arial"/>
                <w:sz w:val="18"/>
                <w:szCs w:val="18"/>
                <w:color w:val="auto"/>
                <w:w w:val="93"/>
              </w:rPr>
              <w:t>May 25, 2023</w:t>
            </w:r>
          </w:p>
        </w:tc>
        <w:tc>
          <w:tcPr>
            <w:tcW w:w="0" w:type="dxa"/>
            <w:vAlign w:val="bottom"/>
          </w:tcPr>
          <w:p>
            <w:pPr>
              <w:spacing w:after="0"/>
              <w:rPr>
                <w:sz w:val="1"/>
                <w:szCs w:val="1"/>
                <w:color w:val="auto"/>
              </w:rPr>
            </w:pPr>
          </w:p>
        </w:tc>
      </w:tr>
      <w:tr>
        <w:trPr>
          <w:trHeight w:val="209"/>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34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280" w:type="dxa"/>
            <w:vAlign w:val="bottom"/>
            <w:tcBorders>
              <w:top w:val="single" w:sz="8" w:color="0000FF"/>
            </w:tcBorders>
            <w:shd w:val="clear" w:color="auto" w:fill="CCEEFF"/>
          </w:tcPr>
          <w:p>
            <w:pPr>
              <w:spacing w:after="0"/>
              <w:rPr>
                <w:sz w:val="18"/>
                <w:szCs w:val="18"/>
                <w:color w:val="auto"/>
              </w:rPr>
            </w:pPr>
          </w:p>
        </w:tc>
        <w:tc>
          <w:tcPr>
            <w:tcW w:w="1260" w:type="dxa"/>
            <w:vAlign w:val="bottom"/>
            <w:tcBorders>
              <w:top w:val="single" w:sz="8" w:color="0000FF"/>
            </w:tcBorders>
            <w:shd w:val="clear" w:color="auto" w:fill="CCEEFF"/>
          </w:tcPr>
          <w:p>
            <w:pPr>
              <w:spacing w:after="0"/>
              <w:rPr>
                <w:sz w:val="18"/>
                <w:szCs w:val="18"/>
                <w:color w:val="auto"/>
              </w:rPr>
            </w:pPr>
          </w:p>
        </w:tc>
        <w:tc>
          <w:tcPr>
            <w:tcW w:w="1000" w:type="dxa"/>
            <w:vAlign w:val="bottom"/>
            <w:tcBorders>
              <w:top w:val="single" w:sz="8" w:color="0000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39291</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10.1</w:t>
            </w:r>
          </w:p>
        </w:tc>
        <w:tc>
          <w:tcPr>
            <w:tcW w:w="120" w:type="dxa"/>
            <w:vAlign w:val="bottom"/>
            <w:tcBorders>
              <w:right w:val="single" w:sz="8" w:color="CCEEFF"/>
            </w:tcBorders>
            <w:shd w:val="clear" w:color="auto" w:fill="CCEEFF"/>
          </w:tcPr>
          <w:p>
            <w:pPr>
              <w:spacing w:after="0"/>
              <w:rPr>
                <w:sz w:val="16"/>
                <w:szCs w:val="16"/>
                <w:color w:val="auto"/>
              </w:rPr>
            </w:pPr>
          </w:p>
        </w:tc>
        <w:tc>
          <w:tcPr>
            <w:tcW w:w="4640" w:type="dxa"/>
            <w:vAlign w:val="bottom"/>
            <w:gridSpan w:val="26"/>
            <w:shd w:val="clear" w:color="auto" w:fill="CCEEFF"/>
          </w:tcPr>
          <w:p>
            <w:pPr>
              <w:spacing w:after="0" w:line="189" w:lineRule="exact"/>
              <w:rPr>
                <w:rFonts w:ascii="Arial" w:cs="Arial" w:eastAsia="Arial" w:hAnsi="Arial"/>
                <w:sz w:val="18"/>
                <w:szCs w:val="18"/>
                <w:color w:val="0000FF"/>
                <w:w w:val="96"/>
              </w:rPr>
            </w:pPr>
            <w:hyperlink r:id="rId98">
              <w:r>
                <w:rPr>
                  <w:rFonts w:ascii="Arial" w:cs="Arial" w:eastAsia="Arial" w:hAnsi="Arial"/>
                  <w:sz w:val="18"/>
                  <w:szCs w:val="18"/>
                  <w:color w:val="0000FF"/>
                  <w:w w:val="96"/>
                </w:rPr>
                <w:t>Amendment No. 5 dated as of April 10, 2023 to the Standby</w:t>
              </w:r>
            </w:hyperlink>
          </w:p>
        </w:tc>
        <w:tc>
          <w:tcPr>
            <w:tcW w:w="13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Form 8-K</w:t>
            </w:r>
          </w:p>
        </w:tc>
        <w:tc>
          <w:tcPr>
            <w:tcW w:w="12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File No. 001-</w:t>
            </w:r>
          </w:p>
        </w:tc>
        <w:tc>
          <w:tcPr>
            <w:tcW w:w="9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5"/>
              </w:rPr>
              <w:t>10.1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jc w:val="center"/>
              <w:ind w:right="90"/>
              <w:spacing w:after="0" w:line="189" w:lineRule="exact"/>
              <w:rPr>
                <w:sz w:val="20"/>
                <w:szCs w:val="20"/>
                <w:color w:val="auto"/>
              </w:rPr>
            </w:pPr>
            <w:r>
              <w:rPr>
                <w:rFonts w:ascii="Arial" w:cs="Arial" w:eastAsia="Arial" w:hAnsi="Arial"/>
                <w:sz w:val="18"/>
                <w:szCs w:val="18"/>
                <w:color w:val="auto"/>
                <w:w w:val="95"/>
              </w:rPr>
              <w:t>April 11, 2023</w:t>
            </w:r>
          </w:p>
        </w:tc>
        <w:tc>
          <w:tcPr>
            <w:tcW w:w="0" w:type="dxa"/>
            <w:vAlign w:val="bottom"/>
          </w:tcPr>
          <w:p>
            <w:pPr>
              <w:spacing w:after="0"/>
              <w:rPr>
                <w:sz w:val="1"/>
                <w:szCs w:val="1"/>
                <w:color w:val="auto"/>
              </w:rPr>
            </w:pPr>
          </w:p>
        </w:tc>
      </w:tr>
      <w:tr>
        <w:trPr>
          <w:trHeight w:val="156"/>
        </w:trPr>
        <w:tc>
          <w:tcPr>
            <w:tcW w:w="10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4360" w:type="dxa"/>
            <w:vAlign w:val="bottom"/>
            <w:tcBorders>
              <w:top w:val="single" w:sz="8" w:color="0000FF"/>
            </w:tcBorders>
            <w:gridSpan w:val="15"/>
            <w:shd w:val="clear" w:color="auto" w:fill="CCEEFF"/>
          </w:tcPr>
          <w:p>
            <w:pPr>
              <w:spacing w:after="0" w:line="156" w:lineRule="exact"/>
              <w:rPr>
                <w:rFonts w:ascii="Arial" w:cs="Arial" w:eastAsia="Arial" w:hAnsi="Arial"/>
                <w:sz w:val="18"/>
                <w:szCs w:val="18"/>
                <w:color w:val="0000FF"/>
                <w:w w:val="99"/>
              </w:rPr>
            </w:pPr>
            <w:hyperlink r:id="rId98">
              <w:r>
                <w:rPr>
                  <w:rFonts w:ascii="Arial" w:cs="Arial" w:eastAsia="Arial" w:hAnsi="Arial"/>
                  <w:sz w:val="18"/>
                  <w:szCs w:val="18"/>
                  <w:color w:val="0000FF"/>
                  <w:w w:val="99"/>
                </w:rPr>
                <w:t>Equity Purchase Agreement dated as of April 28, 2022</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12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39291</w:t>
            </w:r>
          </w:p>
        </w:tc>
        <w:tc>
          <w:tcPr>
            <w:tcW w:w="12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6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60" w:type="dxa"/>
            <w:vAlign w:val="bottom"/>
            <w:gridSpan w:val="4"/>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20" w:type="dxa"/>
            <w:vAlign w:val="bottom"/>
            <w:gridSpan w:val="4"/>
            <w:shd w:val="clear" w:color="auto" w:fill="CCEEFF"/>
          </w:tcPr>
          <w:p>
            <w:pPr>
              <w:spacing w:after="0" w:line="20" w:lineRule="exact"/>
              <w:rPr>
                <w:sz w:val="1"/>
                <w:szCs w:val="1"/>
                <w:color w:val="auto"/>
              </w:rPr>
            </w:pPr>
          </w:p>
        </w:tc>
        <w:tc>
          <w:tcPr>
            <w:tcW w:w="120" w:type="dxa"/>
            <w:vAlign w:val="bottom"/>
            <w:gridSpan w:val="4"/>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0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640" w:type="dxa"/>
            <w:vAlign w:val="bottom"/>
            <w:gridSpan w:val="26"/>
            <w:shd w:val="clear" w:color="auto" w:fill="CCEEFF"/>
          </w:tcPr>
          <w:p>
            <w:pPr>
              <w:spacing w:after="0" w:line="156" w:lineRule="exact"/>
              <w:rPr>
                <w:rFonts w:ascii="Arial" w:cs="Arial" w:eastAsia="Arial" w:hAnsi="Arial"/>
                <w:sz w:val="18"/>
                <w:szCs w:val="18"/>
                <w:color w:val="0000FF"/>
              </w:rPr>
            </w:pPr>
            <w:hyperlink r:id="rId98">
              <w:r>
                <w:rPr>
                  <w:rFonts w:ascii="Arial" w:cs="Arial" w:eastAsia="Arial" w:hAnsi="Arial"/>
                  <w:sz w:val="18"/>
                  <w:szCs w:val="18"/>
                  <w:color w:val="0000FF"/>
                </w:rPr>
                <w:t>between Eos Energy Enterprises, Inc. and YA II PN, LTD</w:t>
              </w:r>
            </w:hyperlink>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0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260" w:type="dxa"/>
            <w:vAlign w:val="bottom"/>
            <w:tcBorders>
              <w:top w:val="single" w:sz="8" w:color="0000FF"/>
            </w:tcBorders>
          </w:tcPr>
          <w:p>
            <w:pPr>
              <w:spacing w:after="0"/>
              <w:rPr>
                <w:sz w:val="14"/>
                <w:szCs w:val="14"/>
                <w:color w:val="auto"/>
              </w:rPr>
            </w:pPr>
          </w:p>
        </w:tc>
        <w:tc>
          <w:tcPr>
            <w:tcW w:w="100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2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6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10.2</w:t>
            </w:r>
          </w:p>
        </w:tc>
        <w:tc>
          <w:tcPr>
            <w:tcW w:w="120" w:type="dxa"/>
            <w:vAlign w:val="bottom"/>
            <w:tcBorders>
              <w:right w:val="single" w:sz="8" w:color="CCEEFF"/>
            </w:tcBorders>
            <w:shd w:val="clear" w:color="auto" w:fill="CCEEFF"/>
          </w:tcPr>
          <w:p>
            <w:pPr>
              <w:spacing w:after="0"/>
              <w:rPr>
                <w:sz w:val="16"/>
                <w:szCs w:val="16"/>
                <w:color w:val="auto"/>
              </w:rPr>
            </w:pPr>
          </w:p>
        </w:tc>
        <w:tc>
          <w:tcPr>
            <w:tcW w:w="4640" w:type="dxa"/>
            <w:vAlign w:val="bottom"/>
            <w:gridSpan w:val="26"/>
            <w:shd w:val="clear" w:color="auto" w:fill="CCEEFF"/>
          </w:tcPr>
          <w:p>
            <w:pPr>
              <w:spacing w:after="0" w:line="189" w:lineRule="exact"/>
              <w:rPr>
                <w:rFonts w:ascii="Arial" w:cs="Arial" w:eastAsia="Arial" w:hAnsi="Arial"/>
                <w:sz w:val="18"/>
                <w:szCs w:val="18"/>
                <w:color w:val="0000FF"/>
                <w:w w:val="96"/>
              </w:rPr>
            </w:pPr>
            <w:hyperlink r:id="rId99">
              <w:r>
                <w:rPr>
                  <w:rFonts w:ascii="Arial" w:cs="Arial" w:eastAsia="Arial" w:hAnsi="Arial"/>
                  <w:sz w:val="18"/>
                  <w:szCs w:val="18"/>
                  <w:color w:val="0000FF"/>
                  <w:w w:val="96"/>
                </w:rPr>
                <w:t>Fourth Supplemental Agreement, dated as of April 10, 2023,</w:t>
              </w:r>
            </w:hyperlink>
          </w:p>
        </w:tc>
        <w:tc>
          <w:tcPr>
            <w:tcW w:w="13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Form 8-K</w:t>
            </w:r>
          </w:p>
        </w:tc>
        <w:tc>
          <w:tcPr>
            <w:tcW w:w="12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File No. 001-</w:t>
            </w:r>
          </w:p>
        </w:tc>
        <w:tc>
          <w:tcPr>
            <w:tcW w:w="9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5"/>
              </w:rPr>
              <w:t>10.2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jc w:val="center"/>
              <w:ind w:right="90"/>
              <w:spacing w:after="0" w:line="189" w:lineRule="exact"/>
              <w:rPr>
                <w:sz w:val="20"/>
                <w:szCs w:val="20"/>
                <w:color w:val="auto"/>
              </w:rPr>
            </w:pPr>
            <w:r>
              <w:rPr>
                <w:rFonts w:ascii="Arial" w:cs="Arial" w:eastAsia="Arial" w:hAnsi="Arial"/>
                <w:sz w:val="18"/>
                <w:szCs w:val="18"/>
                <w:color w:val="auto"/>
                <w:w w:val="95"/>
              </w:rPr>
              <w:t>April 11, 2023</w:t>
            </w:r>
          </w:p>
        </w:tc>
        <w:tc>
          <w:tcPr>
            <w:tcW w:w="0" w:type="dxa"/>
            <w:vAlign w:val="bottom"/>
          </w:tcPr>
          <w:p>
            <w:pPr>
              <w:spacing w:after="0"/>
              <w:rPr>
                <w:sz w:val="1"/>
                <w:szCs w:val="1"/>
                <w:color w:val="auto"/>
              </w:rPr>
            </w:pPr>
          </w:p>
        </w:tc>
      </w:tr>
      <w:tr>
        <w:trPr>
          <w:trHeight w:val="155"/>
        </w:trPr>
        <w:tc>
          <w:tcPr>
            <w:tcW w:w="10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4380" w:type="dxa"/>
            <w:vAlign w:val="bottom"/>
            <w:tcBorders>
              <w:top w:val="single" w:sz="8" w:color="0000FF"/>
              <w:bottom w:val="single" w:sz="8" w:color="0000FF"/>
            </w:tcBorders>
            <w:gridSpan w:val="16"/>
            <w:shd w:val="clear" w:color="auto" w:fill="CCEEFF"/>
          </w:tcPr>
          <w:p>
            <w:pPr>
              <w:spacing w:after="0" w:line="156" w:lineRule="exact"/>
              <w:rPr>
                <w:rFonts w:ascii="Arial" w:cs="Arial" w:eastAsia="Arial" w:hAnsi="Arial"/>
                <w:sz w:val="18"/>
                <w:szCs w:val="18"/>
                <w:color w:val="0000FF"/>
                <w:w w:val="90"/>
              </w:rPr>
            </w:pPr>
            <w:hyperlink r:id="rId99">
              <w:r>
                <w:rPr>
                  <w:rFonts w:ascii="Arial" w:cs="Arial" w:eastAsia="Arial" w:hAnsi="Arial"/>
                  <w:sz w:val="18"/>
                  <w:szCs w:val="18"/>
                  <w:color w:val="0000FF"/>
                  <w:w w:val="90"/>
                </w:rPr>
                <w:t>to the Standby Equity Purchase Agreement dated as of April</w:t>
              </w:r>
            </w:hyperlink>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2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140" w:type="dxa"/>
            <w:vAlign w:val="bottom"/>
            <w:tcBorders>
              <w:top w:val="single" w:sz="8" w:color="CCEEFF"/>
              <w:bottom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39291</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164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4640" w:type="dxa"/>
            <w:vAlign w:val="bottom"/>
            <w:gridSpan w:val="26"/>
            <w:shd w:val="clear" w:color="auto" w:fill="CCEEFF"/>
          </w:tcPr>
          <w:p>
            <w:pPr>
              <w:spacing w:after="0" w:line="156" w:lineRule="exact"/>
              <w:rPr>
                <w:rFonts w:ascii="Arial" w:cs="Arial" w:eastAsia="Arial" w:hAnsi="Arial"/>
                <w:sz w:val="18"/>
                <w:szCs w:val="18"/>
                <w:color w:val="0000FF"/>
                <w:w w:val="94"/>
              </w:rPr>
            </w:pPr>
            <w:hyperlink r:id="rId99">
              <w:r>
                <w:rPr>
                  <w:rFonts w:ascii="Arial" w:cs="Arial" w:eastAsia="Arial" w:hAnsi="Arial"/>
                  <w:sz w:val="18"/>
                  <w:szCs w:val="18"/>
                  <w:color w:val="0000FF"/>
                  <w:w w:val="94"/>
                </w:rPr>
                <w:t>28, 2022 between Eos Energy Enterprises, Inc. and YA II PN,</w:t>
              </w:r>
            </w:hyperlink>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0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4460" w:type="dxa"/>
            <w:vAlign w:val="bottom"/>
            <w:tcBorders>
              <w:top w:val="single" w:sz="8" w:color="0000FF"/>
            </w:tcBorders>
            <w:gridSpan w:val="19"/>
            <w:shd w:val="clear" w:color="auto" w:fill="CCEEFF"/>
          </w:tcPr>
          <w:p>
            <w:pPr>
              <w:spacing w:after="0" w:line="169" w:lineRule="exact"/>
              <w:rPr>
                <w:rFonts w:ascii="Arial" w:cs="Arial" w:eastAsia="Arial" w:hAnsi="Arial"/>
                <w:sz w:val="18"/>
                <w:szCs w:val="18"/>
                <w:color w:val="0000FF"/>
              </w:rPr>
            </w:pPr>
            <w:hyperlink r:id="rId99">
              <w:r>
                <w:rPr>
                  <w:rFonts w:ascii="Arial" w:cs="Arial" w:eastAsia="Arial" w:hAnsi="Arial"/>
                  <w:sz w:val="18"/>
                  <w:szCs w:val="18"/>
                  <w:color w:val="0000FF"/>
                </w:rPr>
                <w:t>LTD</w:t>
              </w:r>
            </w:hyperlink>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gridSpan w:val="2"/>
            <w:shd w:val="clear" w:color="auto" w:fill="CCEEFF"/>
          </w:tcPr>
          <w:p>
            <w:pPr>
              <w:spacing w:after="0"/>
              <w:rPr>
                <w:sz w:val="16"/>
                <w:szCs w:val="16"/>
                <w:color w:val="auto"/>
              </w:rPr>
            </w:pPr>
          </w:p>
        </w:tc>
        <w:tc>
          <w:tcPr>
            <w:tcW w:w="1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0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1260" w:type="dxa"/>
            <w:vAlign w:val="bottom"/>
            <w:tcBorders>
              <w:top w:val="single" w:sz="8" w:color="CCEEFF"/>
            </w:tcBorders>
          </w:tcPr>
          <w:p>
            <w:pPr>
              <w:spacing w:after="0"/>
              <w:rPr>
                <w:sz w:val="14"/>
                <w:szCs w:val="14"/>
                <w:color w:val="auto"/>
              </w:rPr>
            </w:pPr>
          </w:p>
        </w:tc>
        <w:tc>
          <w:tcPr>
            <w:tcW w:w="1000" w:type="dxa"/>
            <w:vAlign w:val="bottom"/>
            <w:tcBorders>
              <w:top w:val="single" w:sz="8" w:color="CCEEFF"/>
            </w:tcBorders>
          </w:tcPr>
          <w:p>
            <w:pPr>
              <w:spacing w:after="0"/>
              <w:rPr>
                <w:sz w:val="14"/>
                <w:szCs w:val="14"/>
                <w:color w:val="auto"/>
              </w:rPr>
            </w:pPr>
          </w:p>
        </w:tc>
        <w:tc>
          <w:tcPr>
            <w:tcW w:w="5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2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6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10.3</w:t>
            </w:r>
          </w:p>
        </w:tc>
        <w:tc>
          <w:tcPr>
            <w:tcW w:w="120" w:type="dxa"/>
            <w:vAlign w:val="bottom"/>
            <w:tcBorders>
              <w:right w:val="single" w:sz="8" w:color="CCEEFF"/>
            </w:tcBorders>
            <w:shd w:val="clear" w:color="auto" w:fill="CCEEFF"/>
          </w:tcPr>
          <w:p>
            <w:pPr>
              <w:spacing w:after="0"/>
              <w:rPr>
                <w:sz w:val="16"/>
                <w:szCs w:val="16"/>
                <w:color w:val="auto"/>
              </w:rPr>
            </w:pPr>
          </w:p>
        </w:tc>
        <w:tc>
          <w:tcPr>
            <w:tcW w:w="4640" w:type="dxa"/>
            <w:vAlign w:val="bottom"/>
            <w:gridSpan w:val="26"/>
            <w:shd w:val="clear" w:color="auto" w:fill="CCEEFF"/>
          </w:tcPr>
          <w:p>
            <w:pPr>
              <w:spacing w:after="0" w:line="189" w:lineRule="exact"/>
              <w:rPr>
                <w:rFonts w:ascii="Arial" w:cs="Arial" w:eastAsia="Arial" w:hAnsi="Arial"/>
                <w:sz w:val="18"/>
                <w:szCs w:val="18"/>
                <w:color w:val="0000FF"/>
                <w:w w:val="94"/>
              </w:rPr>
            </w:pPr>
            <w:hyperlink r:id="rId100">
              <w:r>
                <w:rPr>
                  <w:rFonts w:ascii="Arial" w:cs="Arial" w:eastAsia="Arial" w:hAnsi="Arial"/>
                  <w:sz w:val="18"/>
                  <w:szCs w:val="18"/>
                  <w:color w:val="0000FF"/>
                  <w:w w:val="94"/>
                </w:rPr>
                <w:t>Form of Securities Purchase Agreement, dated as of April 12,</w:t>
              </w:r>
            </w:hyperlink>
          </w:p>
        </w:tc>
        <w:tc>
          <w:tcPr>
            <w:tcW w:w="13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Form 8-K</w:t>
            </w:r>
          </w:p>
        </w:tc>
        <w:tc>
          <w:tcPr>
            <w:tcW w:w="12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File No. 001-</w:t>
            </w:r>
          </w:p>
        </w:tc>
        <w:tc>
          <w:tcPr>
            <w:tcW w:w="9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5"/>
              </w:rPr>
              <w:t>10.1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jc w:val="center"/>
              <w:ind w:right="90"/>
              <w:spacing w:after="0" w:line="189" w:lineRule="exact"/>
              <w:rPr>
                <w:sz w:val="20"/>
                <w:szCs w:val="20"/>
                <w:color w:val="auto"/>
              </w:rPr>
            </w:pPr>
            <w:r>
              <w:rPr>
                <w:rFonts w:ascii="Arial" w:cs="Arial" w:eastAsia="Arial" w:hAnsi="Arial"/>
                <w:sz w:val="18"/>
                <w:szCs w:val="18"/>
                <w:color w:val="auto"/>
                <w:w w:val="95"/>
              </w:rPr>
              <w:t>April 14, 2023</w:t>
            </w:r>
          </w:p>
        </w:tc>
        <w:tc>
          <w:tcPr>
            <w:tcW w:w="0" w:type="dxa"/>
            <w:vAlign w:val="bottom"/>
          </w:tcPr>
          <w:p>
            <w:pPr>
              <w:spacing w:after="0"/>
              <w:rPr>
                <w:sz w:val="1"/>
                <w:szCs w:val="1"/>
                <w:color w:val="auto"/>
              </w:rPr>
            </w:pPr>
          </w:p>
        </w:tc>
      </w:tr>
      <w:tr>
        <w:trPr>
          <w:trHeight w:val="190"/>
        </w:trPr>
        <w:tc>
          <w:tcPr>
            <w:tcW w:w="10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640" w:type="dxa"/>
            <w:vAlign w:val="bottom"/>
            <w:tcBorders>
              <w:top w:val="single" w:sz="8" w:color="0000FF"/>
            </w:tcBorders>
            <w:gridSpan w:val="3"/>
            <w:shd w:val="clear" w:color="auto" w:fill="CCEEFF"/>
          </w:tcPr>
          <w:p>
            <w:pPr>
              <w:spacing w:after="0" w:line="156" w:lineRule="exact"/>
              <w:rPr>
                <w:rFonts w:ascii="Arial" w:cs="Arial" w:eastAsia="Arial" w:hAnsi="Arial"/>
                <w:sz w:val="18"/>
                <w:szCs w:val="18"/>
                <w:color w:val="0000FF"/>
              </w:rPr>
            </w:pPr>
            <w:hyperlink r:id="rId100">
              <w:r>
                <w:rPr>
                  <w:rFonts w:ascii="Arial" w:cs="Arial" w:eastAsia="Arial" w:hAnsi="Arial"/>
                  <w:sz w:val="18"/>
                  <w:szCs w:val="18"/>
                  <w:color w:val="0000FF"/>
                </w:rPr>
                <w:t>2023</w:t>
              </w:r>
            </w:hyperlink>
          </w:p>
        </w:tc>
        <w:tc>
          <w:tcPr>
            <w:tcW w:w="1260" w:type="dxa"/>
            <w:vAlign w:val="bottom"/>
            <w:tcBorders>
              <w:top w:val="single" w:sz="8" w:color="0000FF"/>
            </w:tcBorders>
            <w:shd w:val="clear" w:color="auto" w:fill="CCEEFF"/>
          </w:tcPr>
          <w:p>
            <w:pPr>
              <w:spacing w:after="0"/>
              <w:rPr>
                <w:sz w:val="16"/>
                <w:szCs w:val="16"/>
                <w:color w:val="auto"/>
              </w:rPr>
            </w:pPr>
          </w:p>
        </w:tc>
        <w:tc>
          <w:tcPr>
            <w:tcW w:w="1000" w:type="dxa"/>
            <w:vAlign w:val="bottom"/>
            <w:tcBorders>
              <w:top w:val="single" w:sz="8" w:color="0000FF"/>
            </w:tcBorders>
            <w:shd w:val="clear" w:color="auto" w:fill="CCEEFF"/>
          </w:tcPr>
          <w:p>
            <w:pPr>
              <w:spacing w:after="0"/>
              <w:rPr>
                <w:sz w:val="16"/>
                <w:szCs w:val="16"/>
                <w:color w:val="auto"/>
              </w:rPr>
            </w:pPr>
          </w:p>
        </w:tc>
        <w:tc>
          <w:tcPr>
            <w:tcW w:w="520" w:type="dxa"/>
            <w:vAlign w:val="bottom"/>
            <w:tcBorders>
              <w:top w:val="single" w:sz="8" w:color="0000FF"/>
            </w:tcBorders>
            <w:shd w:val="clear" w:color="auto" w:fill="CCEEFF"/>
          </w:tcPr>
          <w:p>
            <w:pPr>
              <w:spacing w:after="0"/>
              <w:rPr>
                <w:sz w:val="16"/>
                <w:szCs w:val="16"/>
                <w:color w:val="auto"/>
              </w:rPr>
            </w:pPr>
          </w:p>
        </w:tc>
        <w:tc>
          <w:tcPr>
            <w:tcW w:w="240" w:type="dxa"/>
            <w:vAlign w:val="bottom"/>
            <w:tcBorders>
              <w:top w:val="single" w:sz="8" w:color="0000FF"/>
            </w:tcBorders>
            <w:shd w:val="clear" w:color="auto" w:fill="CCEEFF"/>
          </w:tcPr>
          <w:p>
            <w:pPr>
              <w:spacing w:after="0"/>
              <w:rPr>
                <w:sz w:val="16"/>
                <w:szCs w:val="16"/>
                <w:color w:val="auto"/>
              </w:rPr>
            </w:pPr>
          </w:p>
        </w:tc>
        <w:tc>
          <w:tcPr>
            <w:tcW w:w="280" w:type="dxa"/>
            <w:vAlign w:val="bottom"/>
            <w:tcBorders>
              <w:top w:val="single" w:sz="8" w:color="0000FF"/>
            </w:tcBorders>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spacing w:after="0"/>
              <w:rPr>
                <w:sz w:val="16"/>
                <w:szCs w:val="16"/>
                <w:color w:val="auto"/>
              </w:rPr>
            </w:pPr>
          </w:p>
        </w:tc>
        <w:tc>
          <w:tcPr>
            <w:tcW w:w="120" w:type="dxa"/>
            <w:vAlign w:val="bottom"/>
            <w:tcBorders>
              <w:top w:val="single" w:sz="8" w:color="0000FF"/>
            </w:tcBorders>
            <w:shd w:val="clear" w:color="auto" w:fill="CCEEFF"/>
          </w:tcPr>
          <w:p>
            <w:pPr>
              <w:spacing w:after="0"/>
              <w:rPr>
                <w:sz w:val="16"/>
                <w:szCs w:val="16"/>
                <w:color w:val="auto"/>
              </w:rPr>
            </w:pPr>
          </w:p>
        </w:tc>
        <w:tc>
          <w:tcPr>
            <w:tcW w:w="60" w:type="dxa"/>
            <w:vAlign w:val="bottom"/>
            <w:tcBorders>
              <w:top w:val="single" w:sz="8" w:color="0000FF"/>
            </w:tcBorders>
            <w:shd w:val="clear" w:color="auto" w:fill="CCEEFF"/>
          </w:tcPr>
          <w:p>
            <w:pPr>
              <w:spacing w:after="0"/>
              <w:rPr>
                <w:sz w:val="16"/>
                <w:szCs w:val="16"/>
                <w:color w:val="auto"/>
              </w:rPr>
            </w:pPr>
          </w:p>
        </w:tc>
        <w:tc>
          <w:tcPr>
            <w:tcW w:w="40" w:type="dxa"/>
            <w:vAlign w:val="bottom"/>
            <w:tcBorders>
              <w:top w:val="single" w:sz="8" w:color="0000FF"/>
            </w:tcBorders>
            <w:shd w:val="clear" w:color="auto" w:fill="CCEEFF"/>
          </w:tcPr>
          <w:p>
            <w:pPr>
              <w:spacing w:after="0"/>
              <w:rPr>
                <w:sz w:val="16"/>
                <w:szCs w:val="16"/>
                <w:color w:val="auto"/>
              </w:rPr>
            </w:pPr>
          </w:p>
        </w:tc>
        <w:tc>
          <w:tcPr>
            <w:tcW w:w="6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4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39291</w:t>
            </w:r>
          </w:p>
        </w:tc>
        <w:tc>
          <w:tcPr>
            <w:tcW w:w="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0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1260" w:type="dxa"/>
            <w:vAlign w:val="bottom"/>
            <w:tcBorders>
              <w:top w:val="single" w:sz="8" w:color="CCEEFF"/>
            </w:tcBorders>
          </w:tcPr>
          <w:p>
            <w:pPr>
              <w:spacing w:after="0"/>
              <w:rPr>
                <w:sz w:val="14"/>
                <w:szCs w:val="14"/>
                <w:color w:val="auto"/>
              </w:rPr>
            </w:pPr>
          </w:p>
        </w:tc>
        <w:tc>
          <w:tcPr>
            <w:tcW w:w="1000" w:type="dxa"/>
            <w:vAlign w:val="bottom"/>
            <w:tcBorders>
              <w:top w:val="single" w:sz="8" w:color="CCEEFF"/>
            </w:tcBorders>
          </w:tcPr>
          <w:p>
            <w:pPr>
              <w:spacing w:after="0"/>
              <w:rPr>
                <w:sz w:val="14"/>
                <w:szCs w:val="14"/>
                <w:color w:val="auto"/>
              </w:rPr>
            </w:pPr>
          </w:p>
        </w:tc>
        <w:tc>
          <w:tcPr>
            <w:tcW w:w="5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2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6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10.4</w:t>
            </w:r>
          </w:p>
        </w:tc>
        <w:tc>
          <w:tcPr>
            <w:tcW w:w="120" w:type="dxa"/>
            <w:vAlign w:val="bottom"/>
            <w:tcBorders>
              <w:right w:val="single" w:sz="8" w:color="CCEEFF"/>
            </w:tcBorders>
            <w:shd w:val="clear" w:color="auto" w:fill="CCEEFF"/>
          </w:tcPr>
          <w:p>
            <w:pPr>
              <w:spacing w:after="0"/>
              <w:rPr>
                <w:sz w:val="16"/>
                <w:szCs w:val="16"/>
                <w:color w:val="auto"/>
              </w:rPr>
            </w:pPr>
          </w:p>
        </w:tc>
        <w:tc>
          <w:tcPr>
            <w:tcW w:w="4640" w:type="dxa"/>
            <w:vAlign w:val="bottom"/>
            <w:gridSpan w:val="26"/>
            <w:shd w:val="clear" w:color="auto" w:fill="CCEEFF"/>
          </w:tcPr>
          <w:p>
            <w:pPr>
              <w:spacing w:after="0" w:line="189" w:lineRule="exact"/>
              <w:rPr>
                <w:rFonts w:ascii="Arial" w:cs="Arial" w:eastAsia="Arial" w:hAnsi="Arial"/>
                <w:sz w:val="18"/>
                <w:szCs w:val="18"/>
                <w:color w:val="0000FF"/>
                <w:w w:val="94"/>
              </w:rPr>
            </w:pPr>
            <w:hyperlink r:id="rId101">
              <w:r>
                <w:rPr>
                  <w:rFonts w:ascii="Arial" w:cs="Arial" w:eastAsia="Arial" w:hAnsi="Arial"/>
                  <w:sz w:val="18"/>
                  <w:szCs w:val="18"/>
                  <w:color w:val="0000FF"/>
                  <w:w w:val="94"/>
                </w:rPr>
                <w:t>Form of Securities Purchase Agreement, dated as of May 15,</w:t>
              </w:r>
            </w:hyperlink>
          </w:p>
        </w:tc>
        <w:tc>
          <w:tcPr>
            <w:tcW w:w="13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Form 8-K</w:t>
            </w:r>
          </w:p>
        </w:tc>
        <w:tc>
          <w:tcPr>
            <w:tcW w:w="12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File No. 001-</w:t>
            </w:r>
          </w:p>
        </w:tc>
        <w:tc>
          <w:tcPr>
            <w:tcW w:w="9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5"/>
              </w:rPr>
              <w:t>10.1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jc w:val="center"/>
              <w:ind w:right="90"/>
              <w:spacing w:after="0" w:line="189" w:lineRule="exact"/>
              <w:rPr>
                <w:sz w:val="20"/>
                <w:szCs w:val="20"/>
                <w:color w:val="auto"/>
              </w:rPr>
            </w:pPr>
            <w:r>
              <w:rPr>
                <w:rFonts w:ascii="Arial" w:cs="Arial" w:eastAsia="Arial" w:hAnsi="Arial"/>
                <w:sz w:val="18"/>
                <w:szCs w:val="18"/>
                <w:color w:val="auto"/>
                <w:w w:val="93"/>
              </w:rPr>
              <w:t>May 17, 2023</w:t>
            </w:r>
          </w:p>
        </w:tc>
        <w:tc>
          <w:tcPr>
            <w:tcW w:w="0" w:type="dxa"/>
            <w:vAlign w:val="bottom"/>
          </w:tcPr>
          <w:p>
            <w:pPr>
              <w:spacing w:after="0"/>
              <w:rPr>
                <w:sz w:val="1"/>
                <w:szCs w:val="1"/>
                <w:color w:val="auto"/>
              </w:rPr>
            </w:pPr>
          </w:p>
        </w:tc>
      </w:tr>
      <w:tr>
        <w:trPr>
          <w:trHeight w:val="190"/>
        </w:trPr>
        <w:tc>
          <w:tcPr>
            <w:tcW w:w="10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640" w:type="dxa"/>
            <w:vAlign w:val="bottom"/>
            <w:tcBorders>
              <w:top w:val="single" w:sz="8" w:color="0000FF"/>
            </w:tcBorders>
            <w:gridSpan w:val="3"/>
            <w:shd w:val="clear" w:color="auto" w:fill="CCEEFF"/>
          </w:tcPr>
          <w:p>
            <w:pPr>
              <w:spacing w:after="0" w:line="156" w:lineRule="exact"/>
              <w:rPr>
                <w:rFonts w:ascii="Arial" w:cs="Arial" w:eastAsia="Arial" w:hAnsi="Arial"/>
                <w:sz w:val="18"/>
                <w:szCs w:val="18"/>
                <w:color w:val="0000FF"/>
              </w:rPr>
            </w:pPr>
            <w:hyperlink r:id="rId101">
              <w:r>
                <w:rPr>
                  <w:rFonts w:ascii="Arial" w:cs="Arial" w:eastAsia="Arial" w:hAnsi="Arial"/>
                  <w:sz w:val="18"/>
                  <w:szCs w:val="18"/>
                  <w:color w:val="0000FF"/>
                </w:rPr>
                <w:t>2023</w:t>
              </w:r>
            </w:hyperlink>
          </w:p>
        </w:tc>
        <w:tc>
          <w:tcPr>
            <w:tcW w:w="1260" w:type="dxa"/>
            <w:vAlign w:val="bottom"/>
            <w:tcBorders>
              <w:top w:val="single" w:sz="8" w:color="0000FF"/>
            </w:tcBorders>
            <w:shd w:val="clear" w:color="auto" w:fill="CCEEFF"/>
          </w:tcPr>
          <w:p>
            <w:pPr>
              <w:spacing w:after="0"/>
              <w:rPr>
                <w:sz w:val="16"/>
                <w:szCs w:val="16"/>
                <w:color w:val="auto"/>
              </w:rPr>
            </w:pPr>
          </w:p>
        </w:tc>
        <w:tc>
          <w:tcPr>
            <w:tcW w:w="1000" w:type="dxa"/>
            <w:vAlign w:val="bottom"/>
            <w:tcBorders>
              <w:top w:val="single" w:sz="8" w:color="0000FF"/>
            </w:tcBorders>
            <w:shd w:val="clear" w:color="auto" w:fill="CCEEFF"/>
          </w:tcPr>
          <w:p>
            <w:pPr>
              <w:spacing w:after="0"/>
              <w:rPr>
                <w:sz w:val="16"/>
                <w:szCs w:val="16"/>
                <w:color w:val="auto"/>
              </w:rPr>
            </w:pPr>
          </w:p>
        </w:tc>
        <w:tc>
          <w:tcPr>
            <w:tcW w:w="520" w:type="dxa"/>
            <w:vAlign w:val="bottom"/>
            <w:tcBorders>
              <w:top w:val="single" w:sz="8" w:color="0000FF"/>
            </w:tcBorders>
            <w:shd w:val="clear" w:color="auto" w:fill="CCEEFF"/>
          </w:tcPr>
          <w:p>
            <w:pPr>
              <w:spacing w:after="0"/>
              <w:rPr>
                <w:sz w:val="16"/>
                <w:szCs w:val="16"/>
                <w:color w:val="auto"/>
              </w:rPr>
            </w:pPr>
          </w:p>
        </w:tc>
        <w:tc>
          <w:tcPr>
            <w:tcW w:w="240" w:type="dxa"/>
            <w:vAlign w:val="bottom"/>
            <w:tcBorders>
              <w:top w:val="single" w:sz="8" w:color="0000FF"/>
            </w:tcBorders>
            <w:shd w:val="clear" w:color="auto" w:fill="CCEEFF"/>
          </w:tcPr>
          <w:p>
            <w:pPr>
              <w:spacing w:after="0"/>
              <w:rPr>
                <w:sz w:val="16"/>
                <w:szCs w:val="16"/>
                <w:color w:val="auto"/>
              </w:rPr>
            </w:pPr>
          </w:p>
        </w:tc>
        <w:tc>
          <w:tcPr>
            <w:tcW w:w="280" w:type="dxa"/>
            <w:vAlign w:val="bottom"/>
            <w:tcBorders>
              <w:top w:val="single" w:sz="8" w:color="0000FF"/>
            </w:tcBorders>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spacing w:after="0"/>
              <w:rPr>
                <w:sz w:val="16"/>
                <w:szCs w:val="16"/>
                <w:color w:val="auto"/>
              </w:rPr>
            </w:pPr>
          </w:p>
        </w:tc>
        <w:tc>
          <w:tcPr>
            <w:tcW w:w="120" w:type="dxa"/>
            <w:vAlign w:val="bottom"/>
            <w:tcBorders>
              <w:top w:val="single" w:sz="8" w:color="0000FF"/>
            </w:tcBorders>
            <w:shd w:val="clear" w:color="auto" w:fill="CCEEFF"/>
          </w:tcPr>
          <w:p>
            <w:pPr>
              <w:spacing w:after="0"/>
              <w:rPr>
                <w:sz w:val="16"/>
                <w:szCs w:val="16"/>
                <w:color w:val="auto"/>
              </w:rPr>
            </w:pPr>
          </w:p>
        </w:tc>
        <w:tc>
          <w:tcPr>
            <w:tcW w:w="60" w:type="dxa"/>
            <w:vAlign w:val="bottom"/>
            <w:tcBorders>
              <w:top w:val="single" w:sz="8" w:color="0000FF"/>
            </w:tcBorders>
            <w:shd w:val="clear" w:color="auto" w:fill="CCEEFF"/>
          </w:tcPr>
          <w:p>
            <w:pPr>
              <w:spacing w:after="0"/>
              <w:rPr>
                <w:sz w:val="16"/>
                <w:szCs w:val="16"/>
                <w:color w:val="auto"/>
              </w:rPr>
            </w:pPr>
          </w:p>
        </w:tc>
        <w:tc>
          <w:tcPr>
            <w:tcW w:w="40" w:type="dxa"/>
            <w:vAlign w:val="bottom"/>
            <w:tcBorders>
              <w:top w:val="single" w:sz="8" w:color="0000FF"/>
            </w:tcBorders>
            <w:shd w:val="clear" w:color="auto" w:fill="CCEEFF"/>
          </w:tcPr>
          <w:p>
            <w:pPr>
              <w:spacing w:after="0"/>
              <w:rPr>
                <w:sz w:val="16"/>
                <w:szCs w:val="16"/>
                <w:color w:val="auto"/>
              </w:rPr>
            </w:pPr>
          </w:p>
        </w:tc>
        <w:tc>
          <w:tcPr>
            <w:tcW w:w="6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39291</w:t>
            </w:r>
          </w:p>
        </w:tc>
        <w:tc>
          <w:tcPr>
            <w:tcW w:w="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0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1260" w:type="dxa"/>
            <w:vAlign w:val="bottom"/>
            <w:tcBorders>
              <w:top w:val="single" w:sz="8" w:color="CCEEFF"/>
            </w:tcBorders>
          </w:tcPr>
          <w:p>
            <w:pPr>
              <w:spacing w:after="0"/>
              <w:rPr>
                <w:sz w:val="14"/>
                <w:szCs w:val="14"/>
                <w:color w:val="auto"/>
              </w:rPr>
            </w:pPr>
          </w:p>
        </w:tc>
        <w:tc>
          <w:tcPr>
            <w:tcW w:w="1000" w:type="dxa"/>
            <w:vAlign w:val="bottom"/>
            <w:tcBorders>
              <w:top w:val="single" w:sz="8" w:color="CCEEFF"/>
            </w:tcBorders>
          </w:tcPr>
          <w:p>
            <w:pPr>
              <w:spacing w:after="0"/>
              <w:rPr>
                <w:sz w:val="14"/>
                <w:szCs w:val="14"/>
                <w:color w:val="auto"/>
              </w:rPr>
            </w:pPr>
          </w:p>
        </w:tc>
        <w:tc>
          <w:tcPr>
            <w:tcW w:w="5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2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6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31.1*</w:t>
            </w:r>
          </w:p>
        </w:tc>
        <w:tc>
          <w:tcPr>
            <w:tcW w:w="120" w:type="dxa"/>
            <w:vAlign w:val="bottom"/>
            <w:tcBorders>
              <w:right w:val="single" w:sz="8" w:color="CCEEFF"/>
            </w:tcBorders>
            <w:shd w:val="clear" w:color="auto" w:fill="CCEEFF"/>
          </w:tcPr>
          <w:p>
            <w:pPr>
              <w:spacing w:after="0"/>
              <w:rPr>
                <w:sz w:val="16"/>
                <w:szCs w:val="16"/>
                <w:color w:val="auto"/>
              </w:rPr>
            </w:pPr>
          </w:p>
        </w:tc>
        <w:tc>
          <w:tcPr>
            <w:tcW w:w="4640" w:type="dxa"/>
            <w:vAlign w:val="bottom"/>
            <w:gridSpan w:val="26"/>
            <w:shd w:val="clear" w:color="auto" w:fill="CCEEFF"/>
          </w:tcPr>
          <w:p>
            <w:pPr>
              <w:spacing w:after="0" w:line="189" w:lineRule="exact"/>
              <w:rPr>
                <w:sz w:val="20"/>
                <w:szCs w:val="20"/>
                <w:color w:val="auto"/>
              </w:rPr>
            </w:pPr>
            <w:r>
              <w:rPr>
                <w:rFonts w:ascii="Arial" w:cs="Arial" w:eastAsia="Arial" w:hAnsi="Arial"/>
                <w:sz w:val="18"/>
                <w:szCs w:val="18"/>
                <w:color w:val="0000FF"/>
                <w:w w:val="95"/>
              </w:rPr>
              <w:t>Certification of Chief Executive Officer pursuant to Exchange</w:t>
            </w: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4540" w:type="dxa"/>
            <w:vAlign w:val="bottom"/>
            <w:tcBorders>
              <w:top w:val="single" w:sz="8" w:color="0000FF"/>
              <w:bottom w:val="single" w:sz="8" w:color="0000FF"/>
            </w:tcBorders>
            <w:gridSpan w:val="22"/>
            <w:shd w:val="clear" w:color="auto" w:fill="CCEEFF"/>
          </w:tcPr>
          <w:p>
            <w:pPr>
              <w:spacing w:after="0" w:line="156" w:lineRule="exact"/>
              <w:rPr>
                <w:sz w:val="20"/>
                <w:szCs w:val="20"/>
                <w:color w:val="auto"/>
              </w:rPr>
            </w:pPr>
            <w:r>
              <w:rPr>
                <w:rFonts w:ascii="Arial" w:cs="Arial" w:eastAsia="Arial" w:hAnsi="Arial"/>
                <w:sz w:val="18"/>
                <w:szCs w:val="18"/>
                <w:color w:val="0000FF"/>
                <w:w w:val="95"/>
              </w:rPr>
              <w:t>Act Rules 13a-14(a) and 15d-14(a), as adopted pursuant to</w:t>
            </w: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2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1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164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0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560" w:type="dxa"/>
            <w:vAlign w:val="bottom"/>
            <w:gridSpan w:val="23"/>
            <w:shd w:val="clear" w:color="auto" w:fill="CCEEFF"/>
          </w:tcPr>
          <w:p>
            <w:pPr>
              <w:spacing w:after="0" w:line="156" w:lineRule="exact"/>
              <w:rPr>
                <w:sz w:val="20"/>
                <w:szCs w:val="20"/>
                <w:color w:val="auto"/>
              </w:rPr>
            </w:pPr>
            <w:r>
              <w:rPr>
                <w:rFonts w:ascii="Arial" w:cs="Arial" w:eastAsia="Arial" w:hAnsi="Arial"/>
                <w:sz w:val="18"/>
                <w:szCs w:val="18"/>
                <w:color w:val="0000FF"/>
              </w:rPr>
              <w:t>Section 302 of the Sarbanes-Oxley Act of 2002</w:t>
            </w:r>
          </w:p>
        </w:tc>
        <w:tc>
          <w:tcPr>
            <w:tcW w:w="20" w:type="dxa"/>
            <w:vAlign w:val="bottom"/>
            <w:shd w:val="clear" w:color="auto" w:fill="CCEEFF"/>
          </w:tcPr>
          <w:p>
            <w:pPr>
              <w:spacing w:after="0"/>
              <w:rPr>
                <w:sz w:val="16"/>
                <w:szCs w:val="16"/>
                <w:color w:val="auto"/>
              </w:rPr>
            </w:pPr>
          </w:p>
        </w:tc>
        <w:tc>
          <w:tcPr>
            <w:tcW w:w="60" w:type="dxa"/>
            <w:vAlign w:val="bottom"/>
            <w:gridSpan w:val="2"/>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0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260" w:type="dxa"/>
            <w:vAlign w:val="bottom"/>
            <w:tcBorders>
              <w:top w:val="single" w:sz="8" w:color="0000FF"/>
            </w:tcBorders>
          </w:tcPr>
          <w:p>
            <w:pPr>
              <w:spacing w:after="0"/>
              <w:rPr>
                <w:sz w:val="14"/>
                <w:szCs w:val="14"/>
                <w:color w:val="auto"/>
              </w:rPr>
            </w:pPr>
          </w:p>
        </w:tc>
        <w:tc>
          <w:tcPr>
            <w:tcW w:w="100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2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6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31.2*</w:t>
            </w:r>
          </w:p>
        </w:tc>
        <w:tc>
          <w:tcPr>
            <w:tcW w:w="120" w:type="dxa"/>
            <w:vAlign w:val="bottom"/>
            <w:tcBorders>
              <w:right w:val="single" w:sz="8" w:color="CCEEFF"/>
            </w:tcBorders>
            <w:shd w:val="clear" w:color="auto" w:fill="CCEEFF"/>
          </w:tcPr>
          <w:p>
            <w:pPr>
              <w:spacing w:after="0"/>
              <w:rPr>
                <w:sz w:val="16"/>
                <w:szCs w:val="16"/>
                <w:color w:val="auto"/>
              </w:rPr>
            </w:pPr>
          </w:p>
        </w:tc>
        <w:tc>
          <w:tcPr>
            <w:tcW w:w="4640" w:type="dxa"/>
            <w:vAlign w:val="bottom"/>
            <w:gridSpan w:val="26"/>
            <w:shd w:val="clear" w:color="auto" w:fill="CCEEFF"/>
          </w:tcPr>
          <w:p>
            <w:pPr>
              <w:spacing w:after="0" w:line="189" w:lineRule="exact"/>
              <w:rPr>
                <w:sz w:val="20"/>
                <w:szCs w:val="20"/>
                <w:color w:val="auto"/>
              </w:rPr>
            </w:pPr>
            <w:r>
              <w:rPr>
                <w:rFonts w:ascii="Arial" w:cs="Arial" w:eastAsia="Arial" w:hAnsi="Arial"/>
                <w:sz w:val="18"/>
                <w:szCs w:val="18"/>
                <w:color w:val="0000FF"/>
                <w:w w:val="96"/>
              </w:rPr>
              <w:t>Certification of Chief Financial Officer pursuant to Exchange</w:t>
            </w: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4580" w:type="dxa"/>
            <w:vAlign w:val="bottom"/>
            <w:tcBorders>
              <w:top w:val="single" w:sz="8" w:color="0000FF"/>
            </w:tcBorders>
            <w:gridSpan w:val="24"/>
            <w:shd w:val="clear" w:color="auto" w:fill="CCEEFF"/>
          </w:tcPr>
          <w:p>
            <w:pPr>
              <w:spacing w:after="0" w:line="156" w:lineRule="exact"/>
              <w:rPr>
                <w:sz w:val="20"/>
                <w:szCs w:val="20"/>
                <w:color w:val="auto"/>
              </w:rPr>
            </w:pPr>
            <w:r>
              <w:rPr>
                <w:rFonts w:ascii="Arial" w:cs="Arial" w:eastAsia="Arial" w:hAnsi="Arial"/>
                <w:sz w:val="18"/>
                <w:szCs w:val="18"/>
                <w:color w:val="0000FF"/>
                <w:w w:val="96"/>
              </w:rPr>
              <w:t>Act Rules 13a-14(a) and 15d-14(a), as adopted pursuant to</w:t>
            </w:r>
          </w:p>
        </w:tc>
        <w:tc>
          <w:tcPr>
            <w:tcW w:w="60" w:type="dxa"/>
            <w:vAlign w:val="bottom"/>
            <w:tcBorders>
              <w:top w:val="single" w:sz="8" w:color="CCEEFF"/>
            </w:tcBorders>
            <w:gridSpan w:val="2"/>
            <w:shd w:val="clear" w:color="auto" w:fill="CCEEFF"/>
          </w:tcPr>
          <w:p>
            <w:pPr>
              <w:spacing w:after="0"/>
              <w:rPr>
                <w:sz w:val="13"/>
                <w:szCs w:val="13"/>
                <w:color w:val="auto"/>
              </w:rPr>
            </w:pPr>
          </w:p>
        </w:tc>
        <w:tc>
          <w:tcPr>
            <w:tcW w:w="12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6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0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4560" w:type="dxa"/>
            <w:vAlign w:val="bottom"/>
            <w:tcBorders>
              <w:top w:val="single" w:sz="8" w:color="0000FF"/>
            </w:tcBorders>
            <w:gridSpan w:val="23"/>
            <w:shd w:val="clear" w:color="auto" w:fill="CCEEFF"/>
          </w:tcPr>
          <w:p>
            <w:pPr>
              <w:spacing w:after="0" w:line="156" w:lineRule="exact"/>
              <w:rPr>
                <w:sz w:val="20"/>
                <w:szCs w:val="20"/>
                <w:color w:val="auto"/>
              </w:rPr>
            </w:pPr>
            <w:r>
              <w:rPr>
                <w:rFonts w:ascii="Arial" w:cs="Arial" w:eastAsia="Arial" w:hAnsi="Arial"/>
                <w:sz w:val="18"/>
                <w:szCs w:val="18"/>
                <w:color w:val="0000FF"/>
              </w:rPr>
              <w:t>Section 302 of the Sarbanes-Oxley Act of 2002</w:t>
            </w:r>
          </w:p>
        </w:tc>
        <w:tc>
          <w:tcPr>
            <w:tcW w:w="80" w:type="dxa"/>
            <w:vAlign w:val="bottom"/>
            <w:tcBorders>
              <w:top w:val="single" w:sz="8" w:color="CCEEFF"/>
            </w:tcBorders>
            <w:gridSpan w:val="3"/>
            <w:shd w:val="clear" w:color="auto" w:fill="CCEEFF"/>
          </w:tcPr>
          <w:p>
            <w:pPr>
              <w:spacing w:after="0"/>
              <w:rPr>
                <w:sz w:val="16"/>
                <w:szCs w:val="16"/>
                <w:color w:val="auto"/>
              </w:rPr>
            </w:pPr>
          </w:p>
        </w:tc>
        <w:tc>
          <w:tcPr>
            <w:tcW w:w="1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0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260" w:type="dxa"/>
            <w:vAlign w:val="bottom"/>
            <w:tcBorders>
              <w:top w:val="single" w:sz="8" w:color="0000FF"/>
            </w:tcBorders>
          </w:tcPr>
          <w:p>
            <w:pPr>
              <w:spacing w:after="0"/>
              <w:rPr>
                <w:sz w:val="14"/>
                <w:szCs w:val="14"/>
                <w:color w:val="auto"/>
              </w:rPr>
            </w:pPr>
          </w:p>
        </w:tc>
        <w:tc>
          <w:tcPr>
            <w:tcW w:w="100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2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6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32*</w:t>
            </w:r>
          </w:p>
        </w:tc>
        <w:tc>
          <w:tcPr>
            <w:tcW w:w="120" w:type="dxa"/>
            <w:vAlign w:val="bottom"/>
            <w:tcBorders>
              <w:right w:val="single" w:sz="8" w:color="CCEEFF"/>
            </w:tcBorders>
            <w:shd w:val="clear" w:color="auto" w:fill="CCEEFF"/>
          </w:tcPr>
          <w:p>
            <w:pPr>
              <w:spacing w:after="0"/>
              <w:rPr>
                <w:sz w:val="16"/>
                <w:szCs w:val="16"/>
                <w:color w:val="auto"/>
              </w:rPr>
            </w:pPr>
          </w:p>
        </w:tc>
        <w:tc>
          <w:tcPr>
            <w:tcW w:w="4640" w:type="dxa"/>
            <w:vAlign w:val="bottom"/>
            <w:gridSpan w:val="26"/>
            <w:shd w:val="clear" w:color="auto" w:fill="CCEEFF"/>
          </w:tcPr>
          <w:p>
            <w:pPr>
              <w:spacing w:after="0" w:line="189" w:lineRule="exact"/>
              <w:rPr>
                <w:sz w:val="20"/>
                <w:szCs w:val="20"/>
                <w:color w:val="auto"/>
              </w:rPr>
            </w:pPr>
            <w:r>
              <w:rPr>
                <w:rFonts w:ascii="Arial" w:cs="Arial" w:eastAsia="Arial" w:hAnsi="Arial"/>
                <w:sz w:val="18"/>
                <w:szCs w:val="18"/>
                <w:color w:val="0000FF"/>
                <w:w w:val="99"/>
              </w:rPr>
              <w:t>Certification of Chief Executive Officer and Chief Financial</w:t>
            </w: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4500" w:type="dxa"/>
            <w:vAlign w:val="bottom"/>
            <w:tcBorders>
              <w:top w:val="single" w:sz="8" w:color="0000FF"/>
              <w:bottom w:val="single" w:sz="8" w:color="0000FF"/>
            </w:tcBorders>
            <w:gridSpan w:val="20"/>
            <w:shd w:val="clear" w:color="auto" w:fill="CCEEFF"/>
          </w:tcPr>
          <w:p>
            <w:pPr>
              <w:spacing w:after="0" w:line="156" w:lineRule="exact"/>
              <w:rPr>
                <w:sz w:val="20"/>
                <w:szCs w:val="20"/>
                <w:color w:val="auto"/>
              </w:rPr>
            </w:pPr>
            <w:r>
              <w:rPr>
                <w:rFonts w:ascii="Arial" w:cs="Arial" w:eastAsia="Arial" w:hAnsi="Arial"/>
                <w:sz w:val="18"/>
                <w:szCs w:val="18"/>
                <w:color w:val="0000FF"/>
              </w:rPr>
              <w:t>Officer pursuant to 18 U.S.C. Section 1350, as adopted</w:t>
            </w: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gridSpan w:val="5"/>
            <w:shd w:val="clear" w:color="auto" w:fill="CCEEFF"/>
          </w:tcPr>
          <w:p>
            <w:pPr>
              <w:spacing w:after="0"/>
              <w:rPr>
                <w:sz w:val="13"/>
                <w:szCs w:val="13"/>
                <w:color w:val="auto"/>
              </w:rPr>
            </w:pPr>
          </w:p>
        </w:tc>
        <w:tc>
          <w:tcPr>
            <w:tcW w:w="12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1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164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0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520" w:type="dxa"/>
            <w:vAlign w:val="bottom"/>
            <w:gridSpan w:val="21"/>
            <w:shd w:val="clear" w:color="auto" w:fill="CCEEFF"/>
          </w:tcPr>
          <w:p>
            <w:pPr>
              <w:spacing w:after="0" w:line="156" w:lineRule="exact"/>
              <w:rPr>
                <w:sz w:val="20"/>
                <w:szCs w:val="20"/>
                <w:color w:val="auto"/>
              </w:rPr>
            </w:pPr>
            <w:r>
              <w:rPr>
                <w:rFonts w:ascii="Arial" w:cs="Arial" w:eastAsia="Arial" w:hAnsi="Arial"/>
                <w:sz w:val="18"/>
                <w:szCs w:val="18"/>
                <w:color w:val="0000FF"/>
                <w:w w:val="95"/>
              </w:rPr>
              <w:t>pursuant to Section 906 of the Sarbanes-Oxley Act of 2002</w:t>
            </w:r>
          </w:p>
        </w:tc>
        <w:tc>
          <w:tcPr>
            <w:tcW w:w="120" w:type="dxa"/>
            <w:vAlign w:val="bottom"/>
            <w:gridSpan w:val="5"/>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0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260" w:type="dxa"/>
            <w:vAlign w:val="bottom"/>
            <w:tcBorders>
              <w:top w:val="single" w:sz="8" w:color="0000FF"/>
            </w:tcBorders>
          </w:tcPr>
          <w:p>
            <w:pPr>
              <w:spacing w:after="0"/>
              <w:rPr>
                <w:sz w:val="14"/>
                <w:szCs w:val="14"/>
                <w:color w:val="auto"/>
              </w:rPr>
            </w:pPr>
          </w:p>
        </w:tc>
        <w:tc>
          <w:tcPr>
            <w:tcW w:w="100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2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6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140" w:type="dxa"/>
            <w:vAlign w:val="bottom"/>
            <w:tcBorders>
              <w:right w:val="single" w:sz="8" w:color="CCEEFF"/>
            </w:tcBorders>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101.INS</w:t>
            </w:r>
          </w:p>
        </w:tc>
        <w:tc>
          <w:tcPr>
            <w:tcW w:w="464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color w:val="auto"/>
                <w:w w:val="96"/>
              </w:rPr>
              <w:t>XBRL Instance Document - the instance document does not</w:t>
            </w: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464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color w:val="auto"/>
                <w:w w:val="94"/>
              </w:rPr>
              <w:t>appear in the Interactive Data File because its XBRL tags are</w:t>
            </w: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0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4640" w:type="dxa"/>
            <w:vAlign w:val="bottom"/>
            <w:gridSpan w:val="26"/>
            <w:shd w:val="clear" w:color="auto" w:fill="CCEEFF"/>
          </w:tcPr>
          <w:p>
            <w:pPr>
              <w:spacing w:after="0"/>
              <w:rPr>
                <w:sz w:val="20"/>
                <w:szCs w:val="20"/>
                <w:color w:val="auto"/>
              </w:rPr>
            </w:pPr>
            <w:r>
              <w:rPr>
                <w:rFonts w:ascii="Arial" w:cs="Arial" w:eastAsia="Arial" w:hAnsi="Arial"/>
                <w:sz w:val="18"/>
                <w:szCs w:val="18"/>
                <w:color w:val="auto"/>
              </w:rPr>
              <w:t>embedded within the Inline XBRL document.</w:t>
            </w: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Exhibit</w:t>
            </w:r>
          </w:p>
        </w:tc>
        <w:tc>
          <w:tcPr>
            <w:tcW w:w="4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ind w:left="340"/>
              <w:spacing w:after="0"/>
              <w:rPr>
                <w:sz w:val="20"/>
                <w:szCs w:val="20"/>
                <w:color w:val="auto"/>
              </w:rPr>
            </w:pPr>
            <w:r>
              <w:rPr>
                <w:rFonts w:ascii="Arial" w:cs="Arial" w:eastAsia="Arial" w:hAnsi="Arial"/>
                <w:sz w:val="18"/>
                <w:szCs w:val="18"/>
                <w:b w:val="1"/>
                <w:bCs w:val="1"/>
                <w:color w:val="auto"/>
                <w:w w:val="97"/>
              </w:rPr>
              <w:t>Incorporated by Reference</w:t>
            </w:r>
          </w:p>
        </w:tc>
        <w:tc>
          <w:tcPr>
            <w:tcW w:w="1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1120" w:type="dxa"/>
            <w:vAlign w:val="bottom"/>
            <w:gridSpan w:val="2"/>
            <w:vMerge w:val="continue"/>
          </w:tcPr>
          <w:p>
            <w:pPr>
              <w:spacing w:after="0"/>
              <w:rPr>
                <w:sz w:val="14"/>
                <w:szCs w:val="14"/>
                <w:color w:val="auto"/>
              </w:rPr>
            </w:pPr>
          </w:p>
        </w:tc>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4660" w:type="dxa"/>
            <w:vAlign w:val="bottom"/>
            <w:gridSpan w:val="2"/>
          </w:tcPr>
          <w:p>
            <w:pPr>
              <w:ind w:left="1320"/>
              <w:spacing w:after="0"/>
              <w:rPr>
                <w:sz w:val="20"/>
                <w:szCs w:val="20"/>
                <w:color w:val="auto"/>
              </w:rPr>
            </w:pPr>
            <w:r>
              <w:rPr>
                <w:rFonts w:ascii="Arial" w:cs="Arial" w:eastAsia="Arial" w:hAnsi="Arial"/>
                <w:sz w:val="18"/>
                <w:szCs w:val="18"/>
                <w:b w:val="1"/>
                <w:bCs w:val="1"/>
                <w:color w:val="auto"/>
              </w:rPr>
              <w:t>Description of Document</w:t>
            </w:r>
          </w:p>
        </w:tc>
        <w:tc>
          <w:tcPr>
            <w:tcW w:w="2620" w:type="dxa"/>
            <w:vAlign w:val="bottom"/>
            <w:gridSpan w:val="4"/>
          </w:tcPr>
          <w:p>
            <w:pPr>
              <w:ind w:left="40"/>
              <w:spacing w:after="0"/>
              <w:rPr>
                <w:sz w:val="20"/>
                <w:szCs w:val="20"/>
                <w:color w:val="auto"/>
              </w:rPr>
            </w:pPr>
            <w:r>
              <w:rPr>
                <w:rFonts w:ascii="Arial" w:cs="Arial" w:eastAsia="Arial" w:hAnsi="Arial"/>
                <w:sz w:val="18"/>
                <w:szCs w:val="18"/>
                <w:b w:val="1"/>
                <w:bCs w:val="1"/>
                <w:color w:val="auto"/>
              </w:rPr>
              <w:t>Schedule/Form   File Number</w:t>
            </w:r>
          </w:p>
        </w:tc>
        <w:tc>
          <w:tcPr>
            <w:tcW w:w="1320" w:type="dxa"/>
            <w:vAlign w:val="bottom"/>
            <w:gridSpan w:val="3"/>
          </w:tcPr>
          <w:p>
            <w:pPr>
              <w:ind w:left="140"/>
              <w:spacing w:after="0"/>
              <w:rPr>
                <w:sz w:val="20"/>
                <w:szCs w:val="20"/>
                <w:color w:val="auto"/>
              </w:rPr>
            </w:pPr>
            <w:r>
              <w:rPr>
                <w:rFonts w:ascii="Arial" w:cs="Arial" w:eastAsia="Arial" w:hAnsi="Arial"/>
                <w:sz w:val="18"/>
                <w:szCs w:val="18"/>
                <w:b w:val="1"/>
                <w:bCs w:val="1"/>
                <w:color w:val="auto"/>
              </w:rPr>
              <w:t>Exhibits</w:t>
            </w:r>
          </w:p>
        </w:tc>
        <w:tc>
          <w:tcPr>
            <w:tcW w:w="1520" w:type="dxa"/>
            <w:vAlign w:val="bottom"/>
          </w:tcPr>
          <w:p>
            <w:pPr>
              <w:ind w:left="180"/>
              <w:spacing w:after="0"/>
              <w:rPr>
                <w:sz w:val="20"/>
                <w:szCs w:val="20"/>
                <w:color w:val="auto"/>
              </w:rPr>
            </w:pPr>
            <w:r>
              <w:rPr>
                <w:rFonts w:ascii="Arial" w:cs="Arial" w:eastAsia="Arial" w:hAnsi="Arial"/>
                <w:sz w:val="18"/>
                <w:szCs w:val="18"/>
                <w:b w:val="1"/>
                <w:bCs w:val="1"/>
                <w:color w:val="auto"/>
              </w:rPr>
              <w:t>Filing Date</w:t>
            </w:r>
          </w:p>
        </w:tc>
        <w:tc>
          <w:tcPr>
            <w:tcW w:w="0" w:type="dxa"/>
            <w:vAlign w:val="bottom"/>
          </w:tcPr>
          <w:p>
            <w:pPr>
              <w:spacing w:after="0"/>
              <w:rPr>
                <w:sz w:val="1"/>
                <w:szCs w:val="1"/>
                <w:color w:val="auto"/>
              </w:rPr>
            </w:pPr>
          </w:p>
        </w:tc>
      </w:tr>
      <w:tr>
        <w:trPr>
          <w:trHeight w:val="223"/>
        </w:trPr>
        <w:tc>
          <w:tcPr>
            <w:tcW w:w="1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101.SCH</w:t>
            </w:r>
          </w:p>
        </w:tc>
        <w:tc>
          <w:tcPr>
            <w:tcW w:w="100" w:type="dxa"/>
            <w:vAlign w:val="bottom"/>
            <w:tcBorders>
              <w:top w:val="single" w:sz="8" w:color="CCEEFF"/>
            </w:tcBorders>
            <w:shd w:val="clear" w:color="auto" w:fill="CCEEFF"/>
          </w:tcPr>
          <w:p>
            <w:pPr>
              <w:spacing w:after="0"/>
              <w:rPr>
                <w:sz w:val="19"/>
                <w:szCs w:val="19"/>
                <w:color w:val="auto"/>
              </w:rPr>
            </w:pPr>
          </w:p>
        </w:tc>
        <w:tc>
          <w:tcPr>
            <w:tcW w:w="4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101.CAL</w:t>
            </w:r>
          </w:p>
        </w:tc>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6"/>
              </w:rPr>
              <w:t>XBRL Taxonomy Extension Calculation Linkbase Document</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101.DEF</w:t>
            </w:r>
          </w:p>
        </w:tc>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XBRL Taxonomy Extension Definition Linkbase Document</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XBRL Taxonomy Extension Label Linkbase Document</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101.PRE</w:t>
            </w:r>
          </w:p>
        </w:tc>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XBRL Taxonomy Extension Presentation Linkbase Document</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140" w:right="5760" w:hanging="1114"/>
        <w:spacing w:after="0" w:line="261"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291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3" w:lineRule="exact"/>
        <w:rPr>
          <w:sz w:val="20"/>
          <w:szCs w:val="20"/>
          <w:color w:val="auto"/>
        </w:rPr>
      </w:pPr>
    </w:p>
    <w:p>
      <w:pPr>
        <w:ind w:left="340" w:hanging="332"/>
        <w:spacing w:after="0" w:line="250" w:lineRule="auto"/>
        <w:tabs>
          <w:tab w:leader="none" w:pos="349"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1"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70" w:lineRule="exact"/>
        <w:rPr>
          <w:sz w:val="20"/>
          <w:szCs w:val="20"/>
          <w:color w:val="auto"/>
        </w:rPr>
      </w:pPr>
    </w:p>
    <w:p>
      <w:pPr>
        <w:ind w:left="340" w:hanging="332"/>
        <w:spacing w:after="0" w:line="277" w:lineRule="auto"/>
        <w:tabs>
          <w:tab w:leader="none" w:pos="334"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The financial statements filed as part of this registration statement are listed in the index to the financial statements immediately</w:t>
      </w:r>
      <w:r>
        <w:rPr>
          <w:rFonts w:ascii="Arial" w:cs="Arial" w:eastAsia="Arial" w:hAnsi="Arial"/>
          <w:sz w:val="18"/>
          <w:szCs w:val="18"/>
          <w:i w:val="1"/>
          <w:iCs w:val="1"/>
          <w:color w:val="auto"/>
        </w:rPr>
        <w:t xml:space="preserve"> </w:t>
      </w:r>
      <w:r>
        <w:rPr>
          <w:rFonts w:ascii="Arial" w:cs="Arial" w:eastAsia="Arial" w:hAnsi="Arial"/>
          <w:sz w:val="18"/>
          <w:szCs w:val="18"/>
          <w:color w:val="auto"/>
        </w:rPr>
        <w:t>preceding such financial statements, which index to the financial statements is incorporated herein by reference.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6760" w:type="dxa"/>
            <w:vAlign w:val="bottom"/>
            <w:gridSpan w:val="3"/>
          </w:tcPr>
          <w:p>
            <w:pPr>
              <w:ind w:left="2560"/>
              <w:spacing w:after="0"/>
              <w:rPr>
                <w:sz w:val="20"/>
                <w:szCs w:val="20"/>
                <w:color w:val="auto"/>
              </w:rPr>
            </w:pPr>
            <w:r>
              <w:rPr>
                <w:rFonts w:ascii="Arial" w:cs="Arial" w:eastAsia="Arial" w:hAnsi="Arial"/>
                <w:sz w:val="18"/>
                <w:szCs w:val="18"/>
                <w:b w:val="1"/>
                <w:bCs w:val="1"/>
                <w:color w:val="auto"/>
              </w:rPr>
              <w:t>EOS ENERGY ENTERPRISES, INC.</w:t>
            </w:r>
          </w:p>
        </w:tc>
        <w:tc>
          <w:tcPr>
            <w:tcW w:w="120" w:type="dxa"/>
            <w:vAlign w:val="bottom"/>
          </w:tcPr>
          <w:p>
            <w:pPr>
              <w:spacing w:after="0"/>
              <w:rPr>
                <w:sz w:val="20"/>
                <w:szCs w:val="20"/>
                <w:color w:val="auto"/>
              </w:rPr>
            </w:pPr>
          </w:p>
        </w:tc>
      </w:tr>
      <w:tr>
        <w:trPr>
          <w:trHeight w:val="486"/>
        </w:trPr>
        <w:tc>
          <w:tcPr>
            <w:tcW w:w="4200" w:type="dxa"/>
            <w:vAlign w:val="bottom"/>
          </w:tcPr>
          <w:p>
            <w:pPr>
              <w:spacing w:after="0"/>
              <w:rPr>
                <w:sz w:val="20"/>
                <w:szCs w:val="20"/>
                <w:color w:val="auto"/>
              </w:rPr>
            </w:pPr>
            <w:r>
              <w:rPr>
                <w:rFonts w:ascii="Arial" w:cs="Arial" w:eastAsia="Arial" w:hAnsi="Arial"/>
                <w:sz w:val="18"/>
                <w:szCs w:val="18"/>
                <w:color w:val="auto"/>
              </w:rPr>
              <w:t>Date: August 14, 2023</w:t>
            </w:r>
          </w:p>
        </w:tc>
        <w:tc>
          <w:tcPr>
            <w:tcW w:w="3360" w:type="dxa"/>
            <w:vAlign w:val="bottom"/>
          </w:tcPr>
          <w:p>
            <w:pPr>
              <w:ind w:left="2560"/>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Joseph Mastrangelo</w:t>
            </w:r>
          </w:p>
        </w:tc>
        <w:tc>
          <w:tcPr>
            <w:tcW w:w="120" w:type="dxa"/>
            <w:vAlign w:val="bottom"/>
          </w:tcPr>
          <w:p>
            <w:pPr>
              <w:spacing w:after="0"/>
              <w:rPr>
                <w:sz w:val="24"/>
                <w:szCs w:val="24"/>
                <w:color w:val="auto"/>
              </w:rPr>
            </w:pPr>
          </w:p>
        </w:tc>
      </w:tr>
      <w:tr>
        <w:trPr>
          <w:trHeight w:val="223"/>
        </w:trPr>
        <w:tc>
          <w:tcPr>
            <w:tcW w:w="4200" w:type="dxa"/>
            <w:vAlign w:val="bottom"/>
          </w:tcPr>
          <w:p>
            <w:pPr>
              <w:spacing w:after="0"/>
              <w:rPr>
                <w:sz w:val="19"/>
                <w:szCs w:val="19"/>
                <w:color w:val="auto"/>
              </w:rPr>
            </w:pPr>
          </w:p>
        </w:tc>
        <w:tc>
          <w:tcPr>
            <w:tcW w:w="3360" w:type="dxa"/>
            <w:vAlign w:val="bottom"/>
          </w:tcPr>
          <w:p>
            <w:pPr>
              <w:ind w:left="2560"/>
              <w:spacing w:after="0"/>
              <w:rPr>
                <w:sz w:val="20"/>
                <w:szCs w:val="20"/>
                <w:color w:val="auto"/>
              </w:rPr>
            </w:pPr>
            <w:r>
              <w:rPr>
                <w:rFonts w:ascii="Arial" w:cs="Arial" w:eastAsia="Arial" w:hAnsi="Arial"/>
                <w:sz w:val="18"/>
                <w:szCs w:val="18"/>
                <w:color w:val="auto"/>
              </w:rPr>
              <w:t>Name:</w:t>
            </w:r>
          </w:p>
        </w:tc>
        <w:tc>
          <w:tcPr>
            <w:tcW w:w="34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Joseph Mastrangelo</w:t>
            </w:r>
          </w:p>
        </w:tc>
        <w:tc>
          <w:tcPr>
            <w:tcW w:w="120" w:type="dxa"/>
            <w:vAlign w:val="bottom"/>
          </w:tcPr>
          <w:p>
            <w:pPr>
              <w:spacing w:after="0"/>
              <w:rPr>
                <w:sz w:val="19"/>
                <w:szCs w:val="19"/>
                <w:color w:val="auto"/>
              </w:rPr>
            </w:pPr>
          </w:p>
        </w:tc>
      </w:tr>
      <w:tr>
        <w:trPr>
          <w:trHeight w:val="169"/>
        </w:trPr>
        <w:tc>
          <w:tcPr>
            <w:tcW w:w="4200" w:type="dxa"/>
            <w:vAlign w:val="bottom"/>
          </w:tcPr>
          <w:p>
            <w:pPr>
              <w:spacing w:after="0"/>
              <w:rPr>
                <w:sz w:val="14"/>
                <w:szCs w:val="14"/>
                <w:color w:val="auto"/>
              </w:rPr>
            </w:pPr>
          </w:p>
        </w:tc>
        <w:tc>
          <w:tcPr>
            <w:tcW w:w="3360" w:type="dxa"/>
            <w:vAlign w:val="bottom"/>
          </w:tcPr>
          <w:p>
            <w:pPr>
              <w:ind w:left="2560"/>
              <w:spacing w:after="0" w:line="169" w:lineRule="exact"/>
              <w:rPr>
                <w:sz w:val="20"/>
                <w:szCs w:val="20"/>
                <w:color w:val="auto"/>
              </w:rPr>
            </w:pPr>
            <w:r>
              <w:rPr>
                <w:rFonts w:ascii="Arial" w:cs="Arial" w:eastAsia="Arial" w:hAnsi="Arial"/>
                <w:sz w:val="18"/>
                <w:szCs w:val="18"/>
                <w:color w:val="auto"/>
              </w:rPr>
              <w:t>Title:</w:t>
            </w:r>
          </w:p>
        </w:tc>
        <w:tc>
          <w:tcPr>
            <w:tcW w:w="3400" w:type="dxa"/>
            <w:vAlign w:val="bottom"/>
            <w:gridSpan w:val="2"/>
          </w:tcPr>
          <w:p>
            <w:pPr>
              <w:ind w:left="20"/>
              <w:spacing w:after="0" w:line="169" w:lineRule="exact"/>
              <w:rPr>
                <w:sz w:val="20"/>
                <w:szCs w:val="20"/>
                <w:color w:val="auto"/>
              </w:rPr>
            </w:pPr>
            <w:r>
              <w:rPr>
                <w:rFonts w:ascii="Arial" w:cs="Arial" w:eastAsia="Arial" w:hAnsi="Arial"/>
                <w:sz w:val="18"/>
                <w:szCs w:val="18"/>
                <w:color w:val="auto"/>
              </w:rPr>
              <w:t>Chief Executive Officer and Director</w:t>
            </w:r>
          </w:p>
        </w:tc>
        <w:tc>
          <w:tcPr>
            <w:tcW w:w="120" w:type="dxa"/>
            <w:vAlign w:val="bottom"/>
          </w:tcPr>
          <w:p>
            <w:pPr>
              <w:spacing w:after="0"/>
              <w:rPr>
                <w:sz w:val="14"/>
                <w:szCs w:val="14"/>
                <w:color w:val="auto"/>
              </w:rPr>
            </w:pPr>
          </w:p>
        </w:tc>
      </w:tr>
      <w:tr>
        <w:trPr>
          <w:trHeight w:val="230"/>
        </w:trPr>
        <w:tc>
          <w:tcPr>
            <w:tcW w:w="42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40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120" w:type="dxa"/>
            <w:vAlign w:val="bottom"/>
          </w:tcPr>
          <w:p>
            <w:pPr>
              <w:spacing w:after="0"/>
              <w:rPr>
                <w:sz w:val="20"/>
                <w:szCs w:val="20"/>
                <w:color w:val="auto"/>
              </w:rPr>
            </w:pPr>
          </w:p>
        </w:tc>
      </w:tr>
      <w:tr>
        <w:trPr>
          <w:trHeight w:val="796"/>
        </w:trPr>
        <w:tc>
          <w:tcPr>
            <w:tcW w:w="4200" w:type="dxa"/>
            <w:vAlign w:val="bottom"/>
          </w:tcPr>
          <w:p>
            <w:pPr>
              <w:spacing w:after="0"/>
              <w:rPr>
                <w:sz w:val="20"/>
                <w:szCs w:val="20"/>
                <w:color w:val="auto"/>
              </w:rPr>
            </w:pPr>
            <w:r>
              <w:rPr>
                <w:rFonts w:ascii="Arial" w:cs="Arial" w:eastAsia="Arial" w:hAnsi="Arial"/>
                <w:sz w:val="18"/>
                <w:szCs w:val="18"/>
                <w:color w:val="auto"/>
              </w:rPr>
              <w:t>Date: August 14, 2023</w:t>
            </w:r>
          </w:p>
        </w:tc>
        <w:tc>
          <w:tcPr>
            <w:tcW w:w="3360" w:type="dxa"/>
            <w:vAlign w:val="bottom"/>
          </w:tcPr>
          <w:p>
            <w:pPr>
              <w:ind w:left="2620"/>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Nathan Kroeker</w:t>
            </w:r>
          </w:p>
        </w:tc>
        <w:tc>
          <w:tcPr>
            <w:tcW w:w="120" w:type="dxa"/>
            <w:vAlign w:val="bottom"/>
            <w:tcBorders>
              <w:bottom w:val="single" w:sz="8" w:color="auto"/>
            </w:tcBorders>
          </w:tcPr>
          <w:p>
            <w:pPr>
              <w:spacing w:after="0"/>
              <w:rPr>
                <w:sz w:val="24"/>
                <w:szCs w:val="24"/>
                <w:color w:val="auto"/>
              </w:rPr>
            </w:pPr>
          </w:p>
        </w:tc>
      </w:tr>
      <w:tr>
        <w:trPr>
          <w:trHeight w:val="223"/>
        </w:trPr>
        <w:tc>
          <w:tcPr>
            <w:tcW w:w="4200" w:type="dxa"/>
            <w:vAlign w:val="bottom"/>
          </w:tcPr>
          <w:p>
            <w:pPr>
              <w:spacing w:after="0"/>
              <w:rPr>
                <w:sz w:val="19"/>
                <w:szCs w:val="19"/>
                <w:color w:val="auto"/>
              </w:rPr>
            </w:pPr>
          </w:p>
        </w:tc>
        <w:tc>
          <w:tcPr>
            <w:tcW w:w="3360" w:type="dxa"/>
            <w:vAlign w:val="bottom"/>
          </w:tcPr>
          <w:p>
            <w:pPr>
              <w:ind w:left="2620"/>
              <w:spacing w:after="0"/>
              <w:rPr>
                <w:sz w:val="20"/>
                <w:szCs w:val="20"/>
                <w:color w:val="auto"/>
              </w:rPr>
            </w:pPr>
            <w:r>
              <w:rPr>
                <w:rFonts w:ascii="Arial" w:cs="Arial" w:eastAsia="Arial" w:hAnsi="Arial"/>
                <w:sz w:val="18"/>
                <w:szCs w:val="18"/>
                <w:color w:val="auto"/>
              </w:rPr>
              <w:t>Name:</w:t>
            </w:r>
          </w:p>
        </w:tc>
        <w:tc>
          <w:tcPr>
            <w:tcW w:w="60" w:type="dxa"/>
            <w:vAlign w:val="bottom"/>
          </w:tcPr>
          <w:p>
            <w:pPr>
              <w:spacing w:after="0"/>
              <w:rPr>
                <w:sz w:val="19"/>
                <w:szCs w:val="19"/>
                <w:color w:val="auto"/>
              </w:rPr>
            </w:pPr>
          </w:p>
        </w:tc>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Nathan Kroeker</w:t>
            </w:r>
          </w:p>
        </w:tc>
        <w:tc>
          <w:tcPr>
            <w:tcW w:w="120" w:type="dxa"/>
            <w:vAlign w:val="bottom"/>
            <w:tcBorders>
              <w:bottom w:val="single" w:sz="8" w:color="auto"/>
            </w:tcBorders>
          </w:tcPr>
          <w:p>
            <w:pPr>
              <w:spacing w:after="0"/>
              <w:rPr>
                <w:sz w:val="19"/>
                <w:szCs w:val="19"/>
                <w:color w:val="auto"/>
              </w:rPr>
            </w:pPr>
          </w:p>
        </w:tc>
      </w:tr>
      <w:tr>
        <w:trPr>
          <w:trHeight w:val="169"/>
        </w:trPr>
        <w:tc>
          <w:tcPr>
            <w:tcW w:w="4200" w:type="dxa"/>
            <w:vAlign w:val="bottom"/>
          </w:tcPr>
          <w:p>
            <w:pPr>
              <w:spacing w:after="0"/>
              <w:rPr>
                <w:sz w:val="14"/>
                <w:szCs w:val="14"/>
                <w:color w:val="auto"/>
              </w:rPr>
            </w:pPr>
          </w:p>
        </w:tc>
        <w:tc>
          <w:tcPr>
            <w:tcW w:w="3360" w:type="dxa"/>
            <w:vAlign w:val="bottom"/>
          </w:tcPr>
          <w:p>
            <w:pPr>
              <w:ind w:left="2620"/>
              <w:spacing w:after="0" w:line="169" w:lineRule="exact"/>
              <w:rPr>
                <w:sz w:val="20"/>
                <w:szCs w:val="20"/>
                <w:color w:val="auto"/>
              </w:rPr>
            </w:pPr>
            <w:r>
              <w:rPr>
                <w:rFonts w:ascii="Arial" w:cs="Arial" w:eastAsia="Arial" w:hAnsi="Arial"/>
                <w:sz w:val="18"/>
                <w:szCs w:val="18"/>
                <w:color w:val="auto"/>
              </w:rPr>
              <w:t>Title:</w:t>
            </w:r>
          </w:p>
        </w:tc>
        <w:tc>
          <w:tcPr>
            <w:tcW w:w="60" w:type="dxa"/>
            <w:vAlign w:val="bottom"/>
          </w:tcPr>
          <w:p>
            <w:pPr>
              <w:spacing w:after="0"/>
              <w:rPr>
                <w:sz w:val="14"/>
                <w:szCs w:val="14"/>
                <w:color w:val="auto"/>
              </w:rPr>
            </w:pPr>
          </w:p>
        </w:tc>
        <w:tc>
          <w:tcPr>
            <w:tcW w:w="3340" w:type="dxa"/>
            <w:vAlign w:val="bottom"/>
          </w:tcPr>
          <w:p>
            <w:pPr>
              <w:ind w:left="20"/>
              <w:spacing w:after="0" w:line="169" w:lineRule="exact"/>
              <w:rPr>
                <w:sz w:val="20"/>
                <w:szCs w:val="20"/>
                <w:color w:val="auto"/>
              </w:rPr>
            </w:pPr>
            <w:r>
              <w:rPr>
                <w:rFonts w:ascii="Arial" w:cs="Arial" w:eastAsia="Arial" w:hAnsi="Arial"/>
                <w:sz w:val="18"/>
                <w:szCs w:val="18"/>
                <w:color w:val="auto"/>
              </w:rPr>
              <w:t>Chief Financial Officer</w:t>
            </w:r>
          </w:p>
        </w:tc>
        <w:tc>
          <w:tcPr>
            <w:tcW w:w="120" w:type="dxa"/>
            <w:vAlign w:val="bottom"/>
          </w:tcPr>
          <w:p>
            <w:pPr>
              <w:spacing w:after="0"/>
              <w:rPr>
                <w:sz w:val="14"/>
                <w:szCs w:val="14"/>
                <w:color w:val="auto"/>
              </w:rPr>
            </w:pPr>
          </w:p>
        </w:tc>
      </w:tr>
      <w:tr>
        <w:trPr>
          <w:trHeight w:val="204"/>
        </w:trPr>
        <w:tc>
          <w:tcPr>
            <w:tcW w:w="42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340" w:type="dxa"/>
            <w:vAlign w:val="bottom"/>
          </w:tcPr>
          <w:p>
            <w:pPr>
              <w:ind w:left="20"/>
              <w:spacing w:after="0" w:line="204" w:lineRule="exact"/>
              <w:rPr>
                <w:sz w:val="20"/>
                <w:szCs w:val="20"/>
                <w:color w:val="auto"/>
              </w:rPr>
            </w:pPr>
            <w:r>
              <w:rPr>
                <w:rFonts w:ascii="Arial" w:cs="Arial" w:eastAsia="Arial" w:hAnsi="Arial"/>
                <w:sz w:val="18"/>
                <w:szCs w:val="18"/>
                <w:color w:val="auto"/>
              </w:rPr>
              <w:t>(Principal Financial Officer and Principal</w:t>
            </w:r>
          </w:p>
        </w:tc>
        <w:tc>
          <w:tcPr>
            <w:tcW w:w="120" w:type="dxa"/>
            <w:vAlign w:val="bottom"/>
          </w:tcPr>
          <w:p>
            <w:pPr>
              <w:spacing w:after="0"/>
              <w:rPr>
                <w:sz w:val="17"/>
                <w:szCs w:val="17"/>
                <w:color w:val="auto"/>
              </w:rPr>
            </w:pPr>
          </w:p>
        </w:tc>
      </w:tr>
    </w:tbl>
    <w:p>
      <w:pPr>
        <w:ind w:left="766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25" w:right="339" w:bottom="1440" w:gutter="0" w:footer="0" w:header="0"/>
        </w:sectPr>
      </w:pPr>
    </w:p>
    <w:bookmarkStart w:id="48" w:name="page49"/>
    <w:bookmarkEnd w:id="48"/>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ind w:left="340" w:right="1880"/>
        <w:spacing w:after="0" w:line="255"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 Joseph Mastrangelo, certify that:</w:t>
      </w:r>
    </w:p>
    <w:p>
      <w:pPr>
        <w:spacing w:after="0" w:line="104" w:lineRule="exact"/>
        <w:rPr>
          <w:sz w:val="20"/>
          <w:szCs w:val="20"/>
          <w:color w:val="auto"/>
        </w:rPr>
      </w:pPr>
    </w:p>
    <w:p>
      <w:pPr>
        <w:ind w:left="520" w:hanging="188"/>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(the “Report”) of Eos Energy Enterprises, Inc. (the “Registrant”);</w:t>
      </w:r>
    </w:p>
    <w:p>
      <w:pPr>
        <w:spacing w:after="0" w:line="90" w:lineRule="exact"/>
        <w:rPr>
          <w:rFonts w:ascii="Arial" w:cs="Arial" w:eastAsia="Arial" w:hAnsi="Arial"/>
          <w:sz w:val="18"/>
          <w:szCs w:val="18"/>
          <w:color w:val="auto"/>
        </w:rPr>
      </w:pPr>
    </w:p>
    <w:p>
      <w:pPr>
        <w:jc w:val="both"/>
        <w:ind w:left="340" w:hanging="8"/>
        <w:spacing w:after="0" w:line="263" w:lineRule="auto"/>
        <w:tabs>
          <w:tab w:leader="none" w:pos="527"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hanging="8"/>
        <w:spacing w:after="0" w:line="277" w:lineRule="auto"/>
        <w:tabs>
          <w:tab w:leader="none" w:pos="527"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left="340" w:hanging="8"/>
        <w:spacing w:after="0" w:line="263"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jc w:val="both"/>
        <w:ind w:left="660" w:hanging="4"/>
        <w:spacing w:after="0" w:line="263" w:lineRule="auto"/>
        <w:tabs>
          <w:tab w:leader="none" w:pos="8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660" w:right="20" w:hanging="4"/>
        <w:spacing w:after="0" w:line="263" w:lineRule="auto"/>
        <w:tabs>
          <w:tab w:leader="none" w:pos="869"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660" w:hanging="4"/>
        <w:spacing w:after="0" w:line="308" w:lineRule="auto"/>
        <w:tabs>
          <w:tab w:leader="none" w:pos="861"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ind w:left="660" w:right="20" w:hanging="4"/>
        <w:spacing w:after="0" w:line="342" w:lineRule="auto"/>
        <w:tabs>
          <w:tab w:leader="none" w:pos="84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 w:lineRule="exact"/>
        <w:rPr>
          <w:rFonts w:ascii="Arial" w:cs="Arial" w:eastAsia="Arial" w:hAnsi="Arial"/>
          <w:sz w:val="16"/>
          <w:szCs w:val="16"/>
          <w:color w:val="auto"/>
        </w:rPr>
      </w:pPr>
    </w:p>
    <w:p>
      <w:pPr>
        <w:ind w:left="340" w:hanging="8"/>
        <w:spacing w:after="0" w:line="308" w:lineRule="auto"/>
        <w:tabs>
          <w:tab w:leader="none" w:pos="523"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660" w:right="20" w:hanging="4"/>
        <w:spacing w:after="0" w:line="277" w:lineRule="auto"/>
        <w:tabs>
          <w:tab w:leader="none" w:pos="83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660" w:right="20" w:hanging="4"/>
        <w:spacing w:after="0" w:line="277" w:lineRule="auto"/>
        <w:tabs>
          <w:tab w:leader="none" w:pos="866"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ind w:left="20"/>
        <w:spacing w:after="0"/>
        <w:tabs>
          <w:tab w:leader="none" w:pos="5560" w:val="left"/>
          <w:tab w:leader="none" w:pos="6120" w:val="left"/>
        </w:tabs>
        <w:rPr>
          <w:sz w:val="20"/>
          <w:szCs w:val="20"/>
          <w:color w:val="auto"/>
        </w:rPr>
      </w:pPr>
      <w:r>
        <w:rPr>
          <w:rFonts w:ascii="Arial" w:cs="Arial" w:eastAsia="Arial" w:hAnsi="Arial"/>
          <w:sz w:val="18"/>
          <w:szCs w:val="18"/>
          <w:color w:val="auto"/>
        </w:rPr>
        <w:t>Date: August 14,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Joseph Mastrangelo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31750</wp:posOffset>
            </wp:positionV>
            <wp:extent cx="32486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5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Joseph Mastrangelo</w:t>
      </w:r>
    </w:p>
    <w:p>
      <w:pPr>
        <w:spacing w:after="0" w:line="6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1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440" w:right="339" w:bottom="1440" w:gutter="0" w:footer="0" w:header="0"/>
        </w:sectPr>
      </w:pPr>
    </w:p>
    <w:bookmarkStart w:id="49" w:name="page50"/>
    <w:bookmarkEnd w:id="49"/>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ind w:left="340" w:right="1880"/>
        <w:spacing w:after="0" w:line="255"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 Nathan Kroeker, certify that:</w:t>
      </w:r>
    </w:p>
    <w:p>
      <w:pPr>
        <w:spacing w:after="0" w:line="104" w:lineRule="exact"/>
        <w:rPr>
          <w:sz w:val="20"/>
          <w:szCs w:val="20"/>
          <w:color w:val="auto"/>
        </w:rPr>
      </w:pPr>
    </w:p>
    <w:p>
      <w:pPr>
        <w:ind w:left="520" w:hanging="188"/>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(the “Report”) of Eos Energy Enterprises, Inc. (the Registrant”);</w:t>
      </w:r>
    </w:p>
    <w:p>
      <w:pPr>
        <w:spacing w:after="0" w:line="90" w:lineRule="exact"/>
        <w:rPr>
          <w:rFonts w:ascii="Arial" w:cs="Arial" w:eastAsia="Arial" w:hAnsi="Arial"/>
          <w:sz w:val="18"/>
          <w:szCs w:val="18"/>
          <w:color w:val="auto"/>
        </w:rPr>
      </w:pPr>
    </w:p>
    <w:p>
      <w:pPr>
        <w:jc w:val="both"/>
        <w:ind w:left="340" w:hanging="8"/>
        <w:spacing w:after="0" w:line="263" w:lineRule="auto"/>
        <w:tabs>
          <w:tab w:leader="none" w:pos="527"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hanging="8"/>
        <w:spacing w:after="0" w:line="277" w:lineRule="auto"/>
        <w:tabs>
          <w:tab w:leader="none" w:pos="527"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left="340" w:hanging="8"/>
        <w:spacing w:after="0" w:line="263"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jc w:val="both"/>
        <w:ind w:left="660" w:hanging="4"/>
        <w:spacing w:after="0" w:line="263" w:lineRule="auto"/>
        <w:tabs>
          <w:tab w:leader="none" w:pos="8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660" w:right="20" w:hanging="4"/>
        <w:spacing w:after="0" w:line="263" w:lineRule="auto"/>
        <w:tabs>
          <w:tab w:leader="none" w:pos="869"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660" w:hanging="4"/>
        <w:spacing w:after="0" w:line="308" w:lineRule="auto"/>
        <w:tabs>
          <w:tab w:leader="none" w:pos="861"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ind w:left="660" w:right="20" w:hanging="4"/>
        <w:spacing w:after="0" w:line="342" w:lineRule="auto"/>
        <w:tabs>
          <w:tab w:leader="none" w:pos="8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 w:lineRule="exact"/>
        <w:rPr>
          <w:rFonts w:ascii="Arial" w:cs="Arial" w:eastAsia="Arial" w:hAnsi="Arial"/>
          <w:sz w:val="16"/>
          <w:szCs w:val="16"/>
          <w:color w:val="auto"/>
        </w:rPr>
      </w:pPr>
    </w:p>
    <w:p>
      <w:pPr>
        <w:ind w:left="340" w:hanging="8"/>
        <w:spacing w:after="0" w:line="308" w:lineRule="auto"/>
        <w:tabs>
          <w:tab w:leader="none" w:pos="523"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660" w:right="20" w:hanging="4"/>
        <w:spacing w:after="0" w:line="277" w:lineRule="auto"/>
        <w:tabs>
          <w:tab w:leader="none" w:pos="835"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660" w:right="20" w:hanging="4"/>
        <w:spacing w:after="0" w:line="277" w:lineRule="auto"/>
        <w:tabs>
          <w:tab w:leader="none" w:pos="866"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ind w:left="20"/>
        <w:spacing w:after="0"/>
        <w:tabs>
          <w:tab w:leader="none" w:pos="5680" w:val="left"/>
          <w:tab w:leader="none" w:pos="6240" w:val="left"/>
        </w:tabs>
        <w:rPr>
          <w:sz w:val="20"/>
          <w:szCs w:val="20"/>
          <w:color w:val="auto"/>
        </w:rPr>
      </w:pPr>
      <w:r>
        <w:rPr>
          <w:rFonts w:ascii="Arial" w:cs="Arial" w:eastAsia="Arial" w:hAnsi="Arial"/>
          <w:sz w:val="18"/>
          <w:szCs w:val="18"/>
          <w:color w:val="auto"/>
        </w:rPr>
        <w:t>Date: August 14,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Nathan Kroeker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31750</wp:posOffset>
            </wp:positionV>
            <wp:extent cx="31718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Nathan Kroeker</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ectPr>
          <w:pgSz w:w="11900" w:h="16838" w:orient="portrait"/>
          <w:cols w:equalWidth="0" w:num="1">
            <w:col w:w="11240"/>
          </w:cols>
          <w:pgMar w:left="320" w:top="1440" w:right="339" w:bottom="1440" w:gutter="0" w:footer="0" w:header="0"/>
        </w:sectPr>
      </w:pPr>
    </w:p>
    <w:bookmarkStart w:id="50" w:name="page51"/>
    <w:bookmarkEnd w:id="50"/>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38"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In connection with the Quarterly Report on Form 10-Q of Eos Energy Enterprises, Inc. (the “Registrant”), for the quarterly period ended June 30, 2023 as filed with the Securities and Exchange Commission on the date hereof (the “Report”), I, Joseph Mastrangelo, hereby certify, in the capacity and on the date indicated below, pursuant to 18 U.S.C. §1350, as adopted pursuant to Section 906 of the Sarbanes-Oxley Act of 2002, that, to my knowledge:</w:t>
      </w:r>
    </w:p>
    <w:p>
      <w:pPr>
        <w:spacing w:after="0" w:line="176" w:lineRule="exact"/>
        <w:rPr>
          <w:sz w:val="20"/>
          <w:szCs w:val="20"/>
          <w:color w:val="auto"/>
        </w:rPr>
      </w:pPr>
    </w:p>
    <w:p>
      <w:pPr>
        <w:ind w:left="640" w:hanging="308"/>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3" w:lineRule="exact"/>
        <w:rPr>
          <w:rFonts w:ascii="Arial" w:cs="Arial" w:eastAsia="Arial" w:hAnsi="Arial"/>
          <w:sz w:val="18"/>
          <w:szCs w:val="18"/>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342" w:lineRule="exact"/>
        <w:rPr>
          <w:sz w:val="20"/>
          <w:szCs w:val="20"/>
          <w:color w:val="auto"/>
        </w:rPr>
      </w:pPr>
    </w:p>
    <w:p>
      <w:pPr>
        <w:ind w:left="20"/>
        <w:spacing w:after="0"/>
        <w:tabs>
          <w:tab w:leader="none" w:pos="5560" w:val="left"/>
          <w:tab w:leader="none" w:pos="6120" w:val="left"/>
        </w:tabs>
        <w:rPr>
          <w:sz w:val="20"/>
          <w:szCs w:val="20"/>
          <w:color w:val="auto"/>
        </w:rPr>
      </w:pPr>
      <w:r>
        <w:rPr>
          <w:rFonts w:ascii="Arial" w:cs="Arial" w:eastAsia="Arial" w:hAnsi="Arial"/>
          <w:sz w:val="18"/>
          <w:szCs w:val="18"/>
          <w:color w:val="auto"/>
        </w:rPr>
        <w:t>Date: August 14,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Joseph Mastrangelo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31750</wp:posOffset>
            </wp:positionV>
            <wp:extent cx="32486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5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Joseph Mastrangelo</w:t>
      </w:r>
    </w:p>
    <w:p>
      <w:pPr>
        <w:spacing w:after="0" w:line="6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14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8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Eos Energy Enterprises, Inc. (the “Registrant”), for the quarterly period ended June 30, 2023 as filed with the Securities and Exchange Commission on the date hereof (the “Report”), I, Nathan Kroeker, hereby certify, in the capacity and on the date indicated below, pursuant to 18 U.S.C. §1350, as adopted pursuant to Section 906 of the Sarbanes-Oxley Act of 2002, that, to my knowledge:</w:t>
      </w:r>
    </w:p>
    <w:p>
      <w:pPr>
        <w:spacing w:after="0" w:line="192" w:lineRule="exact"/>
        <w:rPr>
          <w:sz w:val="20"/>
          <w:szCs w:val="20"/>
          <w:color w:val="auto"/>
        </w:rPr>
      </w:pPr>
    </w:p>
    <w:p>
      <w:pPr>
        <w:ind w:left="640" w:hanging="308"/>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3" w:lineRule="exact"/>
        <w:rPr>
          <w:rFonts w:ascii="Arial" w:cs="Arial" w:eastAsia="Arial" w:hAnsi="Arial"/>
          <w:sz w:val="18"/>
          <w:szCs w:val="18"/>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342" w:lineRule="exact"/>
        <w:rPr>
          <w:sz w:val="20"/>
          <w:szCs w:val="20"/>
          <w:color w:val="auto"/>
        </w:rPr>
      </w:pPr>
    </w:p>
    <w:p>
      <w:pPr>
        <w:ind w:left="20"/>
        <w:spacing w:after="0"/>
        <w:tabs>
          <w:tab w:leader="none" w:pos="5740" w:val="left"/>
          <w:tab w:leader="none" w:pos="6320" w:val="left"/>
        </w:tabs>
        <w:rPr>
          <w:sz w:val="20"/>
          <w:szCs w:val="20"/>
          <w:color w:val="auto"/>
        </w:rPr>
      </w:pPr>
      <w:r>
        <w:rPr>
          <w:rFonts w:ascii="Arial" w:cs="Arial" w:eastAsia="Arial" w:hAnsi="Arial"/>
          <w:sz w:val="18"/>
          <w:szCs w:val="18"/>
          <w:color w:val="auto"/>
        </w:rPr>
        <w:t>Date: August 14,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Nathan Kroeker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31750</wp:posOffset>
            </wp:positionV>
            <wp:extent cx="312864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57"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Nathan Kroeker</w:t>
      </w:r>
    </w:p>
    <w:p>
      <w:pPr>
        <w:spacing w:after="0" w:line="6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340"/>
        <w:spacing w:after="0"/>
        <w:rPr>
          <w:sz w:val="20"/>
          <w:szCs w:val="20"/>
          <w:color w:val="auto"/>
        </w:rPr>
      </w:pPr>
      <w:r>
        <w:rPr>
          <w:rFonts w:ascii="Arial" w:cs="Arial" w:eastAsia="Arial" w:hAnsi="Arial"/>
          <w:sz w:val="18"/>
          <w:szCs w:val="18"/>
          <w:i w:val="1"/>
          <w:iCs w:val="1"/>
          <w:color w:val="auto"/>
        </w:rPr>
        <w:t>(Principal Financial Officer and Principal Accounting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1."/>
      <w:numFmt w:val="decimal"/>
      <w:start w:val="1"/>
    </w:lvl>
    <w:lvl w:ilvl="1">
      <w:lvlJc w:val="left"/>
      <w:lvlText w:val="•"/>
      <w:numFmt w:val="bullet"/>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104"/>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1)"/>
      <w:numFmt w:val="lowerLetter"/>
      <w:start w:val="2"/>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92" Type="http://schemas.openxmlformats.org/officeDocument/2006/relationships/hyperlink" Target="https://www.sec.gov/Archives/edgar/data/1805077/000162828023005647/ex31-thirdamendedandrestat.htm" TargetMode="External"/><Relationship Id="rId93" Type="http://schemas.openxmlformats.org/officeDocument/2006/relationships/hyperlink" Target="https://www.sec.gov/Archives/edgar/data/1805077/000162828022014885/secondamendedandrestatedby.htm" TargetMode="External"/><Relationship Id="rId94" Type="http://schemas.openxmlformats.org/officeDocument/2006/relationships/hyperlink" Target="https://www.sec.gov/Archives/edgar/data/1805077/000121390023028698/ea176772ex4-1_eosenergy.htm" TargetMode="External"/><Relationship Id="rId95" Type="http://schemas.openxmlformats.org/officeDocument/2006/relationships/hyperlink" Target="https://www.sec.gov/Archives/edgar/data/1805077/000121390023029963/ea176960ex4-1_eosenergy.htm" TargetMode="External"/><Relationship Id="rId96" Type="http://schemas.openxmlformats.org/officeDocument/2006/relationships/hyperlink" Target="https://www.sec.gov/Archives/edgar/data/1805077/000121390023040885/ea178742ex4-1_eosenergy.htm" TargetMode="External"/><Relationship Id="rId97" Type="http://schemas.openxmlformats.org/officeDocument/2006/relationships/hyperlink" Target="https://www.sec.gov/Archives/edgar/data/1805077/000121390023043181/ea179302ex4-1_eosenergy.htm" TargetMode="External"/><Relationship Id="rId98" Type="http://schemas.openxmlformats.org/officeDocument/2006/relationships/hyperlink" Target="https://www.sec.gov/Archives/edgar/data/1805077/000121390023028698/ea176772ex10-1_eosenergy.htm" TargetMode="External"/><Relationship Id="rId99" Type="http://schemas.openxmlformats.org/officeDocument/2006/relationships/hyperlink" Target="https://www.sec.gov/Archives/edgar/data/1805077/000121390023028698/ea176772ex10-2_eosenergy.htm" TargetMode="External"/><Relationship Id="rId100" Type="http://schemas.openxmlformats.org/officeDocument/2006/relationships/hyperlink" Target="https://www.sec.gov/Archives/edgar/data/1805077/000121390023029963/ea176960ex10-1_eosenergy.htm" TargetMode="External"/><Relationship Id="rId101" Type="http://schemas.openxmlformats.org/officeDocument/2006/relationships/hyperlink" Target="https://www.sec.gov/Archives/edgar/data/1805077/000121390023040885/ea178742ex10-1_eosenerg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2023-08-14T15:30:40Z</dcterms:created>
  <dcterms:modified xsi:type="dcterms:W3CDTF">2023-08-14T15:30:40Z</dcterms:modified>
</cp:coreProperties>
</file>