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309245</wp:posOffset>
            </wp:positionH>
            <wp:positionV relativeFrom="page">
              <wp:posOffset>655955</wp:posOffset>
            </wp:positionV>
            <wp:extent cx="6939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9280"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681355</wp:posOffset>
            </wp:positionV>
            <wp:extent cx="6939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928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99" w:lineRule="exact"/>
        <w:rPr>
          <w:sz w:val="24"/>
          <w:szCs w:val="24"/>
          <w:color w:val="auto"/>
        </w:rPr>
      </w:pPr>
    </w:p>
    <w:p>
      <w:pPr>
        <w:ind w:left="3680" w:right="1680" w:hanging="3489"/>
        <w:spacing w:after="0" w:line="228" w:lineRule="auto"/>
        <w:tabs>
          <w:tab w:leader="none" w:pos="504"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78" w:lineRule="exact"/>
        <w:rPr>
          <w:sz w:val="24"/>
          <w:szCs w:val="24"/>
          <w:color w:val="auto"/>
        </w:rPr>
      </w:pPr>
    </w:p>
    <w:p>
      <w:pPr>
        <w:ind w:left="480" w:right="1680" w:hanging="313"/>
        <w:spacing w:after="0" w:line="387" w:lineRule="auto"/>
        <w:tabs>
          <w:tab w:leader="none" w:pos="49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-105410</wp:posOffset>
            </wp:positionV>
            <wp:extent cx="27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40" w:type="dxa"/>
            <w:vAlign w:val="bottom"/>
            <w:gridSpan w:val="4"/>
          </w:tcPr>
          <w:p>
            <w:pPr>
              <w:jc w:val="center"/>
              <w:ind w:left="1091"/>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001-39291</w:t>
            </w:r>
          </w:p>
        </w:tc>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7"/>
        </w:trPr>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40" w:type="dxa"/>
            <w:vAlign w:val="bottom"/>
            <w:gridSpan w:val="4"/>
          </w:tcPr>
          <w:p>
            <w:pPr>
              <w:jc w:val="center"/>
              <w:ind w:left="1111"/>
              <w:spacing w:after="0"/>
              <w:rPr>
                <w:sz w:val="20"/>
                <w:szCs w:val="20"/>
                <w:color w:val="auto"/>
              </w:rPr>
            </w:pPr>
            <w:r>
              <w:rPr>
                <w:rFonts w:ascii="Times New Roman" w:cs="Times New Roman" w:eastAsia="Times New Roman" w:hAnsi="Times New Roman"/>
                <w:sz w:val="18"/>
                <w:szCs w:val="18"/>
                <w:b w:val="1"/>
                <w:bCs w:val="1"/>
                <w:color w:val="auto"/>
                <w:w w:val="98"/>
              </w:rPr>
              <w:t>EOS ENERGY ENTERPRISES, INC.</w:t>
            </w: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2"/>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00" w:type="dxa"/>
            <w:vAlign w:val="bottom"/>
            <w:gridSpan w:val="5"/>
          </w:tcPr>
          <w:p>
            <w:pPr>
              <w:jc w:val="center"/>
              <w:ind w:left="73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94"/>
        </w:trPr>
        <w:tc>
          <w:tcPr>
            <w:tcW w:w="1620" w:type="dxa"/>
            <w:vAlign w:val="bottom"/>
          </w:tcPr>
          <w:p>
            <w:pPr>
              <w:spacing w:after="0"/>
              <w:rPr>
                <w:sz w:val="24"/>
                <w:szCs w:val="24"/>
                <w:color w:val="auto"/>
              </w:rPr>
            </w:pPr>
          </w:p>
        </w:tc>
        <w:tc>
          <w:tcPr>
            <w:tcW w:w="3160" w:type="dxa"/>
            <w:vAlign w:val="bottom"/>
            <w:gridSpan w:val="2"/>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84-4290188</w:t>
            </w:r>
          </w:p>
        </w:tc>
        <w:tc>
          <w:tcPr>
            <w:tcW w:w="460" w:type="dxa"/>
            <w:vAlign w:val="bottom"/>
          </w:tcPr>
          <w:p>
            <w:pPr>
              <w:spacing w:after="0"/>
              <w:rPr>
                <w:sz w:val="24"/>
                <w:szCs w:val="24"/>
                <w:color w:val="auto"/>
              </w:rPr>
            </w:pPr>
          </w:p>
        </w:tc>
      </w:tr>
      <w:tr>
        <w:trPr>
          <w:trHeight w:val="232"/>
        </w:trPr>
        <w:tc>
          <w:tcPr>
            <w:tcW w:w="7100" w:type="dxa"/>
            <w:vAlign w:val="bottom"/>
            <w:gridSpan w:val="6"/>
          </w:tcPr>
          <w:p>
            <w:pPr>
              <w:jc w:val="center"/>
              <w:ind w:right="102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60" w:type="dxa"/>
            <w:vAlign w:val="bottom"/>
          </w:tcPr>
          <w:p>
            <w:pPr>
              <w:spacing w:after="0"/>
              <w:rPr>
                <w:sz w:val="20"/>
                <w:szCs w:val="20"/>
                <w:color w:val="auto"/>
              </w:rPr>
            </w:pPr>
          </w:p>
        </w:tc>
        <w:tc>
          <w:tcPr>
            <w:tcW w:w="3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87"/>
        </w:trPr>
        <w:tc>
          <w:tcPr>
            <w:tcW w:w="1620" w:type="dxa"/>
            <w:vAlign w:val="bottom"/>
          </w:tcPr>
          <w:p>
            <w:pPr>
              <w:spacing w:after="0"/>
              <w:rPr>
                <w:sz w:val="24"/>
                <w:szCs w:val="24"/>
                <w:color w:val="auto"/>
              </w:rPr>
            </w:pPr>
          </w:p>
        </w:tc>
        <w:tc>
          <w:tcPr>
            <w:tcW w:w="316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7"/>
              </w:rPr>
              <w:t>3920 Park Avenue</w:t>
            </w:r>
          </w:p>
        </w:tc>
        <w:tc>
          <w:tcPr>
            <w:tcW w:w="300" w:type="dxa"/>
            <w:vAlign w:val="bottom"/>
          </w:tcPr>
          <w:p>
            <w:pPr>
              <w:spacing w:after="0"/>
              <w:rPr>
                <w:sz w:val="24"/>
                <w:szCs w:val="24"/>
                <w:color w:val="auto"/>
              </w:rPr>
            </w:pPr>
          </w:p>
        </w:tc>
        <w:tc>
          <w:tcPr>
            <w:tcW w:w="20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Edison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NJ</w:t>
            </w:r>
          </w:p>
        </w:tc>
        <w:tc>
          <w:tcPr>
            <w:tcW w:w="3300" w:type="dxa"/>
            <w:vAlign w:val="bottom"/>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08820</w:t>
            </w:r>
          </w:p>
        </w:tc>
        <w:tc>
          <w:tcPr>
            <w:tcW w:w="460" w:type="dxa"/>
            <w:vAlign w:val="bottom"/>
          </w:tcPr>
          <w:p>
            <w:pPr>
              <w:spacing w:after="0"/>
              <w:rPr>
                <w:sz w:val="24"/>
                <w:szCs w:val="24"/>
                <w:color w:val="auto"/>
              </w:rPr>
            </w:pPr>
          </w:p>
        </w:tc>
      </w:tr>
      <w:tr>
        <w:trPr>
          <w:trHeight w:val="232"/>
        </w:trPr>
        <w:tc>
          <w:tcPr>
            <w:tcW w:w="478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7"/>
        </w:trPr>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(732) 225-8400</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2"/>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00" w:type="dxa"/>
            <w:vAlign w:val="bottom"/>
            <w:gridSpan w:val="5"/>
          </w:tcPr>
          <w:p>
            <w:pPr>
              <w:jc w:val="center"/>
              <w:ind w:left="73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60"/>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3"/>
        </w:trPr>
        <w:tc>
          <w:tcPr>
            <w:tcW w:w="1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30"/>
        </w:trPr>
        <w:tc>
          <w:tcPr>
            <w:tcW w:w="16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237"/>
        </w:trPr>
        <w:tc>
          <w:tcPr>
            <w:tcW w:w="4780" w:type="dxa"/>
            <w:vAlign w:val="bottom"/>
            <w:gridSpan w:val="3"/>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Common stock, par value $0.0001 per share</w:t>
            </w:r>
          </w:p>
        </w:tc>
        <w:tc>
          <w:tcPr>
            <w:tcW w:w="3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rPr>
              <w:t>EOSE</w:t>
            </w:r>
          </w:p>
        </w:tc>
        <w:tc>
          <w:tcPr>
            <w:tcW w:w="36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r>
        <w:trPr>
          <w:trHeight w:val="232"/>
        </w:trPr>
        <w:tc>
          <w:tcPr>
            <w:tcW w:w="4780" w:type="dxa"/>
            <w:vAlign w:val="bottom"/>
            <w:gridSpan w:val="3"/>
          </w:tcPr>
          <w:p>
            <w:pPr>
              <w:jc w:val="center"/>
              <w:ind w:right="111"/>
              <w:spacing w:after="0"/>
              <w:rPr>
                <w:sz w:val="20"/>
                <w:szCs w:val="20"/>
                <w:color w:val="auto"/>
              </w:rPr>
            </w:pPr>
            <w:r>
              <w:rPr>
                <w:rFonts w:ascii="Times New Roman" w:cs="Times New Roman" w:eastAsia="Times New Roman" w:hAnsi="Times New Roman"/>
                <w:sz w:val="18"/>
                <w:szCs w:val="18"/>
                <w:color w:val="auto"/>
                <w:w w:val="98"/>
              </w:rPr>
              <w:t>Warrants, each exercisable for one share of common stock</w:t>
            </w:r>
          </w:p>
        </w:tc>
        <w:tc>
          <w:tcPr>
            <w:tcW w:w="300" w:type="dxa"/>
            <w:vAlign w:val="bottom"/>
          </w:tcPr>
          <w:p>
            <w:pPr>
              <w:spacing w:after="0"/>
              <w:rPr>
                <w:sz w:val="20"/>
                <w:szCs w:val="20"/>
                <w:color w:val="auto"/>
              </w:rPr>
            </w:pPr>
          </w:p>
        </w:tc>
        <w:tc>
          <w:tcPr>
            <w:tcW w:w="20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EOSEW</w:t>
            </w:r>
          </w:p>
        </w:tc>
        <w:tc>
          <w:tcPr>
            <w:tcW w:w="360" w:type="dxa"/>
            <w:vAlign w:val="bottom"/>
          </w:tcPr>
          <w:p>
            <w:pPr>
              <w:spacing w:after="0"/>
              <w:rPr>
                <w:sz w:val="20"/>
                <w:szCs w:val="20"/>
                <w:color w:val="auto"/>
              </w:rPr>
            </w:pPr>
          </w:p>
        </w:tc>
        <w:tc>
          <w:tcPr>
            <w:tcW w:w="3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189"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5"/>
          <w:szCs w:val="15"/>
          <w:color w:val="auto"/>
        </w:rPr>
        <w:t>☐</w:t>
      </w:r>
    </w:p>
    <w:p>
      <w:pPr>
        <w:spacing w:after="0" w:line="167"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5"/>
          <w:szCs w:val="15"/>
          <w:color w:val="auto"/>
        </w:rPr>
        <w:t>☐</w:t>
      </w:r>
    </w:p>
    <w:p>
      <w:pPr>
        <w:spacing w:after="0" w:line="167"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3"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line="207" w:lineRule="exact"/>
        <w:tabs>
          <w:tab w:leader="none" w:pos="7520" w:val="left"/>
          <w:tab w:leader="none" w:pos="83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217,912,361 shares of common stock as of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603885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49530</wp:posOffset>
            </wp:positionV>
            <wp:extent cx="6939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928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74930</wp:posOffset>
            </wp:positionV>
            <wp:extent cx="6939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9280" cy="825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60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r>
      <w:tr>
        <w:trPr>
          <w:trHeight w:val="253"/>
        </w:trPr>
        <w:tc>
          <w:tcPr>
            <w:tcW w:w="880" w:type="dxa"/>
            <w:vAlign w:val="bottom"/>
          </w:tcPr>
          <w:p>
            <w:pPr>
              <w:spacing w:after="0"/>
              <w:rPr>
                <w:sz w:val="21"/>
                <w:szCs w:val="21"/>
                <w:color w:val="auto"/>
              </w:rPr>
            </w:pPr>
          </w:p>
        </w:tc>
        <w:tc>
          <w:tcPr>
            <w:tcW w:w="960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27"/>
        </w:trPr>
        <w:tc>
          <w:tcPr>
            <w:tcW w:w="880" w:type="dxa"/>
            <w:vAlign w:val="bottom"/>
            <w:shd w:val="clear" w:color="auto" w:fill="CCEEFF"/>
          </w:tcPr>
          <w:p>
            <w:pPr>
              <w:spacing w:after="0"/>
              <w:rPr>
                <w:sz w:val="19"/>
                <w:szCs w:val="19"/>
                <w:color w:val="auto"/>
              </w:rPr>
            </w:pPr>
          </w:p>
        </w:tc>
        <w:tc>
          <w:tcPr>
            <w:tcW w:w="960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760" w:type="dxa"/>
            <w:vAlign w:val="bottom"/>
            <w:shd w:val="clear" w:color="auto" w:fill="CCEEFF"/>
          </w:tcPr>
          <w:p>
            <w:pPr>
              <w:spacing w:after="0"/>
              <w:rPr>
                <w:sz w:val="19"/>
                <w:szCs w:val="19"/>
                <w:color w:val="auto"/>
              </w:rPr>
            </w:pPr>
          </w:p>
        </w:tc>
      </w:tr>
      <w:tr>
        <w:trPr>
          <w:trHeight w:val="22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27"/>
        </w:trPr>
        <w:tc>
          <w:tcPr>
            <w:tcW w:w="880" w:type="dxa"/>
            <w:vAlign w:val="bottom"/>
            <w:shd w:val="clear" w:color="auto" w:fill="CCEEFF"/>
          </w:tcPr>
          <w:p>
            <w:pPr>
              <w:spacing w:after="0"/>
              <w:rPr>
                <w:sz w:val="19"/>
                <w:szCs w:val="19"/>
                <w:color w:val="auto"/>
              </w:rPr>
            </w:pP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Balance Sheets as of September 30, 2024 and December 31, 2023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182"/>
        </w:trPr>
        <w:tc>
          <w:tcPr>
            <w:tcW w:w="880" w:type="dxa"/>
            <w:vAlign w:val="bottom"/>
          </w:tcPr>
          <w:p>
            <w:pPr>
              <w:spacing w:after="0"/>
              <w:rPr>
                <w:sz w:val="15"/>
                <w:szCs w:val="15"/>
                <w:color w:val="auto"/>
              </w:rPr>
            </w:pPr>
          </w:p>
        </w:tc>
        <w:tc>
          <w:tcPr>
            <w:tcW w:w="960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(Loss) Income for the Three and Nine Months</w:t>
            </w:r>
          </w:p>
        </w:tc>
        <w:tc>
          <w:tcPr>
            <w:tcW w:w="760" w:type="dxa"/>
            <w:vAlign w:val="bottom"/>
          </w:tcPr>
          <w:p>
            <w:pPr>
              <w:spacing w:after="0"/>
              <w:rPr>
                <w:sz w:val="15"/>
                <w:szCs w:val="15"/>
                <w:color w:val="auto"/>
              </w:rPr>
            </w:pPr>
          </w:p>
        </w:tc>
      </w:tr>
      <w:tr>
        <w:trPr>
          <w:trHeight w:val="232"/>
        </w:trPr>
        <w:tc>
          <w:tcPr>
            <w:tcW w:w="880" w:type="dxa"/>
            <w:vAlign w:val="bottom"/>
          </w:tcPr>
          <w:p>
            <w:pPr>
              <w:spacing w:after="0"/>
              <w:rPr>
                <w:sz w:val="20"/>
                <w:szCs w:val="20"/>
                <w:color w:val="auto"/>
              </w:rPr>
            </w:pP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Ended September 30, 2024 and 2023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182"/>
        </w:trPr>
        <w:tc>
          <w:tcPr>
            <w:tcW w:w="880" w:type="dxa"/>
            <w:vAlign w:val="bottom"/>
            <w:shd w:val="clear" w:color="auto" w:fill="CCEEFF"/>
          </w:tcPr>
          <w:p>
            <w:pPr>
              <w:spacing w:after="0"/>
              <w:rPr>
                <w:sz w:val="15"/>
                <w:szCs w:val="15"/>
                <w:color w:val="auto"/>
              </w:rPr>
            </w:pPr>
          </w:p>
        </w:tc>
        <w:tc>
          <w:tcPr>
            <w:tcW w:w="960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w w:val="99"/>
              </w:rPr>
              <w:t>Unaudited Condensed Consolidated Statements of Shareholders’ Deficit for the Three and Nine Months Ended September 30, 2024</w:t>
            </w:r>
          </w:p>
        </w:tc>
        <w:tc>
          <w:tcPr>
            <w:tcW w:w="760" w:type="dxa"/>
            <w:vAlign w:val="bottom"/>
            <w:shd w:val="clear" w:color="auto" w:fill="CCEEFF"/>
          </w:tcPr>
          <w:p>
            <w:pPr>
              <w:spacing w:after="0"/>
              <w:rPr>
                <w:sz w:val="15"/>
                <w:szCs w:val="15"/>
                <w:color w:val="auto"/>
              </w:rPr>
            </w:pPr>
          </w:p>
        </w:tc>
      </w:tr>
      <w:tr>
        <w:trPr>
          <w:trHeight w:val="232"/>
        </w:trPr>
        <w:tc>
          <w:tcPr>
            <w:tcW w:w="880" w:type="dxa"/>
            <w:vAlign w:val="bottom"/>
            <w:shd w:val="clear" w:color="auto" w:fill="CCEEFF"/>
          </w:tcPr>
          <w:p>
            <w:pPr>
              <w:spacing w:after="0"/>
              <w:rPr>
                <w:sz w:val="20"/>
                <w:szCs w:val="20"/>
                <w:color w:val="auto"/>
              </w:rPr>
            </w:pP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2023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7"/>
        </w:trPr>
        <w:tc>
          <w:tcPr>
            <w:tcW w:w="880" w:type="dxa"/>
            <w:vAlign w:val="bottom"/>
          </w:tcPr>
          <w:p>
            <w:pPr>
              <w:spacing w:after="0"/>
              <w:rPr>
                <w:sz w:val="19"/>
                <w:szCs w:val="19"/>
                <w:color w:val="auto"/>
              </w:rPr>
            </w:pP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 for the Nine Months Ended September 30, 2024 and 2023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7"/>
        </w:trPr>
        <w:tc>
          <w:tcPr>
            <w:tcW w:w="880" w:type="dxa"/>
            <w:vAlign w:val="bottom"/>
            <w:shd w:val="clear" w:color="auto" w:fill="CCEEFF"/>
          </w:tcPr>
          <w:p>
            <w:pPr>
              <w:spacing w:after="0"/>
              <w:rPr>
                <w:sz w:val="19"/>
                <w:szCs w:val="19"/>
                <w:color w:val="auto"/>
              </w:rPr>
            </w:pP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the Unaudited Condensed Consolidated Financial Statements</w:t>
            </w:r>
          </w:p>
        </w:tc>
        <w:tc>
          <w:tcPr>
            <w:tcW w:w="7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11</w:t>
            </w:r>
          </w:p>
        </w:tc>
      </w:tr>
      <w:tr>
        <w:trPr>
          <w:trHeight w:val="22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42</w:t>
            </w:r>
          </w:p>
        </w:tc>
      </w:tr>
      <w:tr>
        <w:trPr>
          <w:trHeight w:val="22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52</w:t>
            </w:r>
          </w:p>
        </w:tc>
      </w:tr>
      <w:tr>
        <w:trPr>
          <w:trHeight w:val="22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52</w:t>
            </w:r>
          </w:p>
        </w:tc>
      </w:tr>
      <w:tr>
        <w:trPr>
          <w:trHeight w:val="253"/>
        </w:trPr>
        <w:tc>
          <w:tcPr>
            <w:tcW w:w="880" w:type="dxa"/>
            <w:vAlign w:val="bottom"/>
            <w:shd w:val="clear" w:color="auto" w:fill="CCEEFF"/>
          </w:tcPr>
          <w:p>
            <w:pPr>
              <w:spacing w:after="0"/>
              <w:rPr>
                <w:sz w:val="22"/>
                <w:szCs w:val="22"/>
                <w:color w:val="auto"/>
              </w:rPr>
            </w:pPr>
          </w:p>
        </w:tc>
        <w:tc>
          <w:tcPr>
            <w:tcW w:w="96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27"/>
        </w:trPr>
        <w:tc>
          <w:tcPr>
            <w:tcW w:w="880" w:type="dxa"/>
            <w:vAlign w:val="bottom"/>
          </w:tcPr>
          <w:p>
            <w:pPr>
              <w:spacing w:after="0"/>
              <w:rPr>
                <w:sz w:val="19"/>
                <w:szCs w:val="19"/>
                <w:color w:val="auto"/>
              </w:rPr>
            </w:pPr>
          </w:p>
        </w:tc>
        <w:tc>
          <w:tcPr>
            <w:tcW w:w="960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760" w:type="dxa"/>
            <w:vAlign w:val="bottom"/>
          </w:tcPr>
          <w:p>
            <w:pPr>
              <w:spacing w:after="0"/>
              <w:rPr>
                <w:sz w:val="19"/>
                <w:szCs w:val="19"/>
                <w:color w:val="auto"/>
              </w:rPr>
            </w:pPr>
          </w:p>
        </w:tc>
      </w:tr>
      <w:tr>
        <w:trPr>
          <w:trHeight w:val="22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7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53</w:t>
            </w:r>
          </w:p>
        </w:tc>
      </w:tr>
      <w:tr>
        <w:trPr>
          <w:trHeight w:val="22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54</w:t>
            </w:r>
          </w:p>
        </w:tc>
      </w:tr>
      <w:tr>
        <w:trPr>
          <w:trHeight w:val="22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55</w:t>
            </w:r>
          </w:p>
        </w:tc>
      </w:tr>
      <w:tr>
        <w:trPr>
          <w:trHeight w:val="22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55</w:t>
            </w:r>
          </w:p>
        </w:tc>
      </w:tr>
      <w:tr>
        <w:trPr>
          <w:trHeight w:val="22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Mine Safety Disclosures</w:t>
            </w:r>
          </w:p>
        </w:tc>
        <w:tc>
          <w:tcPr>
            <w:tcW w:w="7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56</w:t>
            </w:r>
          </w:p>
        </w:tc>
      </w:tr>
      <w:tr>
        <w:trPr>
          <w:trHeight w:val="22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56</w:t>
            </w:r>
          </w:p>
        </w:tc>
      </w:tr>
      <w:tr>
        <w:trPr>
          <w:trHeight w:val="22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7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57</w:t>
            </w:r>
          </w:p>
        </w:tc>
      </w:tr>
      <w:tr>
        <w:trPr>
          <w:trHeight w:val="23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600" w:type="dxa"/>
            <w:vAlign w:val="bottom"/>
          </w:tcPr>
          <w:p>
            <w:pPr>
              <w:spacing w:after="0"/>
              <w:rPr>
                <w:sz w:val="20"/>
                <w:szCs w:val="20"/>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107" w:lineRule="exact"/>
        <w:rPr>
          <w:sz w:val="20"/>
          <w:szCs w:val="20"/>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adversely affecting the business in which we are engaged;</w:t>
      </w:r>
    </w:p>
    <w:p>
      <w:pPr>
        <w:spacing w:after="0" w:line="8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forecast trends accurately;</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generate cash, service indebtedness and incur additional indebtedness;</w:t>
      </w:r>
    </w:p>
    <w:p>
      <w:pPr>
        <w:spacing w:after="0" w:line="59" w:lineRule="exact"/>
        <w:rPr>
          <w:rFonts w:ascii="Times New Roman" w:cs="Times New Roman" w:eastAsia="Times New Roman" w:hAnsi="Times New Roman"/>
          <w:sz w:val="18"/>
          <w:szCs w:val="18"/>
          <w:i w:val="1"/>
          <w:iCs w:val="1"/>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financing in the future;</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customer’s ability to secure project financing;</w:t>
      </w:r>
    </w:p>
    <w:p>
      <w:pPr>
        <w:spacing w:after="0" w:line="59" w:lineRule="exact"/>
        <w:rPr>
          <w:rFonts w:ascii="Times New Roman" w:cs="Times New Roman" w:eastAsia="Times New Roman" w:hAnsi="Times New Roman"/>
          <w:sz w:val="18"/>
          <w:szCs w:val="18"/>
          <w:i w:val="1"/>
          <w:iCs w:val="1"/>
          <w:color w:val="auto"/>
        </w:rPr>
      </w:pPr>
    </w:p>
    <w:p>
      <w:pPr>
        <w:ind w:left="640" w:right="400" w:hanging="314"/>
        <w:spacing w:after="0" w:line="309"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Credit Agreement (defined below), including risks of default, dilution of outstanding Common Stock, consequences for failure to meet milestones and contractual lockup of shares;</w:t>
      </w: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final tax credits available to our customers or to Eos Energy Enterprises, Inc. pursuant to the Inflation Reduction Act;</w:t>
      </w:r>
    </w:p>
    <w:p>
      <w:pPr>
        <w:spacing w:after="0" w:line="59" w:lineRule="exact"/>
        <w:rPr>
          <w:rFonts w:ascii="Times New Roman" w:cs="Times New Roman" w:eastAsia="Times New Roman" w:hAnsi="Times New Roman"/>
          <w:sz w:val="18"/>
          <w:szCs w:val="18"/>
          <w:color w:val="auto"/>
        </w:rPr>
      </w:pPr>
    </w:p>
    <w:p>
      <w:pPr>
        <w:ind w:left="640" w:right="20" w:hanging="314"/>
        <w:spacing w:after="0" w:line="309"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uncertainties around our ability to meet the applicable conditions precedent and secure final approval of a loan in a timely manner or at all from the Department of Energy, Loan Programs Office, or the timing of funding and the final size of any loan that is approved;</w:t>
      </w:r>
    </w:p>
    <w:p>
      <w:pPr>
        <w:ind w:left="640" w:right="40" w:hanging="314"/>
        <w:spacing w:after="0" w:line="309"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of a government shutdown while we work to meet the applicable conditions precedent and finalize loan documents with the U.S. Department of Energy Loan Programs Office or while we await notice of a decision regarding the issuance of a loan from the Department of Energy Loan Programs Office;</w:t>
      </w: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continue to develop efficient manufacturing processes to scale and to forecast related costs and efficiencies accurately;</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our revenue and operating results;</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existing or new competitors;</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convert firm order backlog and pipeline to revenue;</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security breaches in our information technology systems;</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legal proceedings or claims;</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evolving energy policies in the United States and other countries and the potential costs of regulatory compliance;</w:t>
      </w:r>
    </w:p>
    <w:p>
      <w:pPr>
        <w:spacing w:after="0" w:line="59" w:lineRule="exact"/>
        <w:rPr>
          <w:rFonts w:ascii="Times New Roman" w:cs="Times New Roman" w:eastAsia="Times New Roman" w:hAnsi="Times New Roman"/>
          <w:sz w:val="18"/>
          <w:szCs w:val="18"/>
          <w:i w:val="1"/>
          <w:iCs w:val="1"/>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changes to the U.S. trade environment;</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the listing of our shares of common stock on NASDAQ;</w:t>
      </w:r>
    </w:p>
    <w:p>
      <w:pPr>
        <w:spacing w:after="0" w:line="59" w:lineRule="exact"/>
        <w:rPr>
          <w:rFonts w:ascii="Times New Roman" w:cs="Times New Roman" w:eastAsia="Times New Roman" w:hAnsi="Times New Roman"/>
          <w:sz w:val="18"/>
          <w:szCs w:val="18"/>
          <w:i w:val="1"/>
          <w:iCs w:val="1"/>
          <w:color w:val="auto"/>
        </w:rPr>
      </w:pPr>
    </w:p>
    <w:p>
      <w:pPr>
        <w:ind w:left="640" w:hanging="314"/>
        <w:spacing w:after="0" w:line="309"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grow our business and manage growth profitably, maintain relationships with customers and suppliers and retain our management and key employees;</w:t>
      </w:r>
    </w:p>
    <w:p>
      <w:pPr>
        <w:ind w:left="640" w:hanging="314"/>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adverse changes in general economic conditions, including inflationary pressures and increased interest rates;</w:t>
      </w:r>
    </w:p>
    <w:p>
      <w:pPr>
        <w:spacing w:after="0" w:line="59" w:lineRule="exact"/>
        <w:rPr>
          <w:rFonts w:ascii="Times New Roman" w:cs="Times New Roman" w:eastAsia="Times New Roman" w:hAnsi="Times New Roman"/>
          <w:sz w:val="18"/>
          <w:szCs w:val="18"/>
          <w:i w:val="1"/>
          <w:iCs w:val="1"/>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from supply chain disruptions and other impacts of geopolitical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applicable laws or regulations; and</w:t>
      </w:r>
    </w:p>
    <w:p>
      <w:pPr>
        <w:spacing w:after="0" w:line="59" w:lineRule="exact"/>
        <w:rPr>
          <w:rFonts w:ascii="Times New Roman" w:cs="Times New Roman" w:eastAsia="Times New Roman" w:hAnsi="Times New Roman"/>
          <w:sz w:val="18"/>
          <w:szCs w:val="18"/>
          <w:i w:val="1"/>
          <w:iCs w:val="1"/>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detailed under the section entitled “Risk Factors” herein.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disclosures contained in the Company’s Annual Report on Form 10-K for the year ended December 31, 2023 for additional discussion of the risks and uncertainties that could cause the Company’s actual results to differ materially from those expressed or implied in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580" w:type="dxa"/>
            <w:vAlign w:val="bottom"/>
          </w:tcPr>
          <w:p>
            <w:pPr>
              <w:jc w:val="right"/>
              <w:ind w:right="3351"/>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commitment assets</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net</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Vendor deposits</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assets, current</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 receivable</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receivables</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4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9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580" w:type="dxa"/>
            <w:vAlign w:val="bottom"/>
          </w:tcPr>
          <w:p>
            <w:pPr>
              <w:spacing w:after="0"/>
              <w:rPr>
                <w:sz w:val="16"/>
                <w:szCs w:val="16"/>
                <w:color w:val="auto"/>
              </w:rPr>
            </w:pPr>
          </w:p>
        </w:tc>
        <w:tc>
          <w:tcPr>
            <w:tcW w:w="2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216,841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186,492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800" w:type="dxa"/>
            <w:vAlign w:val="bottom"/>
            <w:gridSpan w:val="2"/>
          </w:tcPr>
          <w:p>
            <w:pPr>
              <w:jc w:val="right"/>
              <w:ind w:right="3351"/>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8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current</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0" w:type="dxa"/>
            <w:vAlign w:val="bottom"/>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 - related party</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payable - related party</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liabilities, long-term</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liability</w:t>
            </w: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 liability - related party</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4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7"/>
        </w:trPr>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80" w:type="dxa"/>
            <w:vAlign w:val="bottom"/>
          </w:tcPr>
          <w:p>
            <w:pPr>
              <w:jc w:val="right"/>
              <w:ind w:right="1851"/>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7"/>
                <w:szCs w:val="17"/>
                <w:color w:val="auto"/>
              </w:rPr>
            </w:pPr>
          </w:p>
        </w:tc>
        <w:tc>
          <w:tcPr>
            <w:tcW w:w="15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4"/>
        </w:trPr>
        <w:tc>
          <w:tcPr>
            <w:tcW w:w="7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297,292</w:t>
            </w:r>
          </w:p>
        </w:tc>
      </w:tr>
      <w:tr>
        <w:trPr>
          <w:trHeight w:val="247"/>
        </w:trPr>
        <w:tc>
          <w:tcPr>
            <w:tcW w:w="7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7"/>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16)</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7"/>
        </w:trPr>
        <w:tc>
          <w:tcPr>
            <w:tcW w:w="7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7"/>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B PREFERRED STOCK (NOTE 3)</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7"/>
        </w:trPr>
        <w:tc>
          <w:tcPr>
            <w:tcW w:w="7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7"/>
        </w:trPr>
        <w:tc>
          <w:tcPr>
            <w:tcW w:w="752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73"/>
        </w:trPr>
        <w:tc>
          <w:tcPr>
            <w:tcW w:w="7520" w:type="dxa"/>
            <w:vAlign w:val="bottom"/>
            <w:shd w:val="clear" w:color="auto" w:fill="CCEEFF"/>
          </w:tcPr>
          <w:p>
            <w:pPr>
              <w:ind w:left="160"/>
              <w:spacing w:after="0" w:line="173" w:lineRule="exact"/>
              <w:rPr>
                <w:sz w:val="20"/>
                <w:szCs w:val="20"/>
                <w:color w:val="auto"/>
              </w:rPr>
            </w:pPr>
            <w:r>
              <w:rPr>
                <w:rFonts w:ascii="Times New Roman" w:cs="Times New Roman" w:eastAsia="Times New Roman" w:hAnsi="Times New Roman"/>
                <w:sz w:val="18"/>
                <w:szCs w:val="18"/>
                <w:color w:val="auto"/>
              </w:rPr>
              <w:t>Common stock, $0.0001 par value, 600,000,000 shares authorized, 217,278,404 and 199,133,827</w:t>
            </w: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0"/>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on September 30, 2024 and December 31, 2023, respectively</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765,018</w:t>
            </w:r>
          </w:p>
        </w:tc>
      </w:tr>
      <w:tr>
        <w:trPr>
          <w:trHeight w:val="227"/>
        </w:trPr>
        <w:tc>
          <w:tcPr>
            <w:tcW w:w="7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(875,846)</w:t>
            </w:r>
          </w:p>
        </w:tc>
      </w:tr>
      <w:tr>
        <w:trPr>
          <w:trHeight w:val="227"/>
        </w:trPr>
        <w:tc>
          <w:tcPr>
            <w:tcW w:w="7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0"/>
        </w:trPr>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(110,800)</w:t>
            </w:r>
          </w:p>
        </w:tc>
      </w:tr>
      <w:tr>
        <w:trPr>
          <w:trHeight w:val="220"/>
        </w:trPr>
        <w:tc>
          <w:tcPr>
            <w:tcW w:w="7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preferred stock and shareholders' deficit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186,492</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30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06" w:lineRule="exact"/>
        <w:rPr>
          <w:sz w:val="20"/>
          <w:szCs w:val="20"/>
          <w:color w:val="auto"/>
        </w:rPr>
      </w:pPr>
    </w:p>
    <w:p>
      <w:pPr>
        <w:jc w:val="center"/>
        <w:ind w:left="460" w:right="520"/>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INCOME </w:t>
      </w: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90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17"/>
                <w:szCs w:val="17"/>
                <w:color w:val="auto"/>
              </w:rPr>
            </w:pPr>
          </w:p>
        </w:tc>
        <w:tc>
          <w:tcPr>
            <w:tcW w:w="256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0"/>
        </w:trPr>
        <w:tc>
          <w:tcPr>
            <w:tcW w:w="5240" w:type="dxa"/>
            <w:vAlign w:val="bottom"/>
          </w:tcPr>
          <w:p>
            <w:pPr>
              <w:spacing w:after="0"/>
              <w:rPr>
                <w:sz w:val="20"/>
                <w:szCs w:val="20"/>
                <w:color w:val="auto"/>
              </w:rPr>
            </w:pPr>
          </w:p>
        </w:tc>
        <w:tc>
          <w:tcPr>
            <w:tcW w:w="2900" w:type="dxa"/>
            <w:vAlign w:val="bottom"/>
            <w:gridSpan w:val="6"/>
            <w:vMerge w:val="continue"/>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4"/>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0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59,448</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0" w:type="dxa"/>
            <w:vAlign w:val="bottom"/>
          </w:tcPr>
          <w:p>
            <w:pPr>
              <w:spacing w:after="0"/>
              <w:rPr>
                <w:sz w:val="1"/>
                <w:szCs w:val="1"/>
                <w:color w:val="auto"/>
              </w:rPr>
            </w:pPr>
          </w:p>
        </w:tc>
      </w:tr>
      <w:tr>
        <w:trPr>
          <w:trHeight w:val="227"/>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40,169</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120,467</w:t>
            </w:r>
          </w:p>
        </w:tc>
        <w:tc>
          <w:tcPr>
            <w:tcW w:w="0" w:type="dxa"/>
            <w:vAlign w:val="bottom"/>
          </w:tcPr>
          <w:p>
            <w:pPr>
              <w:spacing w:after="0"/>
              <w:rPr>
                <w:sz w:val="1"/>
                <w:szCs w:val="1"/>
                <w:color w:val="auto"/>
              </w:rPr>
            </w:pPr>
          </w:p>
        </w:tc>
      </w:tr>
      <w:tr>
        <w:trPr>
          <w:trHeight w:val="22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(110,699)</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0" w:type="dxa"/>
            <w:vAlign w:val="bottom"/>
          </w:tcPr>
          <w:p>
            <w:pPr>
              <w:spacing w:after="0"/>
              <w:rPr>
                <w:sz w:val="1"/>
                <w:szCs w:val="1"/>
                <w:color w:val="auto"/>
              </w:rPr>
            </w:pPr>
          </w:p>
        </w:tc>
      </w:tr>
      <w:tr>
        <w:trPr>
          <w:trHeight w:val="227"/>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(32,962)</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debt - related party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derivatives - related parties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7"/>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(342,882)</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(417,729)</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(188,273)</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(342,866)</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(417,746)</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(188,298)</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Accretion of Preferred Stock</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(384,133)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(482,684)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debt - credit risk</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common shareholders</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(388,772)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(487,327)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(188,301)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Basic and diluted (loss) income per share attributable to common</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216,898,374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138,005,222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209,820,480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114,209,090</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216,898,374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156,325,284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209,820,480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114,209,090</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308"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DEFICIT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253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100" w:type="dxa"/>
            <w:vAlign w:val="bottom"/>
            <w:gridSpan w:val="3"/>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34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24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in capital</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7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June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127,309,960</w:t>
            </w:r>
          </w:p>
        </w:tc>
        <w:tc>
          <w:tcPr>
            <w:tcW w:w="8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(849,570)</w:t>
            </w:r>
          </w:p>
        </w:tc>
        <w:tc>
          <w:tcPr>
            <w:tcW w:w="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7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Cancellation of shares used to settle payroll tax</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28,938,944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156,378,778</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706,288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(834,638)</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216,491,215</w:t>
            </w:r>
          </w:p>
        </w:tc>
        <w:tc>
          <w:tcPr>
            <w:tcW w:w="80" w:type="dxa"/>
            <w:vAlign w:val="bottom"/>
          </w:tcPr>
          <w:p>
            <w:pPr>
              <w:spacing w:after="0"/>
              <w:rPr>
                <w:sz w:val="19"/>
                <w:szCs w:val="19"/>
                <w:color w:val="auto"/>
              </w:rPr>
            </w:pP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759,881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(950,726)</w:t>
            </w:r>
          </w:p>
        </w:tc>
        <w:tc>
          <w:tcPr>
            <w:tcW w:w="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913,774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289,654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7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Cancellation of shares used to settle payroll tax</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(416,239)</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Preferred Stock</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debt - credit risk</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0"/>
                <w:szCs w:val="20"/>
                <w:color w:val="auto"/>
              </w:rPr>
            </w:pPr>
          </w:p>
        </w:tc>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217,278,404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DEFICIT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253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100" w:type="dxa"/>
            <w:vAlign w:val="bottom"/>
            <w:gridSpan w:val="3"/>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340" w:type="dxa"/>
            <w:vAlign w:val="bottom"/>
            <w:gridSpan w:val="3"/>
          </w:tcPr>
          <w:p>
            <w:pPr>
              <w:jc w:val="center"/>
              <w:ind w:right="80"/>
              <w:spacing w:after="0" w:line="15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24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7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in capital</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82,653,781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(132,711)</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0" w:type="dxa"/>
            <w:vAlign w:val="bottom"/>
          </w:tcPr>
          <w:p>
            <w:pPr>
              <w:spacing w:after="0"/>
              <w:rPr>
                <w:sz w:val="1"/>
                <w:szCs w:val="1"/>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1,606,791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7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Cancellation of shares used to settle payroll tax</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(303,655)</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72,171,861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182,810</w:t>
            </w:r>
          </w:p>
        </w:tc>
        <w:tc>
          <w:tcPr>
            <w:tcW w:w="0" w:type="dxa"/>
            <w:vAlign w:val="bottom"/>
          </w:tcPr>
          <w:p>
            <w:pPr>
              <w:spacing w:after="0"/>
              <w:rPr>
                <w:sz w:val="1"/>
                <w:szCs w:val="1"/>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(188,298)</w:t>
            </w:r>
          </w:p>
        </w:tc>
        <w:tc>
          <w:tcPr>
            <w:tcW w:w="0" w:type="dxa"/>
            <w:vAlign w:val="bottom"/>
          </w:tcPr>
          <w:p>
            <w:pPr>
              <w:spacing w:after="0"/>
              <w:rPr>
                <w:sz w:val="1"/>
                <w:szCs w:val="1"/>
                <w:color w:val="auto"/>
              </w:rPr>
            </w:pPr>
          </w:p>
        </w:tc>
      </w:tr>
      <w:tr>
        <w:trPr>
          <w:trHeight w:val="245"/>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156,378,778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199,133,827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(110,800)</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1,941,965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289,654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173"/>
        </w:trPr>
        <w:tc>
          <w:tcPr>
            <w:tcW w:w="37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Cancellation of shares used to settle payroll tax</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(714,565)</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16,627,523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Preferred Stock</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(64,938)</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debt - credit risk</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2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(417,746)</w:t>
            </w:r>
          </w:p>
        </w:tc>
        <w:tc>
          <w:tcPr>
            <w:tcW w:w="0" w:type="dxa"/>
            <w:vAlign w:val="bottom"/>
          </w:tcPr>
          <w:p>
            <w:pPr>
              <w:spacing w:after="0"/>
              <w:rPr>
                <w:sz w:val="1"/>
                <w:szCs w:val="1"/>
                <w:color w:val="auto"/>
              </w:rPr>
            </w:pPr>
          </w:p>
        </w:tc>
      </w:tr>
      <w:tr>
        <w:trPr>
          <w:trHeight w:val="245"/>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217,278,404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(573,756)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30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6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(188,298)</w:t>
            </w:r>
          </w:p>
        </w:tc>
      </w:tr>
      <w:tr>
        <w:trPr>
          <w:trHeight w:val="22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 related party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30,239</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debt - related party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derivatives - related parties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7"/>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7"/>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Vendor deposits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27"/>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7"/>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 receivable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7"/>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w:t>
            </w:r>
          </w:p>
        </w:tc>
      </w:tr>
      <w:tr>
        <w:trPr>
          <w:trHeight w:val="227"/>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w:t>
            </w:r>
          </w:p>
        </w:tc>
      </w:tr>
      <w:tr>
        <w:trPr>
          <w:trHeight w:val="227"/>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payable - related party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27"/>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7"/>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7"/>
        </w:trPr>
        <w:tc>
          <w:tcPr>
            <w:tcW w:w="7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(107,578)</w:t>
            </w:r>
          </w:p>
        </w:tc>
      </w:tr>
      <w:tr>
        <w:trPr>
          <w:trHeight w:val="233"/>
        </w:trPr>
        <w:tc>
          <w:tcPr>
            <w:tcW w:w="7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r>
      <w:tr>
        <w:trPr>
          <w:trHeight w:val="22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w:t>
            </w:r>
          </w:p>
        </w:tc>
      </w:tr>
      <w:tr>
        <w:trPr>
          <w:trHeight w:val="247"/>
        </w:trPr>
        <w:tc>
          <w:tcPr>
            <w:tcW w:w="76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convertible notes - related party</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Credit and Securities Purchase Transaction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 - related party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Payoff of Senior Secured Term Loan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308"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6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equipment financing facility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81,897</w:t>
            </w:r>
          </w:p>
        </w:tc>
      </w:tr>
      <w:tr>
        <w:trPr>
          <w:trHeight w:val="227"/>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49,250</w:t>
            </w: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27"/>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Repurchase of shares from employees for income tax withholding purposes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170,607</w:t>
            </w:r>
          </w:p>
        </w:tc>
      </w:tr>
      <w:tr>
        <w:trPr>
          <w:trHeight w:val="233"/>
        </w:trPr>
        <w:tc>
          <w:tcPr>
            <w:tcW w:w="7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3"/>
        </w:trPr>
        <w:tc>
          <w:tcPr>
            <w:tcW w:w="7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41,838</w:t>
            </w:r>
          </w:p>
        </w:tc>
      </w:tr>
      <w:tr>
        <w:trPr>
          <w:trHeight w:val="22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the period</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31,223</w:t>
            </w: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the period</w:t>
            </w:r>
          </w:p>
        </w:tc>
        <w:tc>
          <w:tcPr>
            <w:tcW w:w="1080" w:type="dxa"/>
            <w:vAlign w:val="bottom"/>
            <w:tcBorders>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unpaid capital expenditures</w:t>
            </w:r>
          </w:p>
        </w:tc>
        <w:tc>
          <w:tcPr>
            <w:tcW w:w="1080" w:type="dxa"/>
            <w:vAlign w:val="bottom"/>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convertible notes for interest paid in kind</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r>
      <w:tr>
        <w:trPr>
          <w:trHeight w:val="227"/>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Preferred Stock</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 assets acquired with finance lease</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7"/>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operating lease assets in exchange for lease liabilities</w:t>
            </w: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7"/>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settlement of Yorkville convertible notes</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51,023</w:t>
            </w:r>
          </w:p>
        </w:tc>
      </w:tr>
      <w:tr>
        <w:trPr>
          <w:trHeight w:val="227"/>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unpaid capitalized internal-use software</w:t>
            </w: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3"/>
        </w:trPr>
        <w:tc>
          <w:tcPr>
            <w:tcW w:w="76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9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should it be needed.</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disclosed in Note 3, </w:t>
      </w:r>
      <w:r>
        <w:rPr>
          <w:rFonts w:ascii="Times New Roman" w:cs="Times New Roman" w:eastAsia="Times New Roman" w:hAnsi="Times New Roman"/>
          <w:sz w:val="18"/>
          <w:szCs w:val="18"/>
          <w:i w:val="1"/>
          <w:iCs w:val="1"/>
          <w:color w:val="auto"/>
        </w:rPr>
        <w:t>Credit and Securities Purchase Transaction,</w:t>
      </w:r>
      <w:r>
        <w:rPr>
          <w:rFonts w:ascii="Times New Roman" w:cs="Times New Roman" w:eastAsia="Times New Roman" w:hAnsi="Times New Roman"/>
          <w:sz w:val="18"/>
          <w:szCs w:val="18"/>
          <w:color w:val="auto"/>
        </w:rPr>
        <w:t xml:space="preserve"> on June 21, 2024, the Company entered into a financing transaction with CCM Denali Debt Holdings, LP, an affiliate of Cerberus Capital Management LP (herein after referred to as “Cerberus”, “Denali”, “Lender”, “Holder”). As a result of this transaction, Cerberus agreed to provide a $210,500 secured multi-draw facility to be made in four installments (the “Delayed Draw Term Loan”) as well as a $105,000 revolving credit facility (“Revolving Facility”), to be made available beginning June 21, 2026, at Cerberus’ sole discretion and only if the Delayed Draw Term Loan is fully funded.</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of the date the accompanying Unaudited Condensed Consolidated Financial Statements were issued (the “issuance date”), management evaluated the significance of the following negative financial conditions in accordance with Accounting Standard Codification 205-40, Going Concern:</w:t>
      </w:r>
    </w:p>
    <w:p>
      <w:pPr>
        <w:spacing w:after="0" w:line="57" w:lineRule="exact"/>
        <w:rPr>
          <w:sz w:val="20"/>
          <w:szCs w:val="20"/>
          <w:color w:val="auto"/>
        </w:rPr>
      </w:pPr>
    </w:p>
    <w:p>
      <w:pPr>
        <w:jc w:val="both"/>
        <w:ind w:left="640" w:hanging="314"/>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Company has incurred significant losses and negative cash from operations in order to fund its development. During the nine months ended September 30, 2024, the Company incurred a net loss of $417,746, incurred negative cash flows from operations of $111,252 and had an accumulated deficit of $1,293,592 as of September 30, 2024.</w:t>
      </w:r>
    </w:p>
    <w:p>
      <w:pPr>
        <w:spacing w:after="0" w:line="71"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had $23,015 of unrestricted cash and cash equivalents available to fund the Company’s operations and working capital of $74,080, which includes loan commitment assets of $58,525 classified as current assets on the Unaudited Condensed Consolidated Balance Sheets.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5" w:lineRule="exact"/>
        <w:rPr>
          <w:sz w:val="20"/>
          <w:szCs w:val="20"/>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(cont.)</w:t>
      </w:r>
    </w:p>
    <w:p>
      <w:pPr>
        <w:spacing w:after="0" w:line="200" w:lineRule="exact"/>
        <w:rPr>
          <w:rFonts w:ascii="Times New Roman" w:cs="Times New Roman" w:eastAsia="Times New Roman" w:hAnsi="Times New Roman"/>
          <w:sz w:val="18"/>
          <w:szCs w:val="18"/>
          <w:b w:val="1"/>
          <w:bCs w:val="1"/>
          <w:color w:val="auto"/>
        </w:rPr>
      </w:pPr>
    </w:p>
    <w:p>
      <w:pPr>
        <w:spacing w:after="0" w:line="328" w:lineRule="exact"/>
        <w:rPr>
          <w:rFonts w:ascii="Times New Roman" w:cs="Times New Roman" w:eastAsia="Times New Roman" w:hAnsi="Times New Roman"/>
          <w:sz w:val="18"/>
          <w:szCs w:val="18"/>
          <w:b w:val="1"/>
          <w:bCs w:val="1"/>
          <w:color w:val="auto"/>
        </w:rPr>
      </w:pPr>
    </w:p>
    <w:p>
      <w:pPr>
        <w:jc w:val="both"/>
        <w:ind w:left="640" w:hanging="314"/>
        <w:spacing w:after="0" w:line="253"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 continues to progress through the Department of Energy (DOE) Loan Programs Office’s (LPO) process for its Title XVII loan. In August 2023, the DOE issued a conditional commitment letter to the Company for a loan of an aggregate principal amount of up to $398,600 through the DOE’s Clean Energy Financing Program. Certain technical, legal and financial conditions must be met and due diligence to the satisfaction of the DOE must be completed before the DOE enters into definitive financing documents with the Company and funds the loan. The Company continues to work with the DOE to meet these conditions and close the loan, however, there can be no assurance that the Company will be able to secure such a loan or on terms that are acceptable to the Company.</w:t>
      </w:r>
    </w:p>
    <w:p>
      <w:pPr>
        <w:spacing w:after="0" w:line="76" w:lineRule="exact"/>
        <w:rPr>
          <w:rFonts w:ascii="Times New Roman" w:cs="Times New Roman" w:eastAsia="Times New Roman" w:hAnsi="Times New Roman"/>
          <w:sz w:val="18"/>
          <w:szCs w:val="18"/>
          <w:color w:val="auto"/>
        </w:rPr>
      </w:pPr>
    </w:p>
    <w:p>
      <w:pPr>
        <w:jc w:val="both"/>
        <w:ind w:left="640" w:hanging="314"/>
        <w:spacing w:after="0" w:line="250"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remain in compliance with certain quarterly financial covenants under its Credit Agreement. These financial covenants include, as defined in the Credit Agreement, (a) Minimum Consolidated EBITDA, (b) Minimum Consolidated Revenue, and (c) Minimum Liquidity (collectively, the “financial covenants”). As of September 30, 2024, the Company was in compliance with all financial covenants and non-financial covenants, except for the September 30, 2024 Minimum Consolidated Revenue financial covenant. The Company secured a waiver of non-compliance from Cerberus for the quarter ended September 30, 2024. The Company expects it may be unable to remain in compliance with the Minimum Consolidated Revenue financial covenant beginning December 31, 2024, absent the Company’s ability to secure a waiver or amend the Credit Agreement. In the event the Company is unable to comply with the financial and the non-financial covenants as of December 31, 2024, and the Company is unable to secure another waiver, Cerberus may, at its discretion, enter into a forbearance agreement with the Company and/or exercise any and all of its existing rights and remedies, which may include, among other things, asserting its rights in the Company’s assets securing the loan. Moreover, the Company’s other lenders may exercise similar rights and remedies under the cross-default provisions of their respective borrowing arrangements with the Company.</w:t>
      </w:r>
    </w:p>
    <w:p>
      <w:pPr>
        <w:spacing w:after="0" w:line="80" w:lineRule="exact"/>
        <w:rPr>
          <w:rFonts w:ascii="Times New Roman" w:cs="Times New Roman" w:eastAsia="Times New Roman" w:hAnsi="Times New Roman"/>
          <w:sz w:val="18"/>
          <w:szCs w:val="18"/>
          <w:color w:val="auto"/>
        </w:rPr>
      </w:pPr>
    </w:p>
    <w:p>
      <w:pPr>
        <w:jc w:val="both"/>
        <w:ind w:left="640" w:hanging="314"/>
        <w:spacing w:after="0" w:line="250"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Cerberus funded the Company $30,000 (“August Draw”), and the Company received $28,500, net of the 5.0% original issue discount, since the Company met the milestones for the August Draw as disclosed in Note 3, </w:t>
      </w:r>
      <w:r>
        <w:rPr>
          <w:rFonts w:ascii="Times New Roman" w:cs="Times New Roman" w:eastAsia="Times New Roman" w:hAnsi="Times New Roman"/>
          <w:sz w:val="18"/>
          <w:szCs w:val="18"/>
          <w:i w:val="1"/>
          <w:iCs w:val="1"/>
          <w:color w:val="auto"/>
        </w:rPr>
        <w:t>Credit and Securities Purchase Transaction.</w:t>
      </w:r>
      <w:r>
        <w:rPr>
          <w:rFonts w:ascii="Times New Roman" w:cs="Times New Roman" w:eastAsia="Times New Roman" w:hAnsi="Times New Roman"/>
          <w:sz w:val="18"/>
          <w:szCs w:val="18"/>
          <w:color w:val="auto"/>
        </w:rPr>
        <w:t xml:space="preserve"> Subsequently, on November 1, 2024, Cerberus funded the Company $65,000 related to the October 31, 2024 tranche (“October Draw” or “October Tranche”), and the Company received $61,750, which is net of the 5.0% original issue discount from the Delayed Draw Term Loan as disclosed in Note 21,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event the Company does not achieve the remaining funding milestone, and Cerberus chooses not to continue funding, and the Company’s ongoing efforts to raise additional outside capital prove unsuccessful, the Company will be unable to meet its obligations as they become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2023 Annual Report on Form 10-K. These interim results are not necessarily indicative of results for the full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Presentation</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reported results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A-1, A-2, B-1, and B-2 Preferred Stock</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Credit and Securities Purchase Transaction,</w:t>
      </w:r>
      <w:r>
        <w:rPr>
          <w:rFonts w:ascii="Times New Roman" w:cs="Times New Roman" w:eastAsia="Times New Roman" w:hAnsi="Times New Roman"/>
          <w:sz w:val="18"/>
          <w:szCs w:val="18"/>
          <w:color w:val="auto"/>
        </w:rPr>
        <w:t xml:space="preserve"> the shares of Series A-1 and A-2 Preferred Stock that were issued in June and August 2024, respectively, and subsequently converted into shares of Series B-1 and B-2 Preferred Stock, respectively, in September 2024 (collectively “Series B Preferred Stock” and together with Series A-1 Preferred Stock and Series A-2 Preferred Stock, “the Preferred Stock”), become redeemable based upon the passage of time and therefore meet the criteria to be classified within temporary equity. Management has elected to recognize changes in the redemption value pursuant to ASC 480-10-S99-3A-15(b). As a result, the Company will remeasure the Preferred Stock to the maximum redemption value at each reporting date but will never be adjusted below its initial carrying value. Adjustments are reflected in Additional paid in capital on the Company’s Unaudited Condensed Consolidated Balance Sheets.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Tax Credits under Internal Revenue Code 45X (“PTC”)</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7"/>
          <w:szCs w:val="17"/>
          <w:i w:val="1"/>
          <w:iCs w:val="1"/>
          <w:color w:val="auto"/>
        </w:rPr>
        <w:t>Accounting for Government Grants and Disclosure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Government Assistance, </w:t>
      </w:r>
      <w:r>
        <w:rPr>
          <w:rFonts w:ascii="Times New Roman" w:cs="Times New Roman" w:eastAsia="Times New Roman" w:hAnsi="Times New Roman"/>
          <w:sz w:val="17"/>
          <w:szCs w:val="17"/>
          <w:color w:val="auto"/>
        </w:rPr>
        <w:t>under IFRS Accounting Standards. Under IAS 20, once it is reasonably assured that the entity will comply with the conditions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Grant Receivable, net on the Company’s Unaudited Condensed Consolidated Balance Sheets and is subsequently recognized in Cost of goods sold in the Unaudited Condensed Consolidated Statements of Operations and Comprehensive (Loss) Income when the inventory is sold. In the event the PTC is sold, upon the receipt of the cash payments, </w:t>
      </w:r>
      <w:r>
        <w:rPr>
          <w:rFonts w:ascii="Times New Roman" w:cs="Times New Roman" w:eastAsia="Times New Roman" w:hAnsi="Times New Roman"/>
          <w:sz w:val="17"/>
          <w:szCs w:val="17"/>
          <w:color w:val="424242"/>
        </w:rPr>
        <w:t>the Company will record offsets to Grant Receivable, net</w:t>
      </w:r>
      <w:r>
        <w:rPr>
          <w:rFonts w:ascii="Times New Roman" w:cs="Times New Roman" w:eastAsia="Times New Roman" w:hAnsi="Times New Roman"/>
          <w:sz w:val="17"/>
          <w:szCs w:val="17"/>
          <w:color w:val="auto"/>
        </w:rPr>
        <w:t>. Differences in the recorded value of the PTC and the sale price will be recognized as an adjustment to Cost of goods sold in the Unaudited Condensed Consolidated Statements of Operations and Comprehensive (Loss)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has elected the option under ASC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to measure the Delayed Draw Term Loan, including the draw on August 29, 2024 (see Note 3, C</w:t>
      </w:r>
      <w:r>
        <w:rPr>
          <w:rFonts w:ascii="Times New Roman" w:cs="Times New Roman" w:eastAsia="Times New Roman" w:hAnsi="Times New Roman"/>
          <w:sz w:val="18"/>
          <w:szCs w:val="18"/>
          <w:i w:val="1"/>
          <w:iCs w:val="1"/>
          <w:color w:val="auto"/>
        </w:rPr>
        <w:t>redit and Securities Purchase Transaction</w:t>
      </w:r>
      <w:r>
        <w:rPr>
          <w:rFonts w:ascii="Times New Roman" w:cs="Times New Roman" w:eastAsia="Times New Roman" w:hAnsi="Times New Roman"/>
          <w:sz w:val="18"/>
          <w:szCs w:val="18"/>
          <w:color w:val="auto"/>
        </w:rPr>
        <w:t>) at fair value. The fair value option may be elected on an instrument-by-instrument basis and is irrevocable unless a new election date occurs. When the fair value option is elected for an instrument, unrealized gains and losses for such instrument is reported in the Unaudited Condensed Consolidated Statements of Operations and Comprehensive (Loss) Income at each subsequent reporting date. Upfront costs and fees related to items for which the fair value option is elected shall be recognized in earnings as incurred and not deferred. These amounts are included in Other expense in the Unaudited Condensed Consolidated Statements of Operations and Comprehensive (Loss) Income. The gains or losses attributable to changes in instrument-specific risk are included in Change in fair value of debt – credit risk in Accumulated other comprehensive income.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an entity, even one with only one reportable segment, to disclose significant segment expenses and other segment items on an annual and interim basis, and provide in interim periods all disclosures about a reportable segment’s profit or loss and assets that are currently required annually. Additionally, it requires an entity to disclose the title and position of the chief operating decision maker. ASU 2023-07 does not change how an entity identifies its operating segments, aggregates them or applies the quantitative thresholds to determine its reportable segments. ASU 2023-07 is effective for fiscal years beginning after December 15, 2023 and interim periods within fiscal years beginning after December 15, 2024. Early adoption is permitted. Entities should apply the amendments in ASU 2023-07 retrospectively to all prior periods presented in the financial statements. The Company is currently evaluating the impact of adopting ASU 2023-07 and does not expect it to have a material impact on the Company’s financial position, results of operations and cash flows.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Credit and Securities Purchase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Guaranty Agreement (“Credit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Delayed Draw Term Loan</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As previously disclosed in the June 30, 2024 Form 10-Q filed with the SEC, on June 21, 2024, the Company entered into a credit and guaranty agreement (the “Credit Agreement”) with CCM Denali Debt Holdings, LP, an affiliate of Cerberus Capital Management LP (herein after referred to as “Cerberus”, “Denali”, “Lender”, “Holder”). As a result of this transaction, Cerberus agreed to provide a $210,500 secured multi-draw facility to be made in four installments (“tranches”, and collectively, the (“Delayed Draw Term Loan” or “DDTL”) as well as a $105,000 revolving credit facility (“Revolving Facility”), to be made available at the Lenders’ sole discretion and only if the Delayed Draw Term Loan is fully funded. On June 21, 2024 the initial $75,000 installment was funded (the “Initial Draw”). On August 29, 2024, the full amount of the August tranche of $30,000 was funded. Subsequently the October 31, 2024 tranche for the full $65,000 was funded (see FN 21 -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xml:space="preserve"> for further discussion. The remaining tranche in the amount of $40,500 is scheduled for funding on January 31, 2025, if the performance milestones are met per the terms and conditions set forth in the Credit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21, 2024, the Company entered into a Securities Purchase Agreement (the “SPA”) with CCM Denali Equity Holdings, LP (the “Purchaser”).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SPA Warrant</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SPA, the Company issued a warrant to purchase 43,276,194 shares of Common Stock representing a collective ownership of 19.9% (the “SPA Warrant”).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or unless the Company receives stockholder approval, the Company may not issue additional shares of Common Stock exceeding 19.99% of shares of Common Stock issued and outstanding as of the date of the Initial Draw (such percentage, as may be adjusted in accordance with the terms of the Warrant, the “Warrant Conversion Cap”) upon exercise of the Warrant, and is required to issue, at the option of the Lender, Series A Preferred Stock or additional warrants on Common Stock upon a draw under the Delayed Draw Credit Facility. Following shareholder approval, the Warrant Conversion Cap increases to 49.9% of the number of shares of Common Stock issued and outstanding as of the applicable measurement date; provided that, following shareholder approval, the holder of the Warrant has the option to amend the Warrant Conversion Cap to any percentage less than 49.9%. Shareholder approval was obtained on September 10, 2024.</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less the SPA Warrant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(Loss) Income.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Credit Agreement and Securities Purchase Transaction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Warrants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Upon the achievement of performance milestones on dates specified in the Credit Agreement, the Company will receive additional funds and will issue at the option of the Lender, Preferred Stock (Series A-1 or A-2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The Contingent Warrants meet the criteria for liability classification under ASC 480. As such, the Contingent Warrants are included in Warrants liability - related party on the Unaudited Condensed Consolidated Balance Sheets at fair value as of September 30, 2024. The change in fair value of the Contingent warrants is included in Change in fair value of derivatives - related parties on the Company’s Unaudited Condensed Consolidated Statements of Operations and Comprehensive (Loss) Income. See Note 14, </w:t>
      </w:r>
      <w:r>
        <w:rPr>
          <w:rFonts w:ascii="Times New Roman" w:cs="Times New Roman" w:eastAsia="Times New Roman" w:hAnsi="Times New Roman"/>
          <w:sz w:val="18"/>
          <w:szCs w:val="18"/>
          <w:i w:val="1"/>
          <w:iCs w:val="1"/>
          <w:color w:val="auto"/>
        </w:rPr>
        <w:t>Warrants Liability</w:t>
      </w:r>
      <w:r>
        <w:rPr>
          <w:rFonts w:ascii="Times New Roman" w:cs="Times New Roman" w:eastAsia="Times New Roman" w:hAnsi="Times New Roman"/>
          <w:sz w:val="18"/>
          <w:szCs w:val="18"/>
          <w:color w:val="auto"/>
        </w:rPr>
        <w:t>, for further discussion of the SPA Warrant and Contingent Warrants.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A-1 Preferred Stock</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21, 2024, the Company filed with the Secretary of State of the State of Delaware the Series A-1 Certificate of Designation and issued 59 shares of Series A-1 Preferred Stock to satisfy the terms of the Credit Agreement. Under the terms of the Series A-1 Certificate of Designation, each share of Series A-1 Preferred Stock has an original issue price of $455,822.59 (the “A-1 Original Issue Price”) and a liquidation value, payable with the Common Stock, as if such shares were convertible into 541,357 shares, or an aggregate of 31,940,063 shares of Common Stock, subject to adjustment.</w:t>
      </w:r>
    </w:p>
    <w:p>
      <w:pPr>
        <w:spacing w:after="0" w:line="1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59 shares of Series A-1 Preferred Stock issued to Cerberus converted into shares of Series B-1 Preferred Stock once stockholder approval was obtained on September 10, 2024. See Series B Preferred Stock discussion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A-2 Preferred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Company filed with the Secretary of State of the State of Delaware the Series A-2 Certificate of Designation (the “Series A-2 Certificate of Designation”).</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terms of the Series A-2 Certificate of Designation, each share of Series A-2 Preferred Stock has an original issue price of $9,555,515.30 (the “A-2 Original Issue Price”) and a liquidation value, payable pari passu with the Common Stock, as if such share was convertible into 4,115,209 shares, or an aggregate of 28,806,463 shares of Common Stock, subject to adjustment. The Series A-2 Preferred Stock is non-voting and non-convertible into Common Stock. Holders of the Series A-2 Preferred Stock are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are substantially identical to the Series A-1 Preferred Stock.</w:t>
      </w:r>
    </w:p>
    <w:p>
      <w:pPr>
        <w:spacing w:after="0" w:line="1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29, 2024, in connection with the August Draw, and pursuant to the terms and conditions of the Credit Agreement between the Company and Cerberus, the applicable percentage increased by 4.9%, and as a result the Company issued to Cerberus 7 shares of Series A-2 Preferred Stock.</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7 shares of Series A-2 Preferred issued to Cerberus converted into shares of Series B-2 Preferred Stock once stockholder approval was obtained in September 2024. See Series B Preferred Stock discussion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4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September 11, 2024, the Company filed with the Secretary of State of the State of Delaware the Certificate of Designation of Series B-1 Non-Voting Convertible Preferred Stock (“Series B-1”) and the Certificate of Designation of Series B-2 Non-Voting Convertible Preferred Stock (“Series B-2”).</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Credit Agreement and Securities Purchase Transaction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Under the terms of the Series B-1 Certificate of Designation, each share of Series B-1 Preferred Stock, par value $0.0001 per share (the “Series B-1 Preferred Stock”), has an original issue price of $841,999.99 (the “B-1 Original Issue Price”).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outstanding Preferred Stock as of September 30,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92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66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140" w:type="dxa"/>
            <w:vAlign w:val="bottom"/>
          </w:tcPr>
          <w:p>
            <w:pPr>
              <w:spacing w:after="0"/>
              <w:rPr>
                <w:sz w:val="17"/>
                <w:szCs w:val="17"/>
                <w:color w:val="auto"/>
              </w:rPr>
            </w:pPr>
          </w:p>
        </w:tc>
        <w:tc>
          <w:tcPr>
            <w:tcW w:w="16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8"/>
              </w:rPr>
              <w:t>Original Issue Price</w:t>
            </w:r>
          </w:p>
        </w:tc>
        <w:tc>
          <w:tcPr>
            <w:tcW w:w="1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164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40"/>
        </w:trPr>
        <w:tc>
          <w:tcPr>
            <w:tcW w:w="220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vMerge w:val="continue"/>
          </w:tcPr>
          <w:p>
            <w:pPr>
              <w:spacing w:after="0"/>
              <w:rPr>
                <w:sz w:val="20"/>
                <w:szCs w:val="20"/>
                <w:color w:val="auto"/>
              </w:rPr>
            </w:pPr>
          </w:p>
        </w:tc>
        <w:tc>
          <w:tcPr>
            <w:tcW w:w="192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CCEEFF"/>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Equivalent</w:t>
            </w:r>
          </w:p>
        </w:tc>
        <w:tc>
          <w:tcPr>
            <w:tcW w:w="0" w:type="dxa"/>
            <w:vAlign w:val="bottom"/>
          </w:tcPr>
          <w:p>
            <w:pPr>
              <w:spacing w:after="0"/>
              <w:rPr>
                <w:sz w:val="1"/>
                <w:szCs w:val="1"/>
                <w:color w:val="auto"/>
              </w:rPr>
            </w:pPr>
          </w:p>
        </w:tc>
      </w:tr>
      <w:tr>
        <w:trPr>
          <w:trHeight w:val="22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B-1 Preferred Stock</w:t>
            </w:r>
          </w:p>
        </w:tc>
        <w:tc>
          <w:tcPr>
            <w:tcW w:w="1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9/12/2024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841,999.99</w:t>
            </w:r>
          </w:p>
        </w:tc>
        <w:tc>
          <w:tcPr>
            <w:tcW w:w="1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31.940063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0" w:type="dxa"/>
            <w:vAlign w:val="bottom"/>
          </w:tcPr>
          <w:p>
            <w:pPr>
              <w:spacing w:after="0"/>
              <w:rPr>
                <w:sz w:val="1"/>
                <w:szCs w:val="1"/>
                <w:color w:val="auto"/>
              </w:rPr>
            </w:pPr>
          </w:p>
        </w:tc>
      </w:tr>
      <w:tr>
        <w:trPr>
          <w:trHeight w:val="23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B-2 Preferred Stock</w:t>
            </w: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9/12/2024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28.806463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2,322,000</w:t>
            </w:r>
          </w:p>
        </w:tc>
        <w:tc>
          <w:tcPr>
            <w:tcW w:w="1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28.806463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28,806,463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Conversion rights: Under the terms of the Series B-2 Certificate of Designation, each share of Series B-2 Preferred Stock, par value $0.0001 per share (the “Series B-2 Preferred Stock,” and, collectively with the Series B-1 Preferred Stock, the “Series B Preferred Stock”) has an original issue price of $2,322,000 (the “B-2 Original Issue Price”). The Series B Preferred Stock is convertible into Common Stock at a conversion ratio of 1.0 million shares of Common Stock per share of Series B Preferred Stock (“Conversion Ratio”). The Conversion Ratio is subject to down-round protection that is triggered if the Company issues equity for a price per share that is less than the conversion ratio.</w:t>
      </w:r>
    </w:p>
    <w:p>
      <w:pPr>
        <w:spacing w:after="0" w:line="11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Dividends: Holders of the Series B Preferred Stock are entitled to receive dividends or distributions on each share of Series B Preferred Stock equal to dividends or distributions actually paid on each share of Common Stock on an as-converted basis.</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Appointment of Directors: At all times when the holders of the Preferred Stock beneficially own at least 10%, 15% 30%, or 40% of the capital stock of the Company, Preferred Stock shareholders, exclusively and voting together as a separate class, will have the right to appoint a maximum of 1, 2, 3, or 4 Directors to the Board of Directors of the Company (the “Board”), respectively. The Preferred Stock Shareholders will have the right to appoint a 4th Director to the Board only if such appointment does not result in a change of control under any Company governing documents or violate any applicable laws, including requirements of the SEC and Nasdaq.</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Preemptive rights: The Series B Certificates of Designation contain customary preemptive rights that permit the Holders of Series B Preferred Stock to participate in certain future equity offerings by the Company.</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(ii) June 21, 2029.</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Redemption Rights: At any time after June 21, 2029, in the case of the Series B-1 Preferred Stock, or August 29, 2029, in the case of the Series B-2 Preferred Stock, the outstanding shares of Series B Preferred Stock held by any holder become redeemable for cash at the redemption price. The redemption price will be an amount per share equal to the greater of (i) the B-1 Original Issue Price or B-2 Original Issue Price,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Credit Agreement and Securities Purchase Transaction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2024, both the Series B-1 and B-2 Preferred Stock are classified as mezzanine equity on the Unaudited Condensed Consolidated Balance Sheets at its redemption value because it is probable of becoming redeemable. The Company recorded accretion of the Series B-1 and B-2 Preferred Stock, which reduces additional paid-in capital, on the Unaudited Condensed Statements of Shareholders' Deficit.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Atlas Payoff Letter and Insurer Letter Agreement</w:t>
      </w:r>
    </w:p>
    <w:p>
      <w:pPr>
        <w:spacing w:after="0" w:line="157"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8"/>
          <w:szCs w:val="18"/>
          <w:color w:val="auto"/>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Lender. The Company has no obligation under the participation agreement between Atlas and the Lender. The payoff of the Senior Secured Term Loan resulted in a restructuring gain. These amounts are included in Gain (loss) on debt extinguishment on the Unaudited Condensed Consolidated Statements of Operations and Comprehensive (Loss) Income.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for further discussion.</w:t>
      </w:r>
    </w:p>
    <w:p>
      <w:pPr>
        <w:spacing w:after="0" w:line="1"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18"/>
          <w:szCs w:val="18"/>
          <w:color w:val="auto"/>
        </w:rPr>
        <w:t>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shall pay to the Atlas Insurers, subject to the terms and conditions of the Insurer Letter Agreement (i) on December 31, 2024, subject to the absence of certain events of default under the Credit Agreement, $3,000 and (ii) on June 30, 2025, subject to the absence of certain events of default under the Credit Agreement, $4,000. These amounts are included in Accrued expenses on the Unaudited Condensed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82" w:lineRule="exact"/>
        <w:rPr>
          <w:sz w:val="20"/>
          <w:szCs w:val="20"/>
          <w:color w:val="auto"/>
        </w:rPr>
      </w:pPr>
    </w:p>
    <w:p>
      <w:pPr>
        <w:jc w:val="both"/>
        <w:ind w:right="100"/>
        <w:spacing w:after="0" w:line="306" w:lineRule="auto"/>
        <w:rPr>
          <w:sz w:val="20"/>
          <w:szCs w:val="20"/>
          <w:color w:val="auto"/>
        </w:rPr>
      </w:pPr>
      <w:r>
        <w:rPr>
          <w:rFonts w:ascii="Times New Roman" w:cs="Times New Roman" w:eastAsia="Times New Roman" w:hAnsi="Times New Roman"/>
          <w:sz w:val="17"/>
          <w:szCs w:val="17"/>
          <w:color w:val="auto"/>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338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c>
          <w:tcPr>
            <w:tcW w:w="31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For the Nine Months Ended September 3</w:t>
            </w:r>
          </w:p>
        </w:tc>
        <w:tc>
          <w:tcPr>
            <w:tcW w:w="0" w:type="dxa"/>
            <w:vAlign w:val="bottom"/>
          </w:tcPr>
          <w:p>
            <w:pPr>
              <w:spacing w:after="0"/>
              <w:rPr>
                <w:sz w:val="1"/>
                <w:szCs w:val="1"/>
                <w:color w:val="auto"/>
              </w:rPr>
            </w:pPr>
          </w:p>
        </w:tc>
      </w:tr>
      <w:tr>
        <w:trPr>
          <w:trHeight w:val="240"/>
        </w:trPr>
        <w:tc>
          <w:tcPr>
            <w:tcW w:w="4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7"/>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5"/>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 Company had two customers that accounted for 65.6% and 21.8% of total revenue; for the nine months ended September 30, 2024, we had two customers that accounted for 80.3% and 10.1% of total revenue as the Company focused on the transition to the new manufacturing line.</w:t>
      </w:r>
    </w:p>
    <w:p>
      <w:pPr>
        <w:spacing w:after="0" w:line="138"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8"/>
          <w:szCs w:val="18"/>
          <w:color w:val="auto"/>
        </w:rPr>
        <w:t>For the three months ended September 30, 2023, the Company had two customers that accounted for 51.4% and 35.5% of total revenue, respectively; for the nine months ended September 30, 2023, we had one customer that accounted for 91.0% of total revenue.</w:t>
      </w: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Revenue Recognition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r>
      <w:tr>
        <w:trPr>
          <w:trHeight w:val="23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r>
    </w:tbl>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recognizes contract assets for certain contracts in which revenue recognition performance obligations have been satisfied but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w:t>
      </w:r>
    </w:p>
    <w:p>
      <w:pPr>
        <w:spacing w:after="0" w:line="1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Contract assets increased by $4,729 during the nine months ended September 30, 2024, due to recognition of revenues for which invoicing has not yet occurred.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changes in Contract liabilities during the nine months ended September 30, 2024:</w:t>
      </w:r>
    </w:p>
    <w:p>
      <w:pPr>
        <w:spacing w:after="0" w:line="19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4225" cy="152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 beginning of the period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Advance payments received from customers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 end of the period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w:t>
            </w:r>
          </w:p>
        </w:tc>
      </w:tr>
      <w:tr>
        <w:trPr>
          <w:trHeight w:val="227"/>
        </w:trPr>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227"/>
        </w:trPr>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32"/>
        </w:trPr>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w:t>
            </w:r>
          </w:p>
        </w:tc>
      </w:tr>
      <w:tr>
        <w:trPr>
          <w:trHeight w:val="220"/>
        </w:trPr>
        <w:tc>
          <w:tcPr>
            <w:tcW w:w="7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20" w:space="720"/>
            <w:col w:w="2000"/>
          </w:cols>
          <w:pgMar w:left="320" w:top="121" w:right="339" w:bottom="1440" w:gutter="0" w:footer="0" w:header="0"/>
          <w:type w:val="continuous"/>
        </w:sectPr>
      </w:pPr>
    </w:p>
    <w:p>
      <w:pPr>
        <w:spacing w:after="0" w:line="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Contract liabilities of $8,721 as of September 30, 2024, are expected to be recognized within the next twelve months and long-term contract liabilities of $3,303 are expected to be recognized as revenue in greater than twelve months. Contract assets of $11,911 as of September 30, 2024, are expected to be recognized within the next twelve months and long-term contract assets of $1,140 are expected to be recognized as accounts receivable in greater than twelve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Annual Report on Form 10-K for the year ended December 31, 2023. As of September 30, 2024, the Company's remaining performance obligations were approximately $30,149. The Company expects to recognize revenue of approximately 75% of the remaining performance obligations over the next twelve months, with the remainder recognized thereafter.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Restricted Cash</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Restricted cash - current consists of escrow deposits related to U.S. Custom Bonds insurance and escrow deposits related to our credit card program agreements.</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Long-term restricted cash as of September 30, 2024, relates to, as defined in the Credit Agreement, the Minimum Liquidity covenant, Prior to the first tranche funding, the Company shall not permit cash and cash equivalents at any time be less than $2,500. Once the first tranche is funded, the requirement increases to $5,000 and once the Delayed Draw Term Loan is disbursed in full, or the first date any indebtedness is incurred through the DOE LPO, or the Company achieves positive Minimum Consolidated EBITDA, the requirement increases to $15,000.</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Long-term restricted cash as of September 30, 2023, relates to interest that was required to be held in escrow per the Senior Secured Term Loan Agreement in an amount equal to the next four quarterly interest payments owed as of the balance sheet date. In connection with the June 2024 SPA and the Credit Agreement, the Company reached an agreement to payoff and terminate the Senior Secured Term Loan. Accordingly, the restricted cash held in the related escrow account was released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Credit Agreement and Securities Purchase Transaction</w:t>
      </w:r>
      <w:r>
        <w:rPr>
          <w:rFonts w:ascii="Times New Roman" w:cs="Times New Roman" w:eastAsia="Times New Roman" w:hAnsi="Times New Roman"/>
          <w:sz w:val="18"/>
          <w:szCs w:val="18"/>
          <w:color w:val="auto"/>
        </w:rPr>
        <w:t xml:space="preserve"> for further discussion).</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reconciles reported amounts from the Unaudited Condensed Consolidated Balance Sheets to Cash, Cash Equivalents and Restricted Cash reported within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1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9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8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Inventory balances:</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 net</w:t>
            </w:r>
          </w:p>
        </w:tc>
        <w:tc>
          <w:tcPr>
            <w:tcW w:w="196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960" w:type="dxa"/>
            <w:vAlign w:val="bottom"/>
            <w:vMerge w:val="restart"/>
          </w:tcPr>
          <w:p>
            <w:pPr>
              <w:jc w:val="right"/>
              <w:ind w:right="1331"/>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7"/>
        </w:trPr>
        <w:tc>
          <w:tcPr>
            <w:tcW w:w="51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Property, plant and equipment, net balances: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Estimated Useful lives</w:t>
            </w:r>
          </w:p>
        </w:tc>
        <w:tc>
          <w:tcPr>
            <w:tcW w:w="22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20"/>
                <w:szCs w:val="20"/>
                <w:color w:val="auto"/>
              </w:rPr>
            </w:pPr>
          </w:p>
        </w:tc>
        <w:tc>
          <w:tcPr>
            <w:tcW w:w="17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w:t>
            </w: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5 years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 to 10 years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173"/>
        </w:trPr>
        <w:tc>
          <w:tcPr>
            <w:tcW w:w="4280" w:type="dxa"/>
            <w:vAlign w:val="bottom"/>
          </w:tcPr>
          <w:p>
            <w:pPr>
              <w:spacing w:after="0"/>
              <w:rPr>
                <w:sz w:val="15"/>
                <w:szCs w:val="15"/>
                <w:color w:val="auto"/>
              </w:rPr>
            </w:pPr>
          </w:p>
        </w:tc>
        <w:tc>
          <w:tcPr>
            <w:tcW w:w="2860" w:type="dxa"/>
            <w:vAlign w:val="bottom"/>
            <w:gridSpan w:val="2"/>
          </w:tcPr>
          <w:p>
            <w:pPr>
              <w:jc w:val="center"/>
              <w:ind w:right="80"/>
              <w:spacing w:after="0" w:line="173" w:lineRule="exact"/>
              <w:rPr>
                <w:sz w:val="20"/>
                <w:szCs w:val="20"/>
                <w:color w:val="auto"/>
              </w:rPr>
            </w:pPr>
            <w:r>
              <w:rPr>
                <w:rFonts w:ascii="Times New Roman" w:cs="Times New Roman" w:eastAsia="Times New Roman" w:hAnsi="Times New Roman"/>
                <w:sz w:val="18"/>
                <w:szCs w:val="18"/>
                <w:color w:val="auto"/>
                <w:w w:val="98"/>
              </w:rPr>
              <w:t>Lesser of useful life/</w:t>
            </w: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 lease</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2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2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2 to 3 years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 (“CIP”)</w:t>
            </w:r>
          </w:p>
        </w:tc>
        <w:tc>
          <w:tcPr>
            <w:tcW w:w="2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w:t>
            </w:r>
          </w:p>
        </w:tc>
      </w:tr>
      <w:tr>
        <w:trPr>
          <w:trHeight w:val="22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55,887</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w:t>
            </w: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$2,669 and $2,144 for the three months ended September 30, 2024, and 2023 and $5,193 and $7,255 for the nine months ended September 30, 2024 and 2023, respectively.</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recorded a loss from write-down of property, plant and equipment of $3,192 and $955 for the three months ended September 30, 2024, and 2023, and $3,528 and $7,151 for the nine months ended September 30, 2024, and 2023, respectively. The 2023 write-downs were mainly due to replacement of equipment, outsourcing of certain production processes and the shift in production from the Gen 2.3 battery system to the Z3™ battery system. The 2024 write-downs were primarily related to design changes from the Z3™-Phase 1 to Z3™-Phase 2 production in which the Phase 1 production assets could not be utilized or repurposed for Phase 2 production.</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28, 2024, the Company successfully began commercial operations on the first manufacturing line. Accordingly, the assets classified as construction in progress were reclassified to equipment, leasehold improvements, furniture and tooling as of June 28, 2024. Included in construction in progress prior to the reclassification were capitalized interest costs of $1,841 for the nine months ended September 30, 2024. There were no capitalized interest costs recognized for the three and nine months ended September 30, 2023 and for the three months ended September 30,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include patents valued at $400, which represents the cost to acquire the patents. These patents are determined to have useful lives and are amortized into the results of operations over ten years. The Company recorded amortization expense of $10 for the three months ended September 30, 2024, and 2023 and $30 for the nine months ended September 30, 2024 and 2023, related to patents.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capitalized $146 of costs for internal-use software, including $8 of costs capitalized during the nine months ended September 30, 2024. The software has a useful life and is amortized into the results of operations over 3 years. The Company recorded amortization expense of $12 and $11 for the three months ended September 30, 2024, and 2023 and $36 and $31 for the nine months ended September 30, 2024, and 2023, respectively, related to software.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Notes Receivable, Net and Variable Interest Entities (“VIEs”) Consideration</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notes receivable, net, of $847 and $863 outstanding as of September 30, 2024 and December 31, 2023, respectively. These amounts are included in Other assets, net and Other current assets in the accompanying Unaudited Condensed Consolidated Balance Sheets. As of September 30, 2024 and December 31, 2023, the allowance for expected credit loss related to the notes receivable amounted to $37 and $2, respectively.</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maximum loss exposure is limited to the carrying value of notes receivable as of the balances sheet dates.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were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r>
      <w:tr>
        <w:trPr>
          <w:trHeight w:val="227"/>
        </w:trPr>
        <w:tc>
          <w:tcPr>
            <w:tcW w:w="71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Warranty reserve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expenses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premium payable</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27"/>
        </w:trPr>
        <w:tc>
          <w:tcPr>
            <w:tcW w:w="714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4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right="2660" w:firstLine="7"/>
        <w:spacing w:after="0" w:line="306" w:lineRule="auto"/>
        <w:tabs>
          <w:tab w:leader="none" w:pos="131"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Included in Other accrued expenses in the table above as of September 30, 2024, is $7,000 payable in accordance with the Insurer Letter Agreement. See Note 3, </w:t>
      </w:r>
      <w:r>
        <w:rPr>
          <w:rFonts w:ascii="Times New Roman" w:cs="Times New Roman" w:eastAsia="Times New Roman" w:hAnsi="Times New Roman"/>
          <w:sz w:val="12"/>
          <w:szCs w:val="12"/>
          <w:i w:val="1"/>
          <w:iCs w:val="1"/>
          <w:color w:val="auto"/>
        </w:rPr>
        <w:t>Credit and Securities Purchase Transaction</w:t>
      </w:r>
      <w:r>
        <w:rPr>
          <w:rFonts w:ascii="Times New Roman" w:cs="Times New Roman" w:eastAsia="Times New Roman" w:hAnsi="Times New Roman"/>
          <w:sz w:val="12"/>
          <w:szCs w:val="12"/>
          <w:color w:val="auto"/>
        </w:rPr>
        <w:t xml:space="preserve"> for further discussion.</w:t>
      </w:r>
    </w:p>
    <w:p>
      <w:pPr>
        <w:ind w:left="140" w:hanging="133"/>
        <w:spacing w:after="0"/>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the table below for the warranty reserve activity for the three and nine months ended September 30, 2024.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warranty reserve activity: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beginning of period</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period deliveries</w:t>
            </w: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the warranty reserve estimate</w:t>
            </w: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122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45"/>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end of period</w:t>
            </w:r>
          </w:p>
        </w:tc>
        <w:tc>
          <w:tcPr>
            <w:tcW w:w="1220" w:type="dxa"/>
            <w:vAlign w:val="bottom"/>
            <w:tcBorders>
              <w:top w:val="single" w:sz="8" w:color="auto"/>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867"/>
        </w:trPr>
        <w:tc>
          <w:tcPr>
            <w:tcW w:w="4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3"/>
        </w:trPr>
        <w:tc>
          <w:tcPr>
            <w:tcW w:w="4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Government Grants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 (“IRA”)</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into law. The IRA has significant economic incentives for both energy storage customers and manufacturers for projects placed in service after December 31, 2022. Starting in 2023, there are PTC, which can be claimed on battery components manufactured in the U.S. and sold to U.S. or foreign customers. The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the Department of the Treasury and the Internal Revenue Service (IRS) issued final regulations (Final Regulations) on the transferability of certain energy tax credits, pursuant to Section 6418 of the Internal Revenue Code of 1986, as amended, which was enacted as part of the Inflation Reduction Act of 2022. The Company has reviewed these regulations and believes they do not have a material impact on the financial statements.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the Department of the Treasury and the Internal Revenue Service (IRS) issued final regulations (Final Regulations) to provide guidance on the PTC established by the Inflation Reduction Act of 2022. The Company is currently assessing the potential implications of these regulations on the financial statements.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8"/>
          <w:szCs w:val="18"/>
          <w:i w:val="1"/>
          <w:iCs w:val="1"/>
          <w:color w:val="auto"/>
        </w:rPr>
        <w:t>Accounting for Government Grants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Assistance, </w:t>
      </w:r>
      <w:r>
        <w:rPr>
          <w:rFonts w:ascii="Times New Roman" w:cs="Times New Roman" w:eastAsia="Times New Roman" w:hAnsi="Times New Roman"/>
          <w:sz w:val="18"/>
          <w:szCs w:val="18"/>
          <w:color w:val="auto"/>
        </w:rPr>
        <w:t>under IFRS Accounting Standards. Under IAS 20, once it is reasonably assured that the entity will comply with the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PTC is recorded as the applicable items are produced and sold and the conditions in the preceding paragraph are met.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tax credit purchase agreements to sell and transfer all of the PTCs related to the production and sale of battery cells and battery modules produced in calendar years 2023 and in the first quarter of 2024, that were eligible to be claimed on the Company’s tax returns for the related years. The transferred tax credits were sold at 90% of their value and the cash purchase price of the PTCs was $3,430.</w:t>
      </w:r>
    </w:p>
    <w:p>
      <w:pPr>
        <w:spacing w:after="0" w:line="7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Cash was received from the buyer in April and June of 2024, after the completed registration requirements were filed through the IRS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provided electronic portal, inclusive of registration numbers needed to claim the credit on the Buyer’s tax return. Upon the receipt of the cash payments, </w:t>
      </w:r>
      <w:r>
        <w:rPr>
          <w:rFonts w:ascii="Times New Roman" w:cs="Times New Roman" w:eastAsia="Times New Roman" w:hAnsi="Times New Roman"/>
          <w:sz w:val="18"/>
          <w:szCs w:val="18"/>
          <w:color w:val="424242"/>
        </w:rPr>
        <w:t>the Company recorded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24242"/>
        </w:rPr>
        <w:t>offsets to the PTC/G</w:t>
      </w:r>
      <w:r>
        <w:rPr>
          <w:rFonts w:ascii="Times New Roman" w:cs="Times New Roman" w:eastAsia="Times New Roman" w:hAnsi="Times New Roman"/>
          <w:sz w:val="18"/>
          <w:szCs w:val="18"/>
          <w:color w:val="000000"/>
        </w:rPr>
        <w:t>rant Receivable account. There were no differences between the recorded fair value of the PTC receivable and the amount of</w:t>
      </w:r>
      <w:r>
        <w:rPr>
          <w:rFonts w:ascii="Times New Roman" w:cs="Times New Roman" w:eastAsia="Times New Roman" w:hAnsi="Times New Roman"/>
          <w:sz w:val="18"/>
          <w:szCs w:val="18"/>
          <w:color w:val="424242"/>
        </w:rPr>
        <w:t xml:space="preserve"> </w:t>
      </w:r>
      <w:r>
        <w:rPr>
          <w:rFonts w:ascii="Times New Roman" w:cs="Times New Roman" w:eastAsia="Times New Roman" w:hAnsi="Times New Roman"/>
          <w:sz w:val="18"/>
          <w:szCs w:val="18"/>
          <w:color w:val="000000"/>
        </w:rPr>
        <w:t>consideration received. Future differences, if any, will be recognized as an adjustment to cost of goods sold.</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recognized PTC credits of $170 and $109 for the three months ended September 30, 2024, and 2023 and $1,837 and $953 for the nine months ended September 30, 2024 and 2023, respectively, as a reduction of cost of goods sold on the Unaudited Condensed Consolidated Statements of Operations and Comprehensive (Loss) Income. As of September 30, 2024, and December 31, 2023, grant receivable related to the PTC in the amount of $1,506 and $3,256, respectively, is recorded in the Unaudited Condensed Consolidated Balance Sheets.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 Payable</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Company issued a convertible note in the aggregate principal amount of $100,000 to Spring Creek Capital, LLC, a wholly-owned, indirect subsidiary of Koch Industries, Inc. (the “2021 Convertible Note”). In connection with the 2021 Convertible Note, the Company paid $3,000 to B. Riley Securities, Inc., a related party, who acted as a placement agent. Refer to Note 13, </w:t>
      </w:r>
      <w:r>
        <w:rPr>
          <w:rFonts w:ascii="Times New Roman" w:cs="Times New Roman" w:eastAsia="Times New Roman" w:hAnsi="Times New Roman"/>
          <w:sz w:val="18"/>
          <w:szCs w:val="18"/>
          <w:i w:val="1"/>
          <w:iCs w:val="1"/>
          <w:color w:val="auto"/>
        </w:rPr>
        <w:t>Borrowing</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AFG Convertible Notes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2023, the Company issued and sold $13,750 of 26.5% Convertible Senior PIK Notes due in 2026 (“AFG Convertible Notes”) to Great American Insurance Company, Ardsley Partners Renewable Energy, LP, CCI SPV III, LP, Denman Street LLC, John B. Bending Irrevocable Children’s Trust, John B. Berding and AE Convert, LLC, a Delaware limited liability company managed by Russell Stidolph, a director of the Company (together, the “AFG Convertible Notes Purchasers”). In connection with the issuance and sale of the AFG Convertible Notes, the Company entered into an investment agreement (the “Investment Agreement”) with the AFG Convertible Notes Purchasers. Refer to Note 13, </w:t>
      </w:r>
      <w:r>
        <w:rPr>
          <w:rFonts w:ascii="Times New Roman" w:cs="Times New Roman" w:eastAsia="Times New Roman" w:hAnsi="Times New Roman"/>
          <w:sz w:val="18"/>
          <w:szCs w:val="18"/>
          <w:i w:val="1"/>
          <w:iCs w:val="1"/>
          <w:color w:val="auto"/>
        </w:rPr>
        <w:t>Borrowing</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April 28, 2022, the Company entered into the </w:t>
      </w:r>
      <w:r>
        <w:rPr>
          <w:rFonts w:ascii="Times New Roman" w:cs="Times New Roman" w:eastAsia="Times New Roman" w:hAnsi="Times New Roman"/>
          <w:sz w:val="18"/>
          <w:szCs w:val="18"/>
          <w:i w:val="1"/>
          <w:iCs w:val="1"/>
          <w:color w:val="auto"/>
        </w:rPr>
        <w:t>Standby Equity Purchase Agreement (“</w:t>
      </w:r>
      <w:r>
        <w:rPr>
          <w:rFonts w:ascii="Times New Roman" w:cs="Times New Roman" w:eastAsia="Times New Roman" w:hAnsi="Times New Roman"/>
          <w:sz w:val="18"/>
          <w:szCs w:val="18"/>
          <w:color w:val="auto"/>
        </w:rPr>
        <w:t xml:space="preserve">SEPA”). Pursuant to the SEPA, the Company had the right, but not the obligation, to sell to Yorkville shares of its common stock at the Company’s request. On August 23, 2023, the Company and Yorkville terminated the SEPA, as amended, by mutual written consent.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pre-advance loans in form of convertible promissory notes and Note 19, </w:t>
      </w:r>
      <w:r>
        <w:rPr>
          <w:rFonts w:ascii="Times New Roman" w:cs="Times New Roman" w:eastAsia="Times New Roman" w:hAnsi="Times New Roman"/>
          <w:sz w:val="18"/>
          <w:szCs w:val="18"/>
          <w:i w:val="1"/>
          <w:iCs w:val="1"/>
          <w:color w:val="auto"/>
        </w:rPr>
        <w:t xml:space="preserve">Shareholders' Deficit </w:t>
      </w:r>
      <w:r>
        <w:rPr>
          <w:rFonts w:ascii="Times New Roman" w:cs="Times New Roman" w:eastAsia="Times New Roman" w:hAnsi="Times New Roman"/>
          <w:sz w:val="18"/>
          <w:szCs w:val="18"/>
          <w:color w:val="auto"/>
        </w:rPr>
        <w:t>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and Securities Purchase Transaction</w:t>
      </w:r>
    </w:p>
    <w:p>
      <w:pPr>
        <w:spacing w:after="0" w:line="1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Pursuant to the terms and conditions of Credit and Securities Purchase Transaction, Cerberus and CCM Denali Equity Holdings, LP, are considered related parties as result of the transactions. Refer to Note 3, </w:t>
      </w:r>
      <w:r>
        <w:rPr>
          <w:rFonts w:ascii="Times New Roman" w:cs="Times New Roman" w:eastAsia="Times New Roman" w:hAnsi="Times New Roman"/>
          <w:sz w:val="18"/>
          <w:szCs w:val="18"/>
          <w:i w:val="1"/>
          <w:iCs w:val="1"/>
          <w:color w:val="auto"/>
        </w:rPr>
        <w:t>Credit and Securities Purchase Transaction</w:t>
      </w:r>
      <w:r>
        <w:rPr>
          <w:rFonts w:ascii="Times New Roman" w:cs="Times New Roman" w:eastAsia="Times New Roman" w:hAnsi="Times New Roman"/>
          <w:sz w:val="18"/>
          <w:szCs w:val="18"/>
          <w:color w:val="auto"/>
        </w:rPr>
        <w:t xml:space="preserve"> for detailed discussion.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obligations consist of the following: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15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3"/>
                <w:szCs w:val="13"/>
                <w:color w:val="auto"/>
              </w:rPr>
            </w:pPr>
          </w:p>
        </w:tc>
        <w:tc>
          <w:tcPr>
            <w:tcW w:w="14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vMerge w:val="restart"/>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Principal Outstanding</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212"/>
        </w:trPr>
        <w:tc>
          <w:tcPr>
            <w:tcW w:w="29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Convertible Note Payable</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94,386</w:t>
            </w:r>
          </w:p>
        </w:tc>
        <w:tc>
          <w:tcPr>
            <w:tcW w:w="0" w:type="dxa"/>
            <w:vAlign w:val="bottom"/>
          </w:tcPr>
          <w:p>
            <w:pPr>
              <w:spacing w:after="0"/>
              <w:rPr>
                <w:sz w:val="1"/>
                <w:szCs w:val="1"/>
                <w:color w:val="auto"/>
              </w:rPr>
            </w:pPr>
          </w:p>
        </w:tc>
      </w:tr>
      <w:tr>
        <w:trPr>
          <w:trHeight w:val="22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Draw Term Loan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2029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AFG Convertible Notes</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 related party</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112,525</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85,624</w:t>
            </w:r>
          </w:p>
        </w:tc>
        <w:tc>
          <w:tcPr>
            <w:tcW w:w="0" w:type="dxa"/>
            <w:vAlign w:val="bottom"/>
          </w:tcPr>
          <w:p>
            <w:pPr>
              <w:spacing w:after="0"/>
              <w:rPr>
                <w:sz w:val="1"/>
                <w:szCs w:val="1"/>
                <w:color w:val="auto"/>
              </w:rPr>
            </w:pPr>
          </w:p>
        </w:tc>
      </w:tr>
      <w:tr>
        <w:trPr>
          <w:trHeight w:val="227"/>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Equipment financing facility</w:t>
            </w:r>
          </w:p>
        </w:tc>
        <w:tc>
          <w:tcPr>
            <w:tcW w:w="16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2026</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203,859</w:t>
            </w:r>
          </w:p>
        </w:tc>
        <w:tc>
          <w:tcPr>
            <w:tcW w:w="0" w:type="dxa"/>
            <w:vAlign w:val="bottom"/>
          </w:tcPr>
          <w:p>
            <w:pPr>
              <w:spacing w:after="0"/>
              <w:rPr>
                <w:sz w:val="1"/>
                <w:szCs w:val="1"/>
                <w:color w:val="auto"/>
              </w:rPr>
            </w:pPr>
          </w:p>
        </w:tc>
      </w:tr>
      <w:tr>
        <w:trPr>
          <w:trHeight w:val="227"/>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45"/>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 non-current</w:t>
            </w: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160"/>
        <w:spacing w:after="0" w:line="296"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Carrying value includes unamortized deferred financing costs, unamortized discounts and fair value of embedded derivative liabilities, except for the Delayed Draw Term Loan, which is carried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fair value.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Draw Term Loan (“DDTL”)</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Credit and Securities Purchase Transaction</w:t>
      </w:r>
      <w:r>
        <w:rPr>
          <w:rFonts w:ascii="Times New Roman" w:cs="Times New Roman" w:eastAsia="Times New Roman" w:hAnsi="Times New Roman"/>
          <w:sz w:val="18"/>
          <w:szCs w:val="18"/>
          <w:color w:val="auto"/>
        </w:rPr>
        <w:t xml:space="preserve">, the Company borrowed an Initial Draw of $75,000, and received $$71,250, net of the 5.0% original issue discount from Delayed Draw Term Loan facility on June 21, 2024. On August 29, 2024, the Company met the first tranche milestones and submitted a borrowing request under the Credit Agreement for the scheduled $30,000, and received $28,500, net of the 5.0% original issue discount. The remaining two tranches may be drawn in the amounts of $65,000 and $40,500 on October 31, 2024, and January 31, 2025, respectively, upon the Company’s achievement of certain applicable funding milestones. See Note 3, </w:t>
      </w:r>
      <w:r>
        <w:rPr>
          <w:rFonts w:ascii="Times New Roman" w:cs="Times New Roman" w:eastAsia="Times New Roman" w:hAnsi="Times New Roman"/>
          <w:sz w:val="18"/>
          <w:szCs w:val="18"/>
          <w:i w:val="1"/>
          <w:iCs w:val="1"/>
          <w:color w:val="auto"/>
        </w:rPr>
        <w:t>Credit Agreement and Securities Purchase Transaction</w:t>
      </w:r>
      <w:r>
        <w:rPr>
          <w:rFonts w:ascii="Times New Roman" w:cs="Times New Roman" w:eastAsia="Times New Roman" w:hAnsi="Times New Roman"/>
          <w:sz w:val="18"/>
          <w:szCs w:val="18"/>
          <w:color w:val="auto"/>
        </w:rPr>
        <w:t xml:space="preserve"> for additional information on this transaction.</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Borrowings under the Credit Agreement bear interest at an annual rate equal to 15.0% per annum, subject to the following increases: (i) an additional 5.0% per annum upon the occurrence of an event of default under the Credit Agreement; and (ii) an additional 1.0% - 5.0% per annum for failure to obtain stockholder approval within 90 to 240 days following the signing of the Credit Agreement. The Company’s may elect to add accrued and unpaid interest on the loans to the principal amount of the loans (capitalized interest). Each tranche under the Delayed Draw Term Loan is subject to a 5.0%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June 21, 2027 and (iii) a prepayment premium for any prepayments prior to the scheduled maturity date. The Credit and Guaranty Agreement includes a Minimum Liquidity requirement under which the Company shall not permit liquidity at any time be less than $2,500, prior to the first tranche funding. Following the first tranche being funded, the Minimum Liquidity requirement increased to $5,000 and once the Delayed Draw Term Loan is disbursed in full, or the first date any indebtedness is incurred through the DOE LPO, or the Company achieves positive Minimum Consolidated EBITDA, the Minimum Liquidity requirement increases to $15,000.</w:t>
      </w:r>
    </w:p>
    <w:p>
      <w:pPr>
        <w:spacing w:after="0" w:line="1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DDTL is scheduled to mature on the earlier of (i) the date that is five years after the signing of the Credit Agreement and (ii) 91 days prior to the maturity of certain of the Company’s outstanding convertible notes.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the Company fails to achieve any milestones on any predetermined tranche date or the one additional milestone measurement date, the Company will not receive the specific tranche unless waived by the Lenders, and will be subject to a penalty represented by an up to 4.0% increase in the applicable percentage in the form of additional warrants or preferred shares at each missed milestone measurement date, which could result in the issuance of additional shares of Preferred Stock or Warrants up to an applicable percentage increase of up to 16.0% for all missed milestones, or up to a 45.0% overall applicable percentage taking into account the 33.0% applicable percentage. If the Company fails to achieve an interim milestone, but then subsequently achieves the final milestone for that particular category, the incremental penalty equity related to that milestone category is returned to the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also contains certain financial covenants, including (each as defined in the Credit Agreement)</w:t>
      </w:r>
    </w:p>
    <w:p>
      <w:pPr>
        <w:spacing w:after="0" w:line="113" w:lineRule="exact"/>
        <w:rPr>
          <w:sz w:val="20"/>
          <w:szCs w:val="20"/>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EBITDA</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Revenue</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w:t>
      </w:r>
    </w:p>
    <w:p>
      <w:pPr>
        <w:spacing w:after="0" w:line="24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As of and for the three months ended September 30, 2024, the Company was in compliance with the Minimum Consolidated EBITDA and the Minimum Liquidity financial covenant, and secured a waiver from Cerberus for non-compliance with the Minimum Consolidated Revenue financial covenant.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facilities are subject to certain events of default which can be triggered by, among other things, (i) breach of payment obligations and other obligations and representations in the Credit Agreement nor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judgement or decree entered against the Company or the Guarantors decreeing the dissolution or split up of such entity, (vii) the failure of the Common Stock to be listed on an internationally recognized stock exchange in the United States and (viii) a change of control.</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Delayed Draw Term Note for operational ease. The financial liability was initially measured at its issue-date fair value and is subsequently remeasured at fair value on a recurring basis at each reporting period date. The Company also elected the fair value option for the August Draw. The Initial Draw fair value, as well as the August Draw fair value (collectively the DDTL), was $25,653, and $12,528, respectively, at issuance. As of September 30, 2024, the fair value for the DDTL was $46,099. A loss of $3,036 and $3,276 was recognized for the three and nine months ended September 30, 2024, respectively. This is included in Change in fair value of debt - related party on the Unaudited Condensed Consolidated Statements of Operations and Comprehensive (Loss) Income. The Company also recorded a loss attributable to changes in instrument-specific risk of $4,642 for the three and nine months ended September 30, 2024. This is included in Change in fair value of debt - credit risk in Accumulated other comprehensive income.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did not separately report interest expense attributable to the DDTL because such interest was included in the determination of the fair value of the Note. See Note 15,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the assumptions used to determine the fair value the Delayed Draw Term Loan at issuance and at September 30,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 Payable – Related Party</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2021, the Company entered into an investment agreement with Spring Creek Capital, LLC, a wholly-owned, indirect subsidiary of Koch Industries, Inc. The investment agreement provides for the issuance and sale to Koch Industries of the 2021 Convertible Note in the aggregate principal amount of $100,000.</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2021 Convertible Note contains an embedded derivative feature, which is presented on the Unaudited Condensed Consolidated Balance Sheets as a component of Notes payable - related party. See Note 15,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the assumptions used to determine the fair value of the embedded derivative as of September 30, 2024 and December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2021 Convertible Note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38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2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0"/>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w:t>
            </w:r>
          </w:p>
        </w:tc>
      </w:tr>
      <w:tr>
        <w:trPr>
          <w:trHeight w:val="20"/>
        </w:trPr>
        <w:tc>
          <w:tcPr>
            <w:tcW w:w="3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for the 2021 Convertible Note are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115,815</w:t>
            </w:r>
          </w:p>
        </w:tc>
      </w:t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r>
      <w:tr>
        <w:trPr>
          <w:trHeight w:val="22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Embedded conversion feature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5"/>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is obligated to repay all contractual interest attributable to the 2021 Convertible Note in-kind on a semi-annual basis, in accordance with the terms under the Delayed Draw Term Loan. Therefore, as of September 30, 2024 and December 31, 2023, interest payable attributable for the 2021 Convertible Note was $1,789 and nil, respectively. For the nine months ended September 30, 2024 and September 30, 2023, interest that was paid in kind, capitalized and added to the principal amount of the 2021 Convertible Note was $3,474 and $3,275,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AFG Convertible Notes - Related Party</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January 18, 2023, the Company entered into the Investment Agreement with the AFG Convertible Notes Purchasers relating to the issuance and sale to the AFG Convertible Notes Purchasers of $13,750 in aggregate principal amount of the Company’s AFG Convertible Notes. The AFG Convertible Notes bear interest at a rate of 26.5% per annum, which is entirely paid-in-kind (“PIK Interest”) semi-annually in arrears on June 30 and December 30. It is expected that the Notes will mature on June 30, 2026,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Conversion Option includes an exercise contingency, which requires the Company to obtain stockholder approval for conversions subject to the Exchange Cap. If stockholder approval of the issuance of additional shares of Common Stock is not obtained, following commercially reasonable efforts, the Company will be required to settle the conversion in excess of the Exchange Cap in cash. Since settlement in cash may be required in absence of stockholder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 Income. The embedded derivative is presented on the Unaudited Condensed Consolidated Balance Sheets as a component of Notes payable - related party. The fair value of the embedded derivative was $17,621 and $4,345 as of September 30, 2024 and December 31, 2023, respectively.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AFG Convertible Notes at issuance was $16,623, which was greater than the proceeds received. The Company recorded the difference of $2,873 as interest expense for the nine months ended September 30, 2023 on the Unaudited Condensed Consolidated Statements of Operations and Comprehensive (Loss) Income.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AFG Convertible Notes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r>
      <w:tr>
        <w:trPr>
          <w:trHeight w:val="208"/>
        </w:trPr>
        <w:tc>
          <w:tcPr>
            <w:tcW w:w="30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2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1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0"/>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center"/>
              <w:ind w:right="11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0"/>
        </w:trPr>
        <w:tc>
          <w:tcPr>
            <w:tcW w:w="3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for the AFG Convertible Notes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r>
      <w:tr>
        <w:trPr>
          <w:trHeight w:val="22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7"/>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Embedded conversion feature</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45"/>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is obligated to repay all contractual interest attributable to the AFG Convertible Notes in-kind on a semi-annual basis, in accordance with the terms of the Investment Agreement. Therefore, as of September 30, 2024 and December 31, 2023, interest payable attributable to the AFG Convertible Notes was $1,308 and nil, respectively. For the nine months ended September 30, 2024 and September 30, 2023, interest that was paid in kind, capitalized and added to the principal amount of the AFG Convertible Note was $2,309 and $1,640,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29, 2022, the Company entered into a $100,000 Senior Secured Term Loan Credit Agreement with Atlas Credit Partners (ACP) Post Oak Credit I LLC, as administrative agent for the lenders and collateral agent for the secured parties. The Senior Secured Term Loan was scheduled to mature on the earlier of (i) July 29, 2026 and (ii) 91 days prior to the current maturity date of the 2021 Convertible Note of June 30, 2026.</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outstanding principal balance of the Senior Secured Term Loan bears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Prime Lending Rate, (y) the NYFRB Rate (as defined in the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Additionally, interest was required to be escrowed based on the principle outstanding. This amount was $11,755 at December 31, 2023. This escrowed and restricted cash was presented on a separate line item on the Unaudited Condensed Consolidated Balance Sheets as Long-term restricted cash. The agreements also contained customary affirmative and negative covenants. The Company was in compliance with all covenants prior to and at the time of the loan termination, as discussed below.</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Termination of the Senior Secured Term Loan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21, 2024, the Atlas Credit Agreement, and the subsequent commitment increase agreements thereto, which provided for a $100,000, were terminated pursuant to the terms of the Atlas Payoff Letter and the Insurer Letter Agreement, and all security interests and other liens granted to or held by the Atlas Lenders were terminated and released.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shall pay to the Atlas Insurers (i) on December 31, 2024, subject to the absence of certain events of default under the Credit Agreement, $3,000 and (ii) on June 30, 2025, subject to the absence of certain events of default under the Credit Agreement, $4,000.</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accounted for the termination of the Senior Secured Term Loan in accordance with ASC 470-60, T</w:t>
      </w:r>
      <w:r>
        <w:rPr>
          <w:rFonts w:ascii="Times New Roman" w:cs="Times New Roman" w:eastAsia="Times New Roman" w:hAnsi="Times New Roman"/>
          <w:sz w:val="18"/>
          <w:szCs w:val="18"/>
          <w:i w:val="1"/>
          <w:iCs w:val="1"/>
          <w:color w:val="auto"/>
        </w:rPr>
        <w:t>roubled Debt Restructurings</w:t>
      </w:r>
      <w:r>
        <w:rPr>
          <w:rFonts w:ascii="Times New Roman" w:cs="Times New Roman" w:eastAsia="Times New Roman" w:hAnsi="Times New Roman"/>
          <w:sz w:val="18"/>
          <w:szCs w:val="18"/>
          <w:color w:val="auto"/>
        </w:rPr>
        <w:t>. As a result, the Company recognized a restructuring gain of $68,478 in the Unaudited Condensed Consolidated Statements of Operations and Comprehensive (Loss) Income for the nine months ended September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Credit Agreement and Securities Purchase Transaction</w:t>
      </w:r>
      <w:r>
        <w:rPr>
          <w:rFonts w:ascii="Times New Roman" w:cs="Times New Roman" w:eastAsia="Times New Roman" w:hAnsi="Times New Roman"/>
          <w:sz w:val="18"/>
          <w:szCs w:val="18"/>
          <w:color w:val="auto"/>
        </w:rPr>
        <w:t xml:space="preserve"> for additional information on this transaction.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interest expense recognized: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8"/>
        </w:trPr>
        <w:tc>
          <w:tcPr>
            <w:tcW w:w="4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2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6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2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4,574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Senior Secured Term Loan balances are as follows:</w:t>
            </w: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2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4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0" w:type="dxa"/>
            <w:vAlign w:val="bottom"/>
          </w:tcPr>
          <w:p>
            <w:pPr>
              <w:spacing w:after="0"/>
              <w:rPr>
                <w:sz w:val="1"/>
                <w:szCs w:val="1"/>
                <w:color w:val="auto"/>
              </w:rPr>
            </w:pPr>
          </w:p>
        </w:tc>
      </w:tr>
      <w:tr>
        <w:trPr>
          <w:trHeight w:val="22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Gross Amount of</w:t>
            </w:r>
          </w:p>
        </w:tc>
        <w:tc>
          <w:tcPr>
            <w:tcW w:w="80" w:type="dxa"/>
            <w:vAlign w:val="bottom"/>
          </w:tcPr>
          <w:p>
            <w:pPr>
              <w:spacing w:after="0"/>
              <w:rPr>
                <w:sz w:val="16"/>
                <w:szCs w:val="16"/>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Coupon Interest</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6"/>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Date of Draw</w:t>
            </w:r>
          </w:p>
        </w:tc>
        <w:tc>
          <w:tcPr>
            <w:tcW w:w="100" w:type="dxa"/>
            <w:vAlign w:val="bottom"/>
          </w:tcPr>
          <w:p>
            <w:pPr>
              <w:spacing w:after="0"/>
              <w:rPr>
                <w:sz w:val="19"/>
                <w:szCs w:val="19"/>
                <w:color w:val="auto"/>
              </w:rPr>
            </w:pPr>
          </w:p>
        </w:tc>
        <w:tc>
          <w:tcPr>
            <w:tcW w:w="19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Initial Draw</w:t>
            </w:r>
          </w:p>
        </w:tc>
        <w:tc>
          <w:tcPr>
            <w:tcW w:w="8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320" w:type="dxa"/>
            <w:vAlign w:val="bottom"/>
          </w:tcPr>
          <w:p>
            <w:pPr>
              <w:spacing w:after="0"/>
              <w:rPr>
                <w:sz w:val="19"/>
                <w:szCs w:val="19"/>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Debt Issuance Costs</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720" w:type="dxa"/>
            <w:vAlign w:val="bottom"/>
            <w:tcBorders>
              <w:bottom w:val="single" w:sz="8" w:color="CCEEFF"/>
            </w:tcBorders>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5"/>
        </w:trPr>
        <w:tc>
          <w:tcPr>
            <w:tcW w:w="5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Equipment Financing 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67"/>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right"/>
              <w:ind w:right="1614"/>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3"/>
        </w:trPr>
        <w:tc>
          <w:tcPr>
            <w:tcW w:w="5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September 30, 2024 and December 31, 2023, total equipment financing carrying value was $3,262 and $5,710, respectively of which $2,536 and $3,332 are recorded as a current liability on the Unaudited Condensed Consolidated Balance Sheets, respectively. Interest expense attributable to the equipment financing agreement was $148 and $535 for the three and nine months ended September 30, 2024, respectively. Interest expense attributable to the equipment financing agreement was $265 and $874 for the three and nine months ended September 30, 2023,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Convertible Promissory Notes - Related Party</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February 2023, March of 2023, and April 2023, the Company issued convertible promissory notes with an aggregate principal amount of $37,000 in a private placement to Yorkville under the second and third supplemental agreements to the SEPA. The fair values of the convertible promissory notes at issuance were greater than the proceeds received. Accordingly, the Company recorded the excess of fair value of these promissory notes over the proceeds as Interest expense - related party in the amount of $17,572, for the nine months ended September 30, 2023, which is reflected in the Unaudited Condensed Consolidated Statements of Operations and Comprehensive (Loss) Income.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first half of 2023, Yorkville delivered Investor Notices requiring the Company to issue and sell an aggregate of 22,947,029 shares of common stock to Yorkville to offset all outstanding amounts owed to Yorkville under the outstanding convertible promissory notes. The Company recognized a loss on debt extinguishment from the issuance of common stock from the outstanding convertible promissory notes of $3,510 for the nine months ended September 30, 2023, which is reflected in the Unaudited Condensed Consolidated Statements of Operations and Comprehensive (Loss) Income.</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conversion feature for each of the convertible promissory notes did not qualify for the scope exception to derivative accounting, therefore the conversion option was bifurcated from each convertible promissory note. The bifurcated derivatives were recorded at their initial fair value on the date of issuance and subject to remeasurement at the debt extinguishment date, with changes in fair value recognized as a realized gain or loss in the Unaudited Condensed Consolidated Statements of Operations and Comprehensive (Loss) Income. Net gain of $6,922 was recognized for the nine months ended September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no outstanding Yorkville convertible promissory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Warrants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warrants outstanding and fair value for all warrants as of September 30, 2024 and December 31, 2023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342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9"/>
                <w:szCs w:val="19"/>
                <w:color w:val="auto"/>
              </w:rPr>
            </w:pPr>
          </w:p>
        </w:tc>
        <w:tc>
          <w:tcPr>
            <w:tcW w:w="34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76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6"/>
                <w:szCs w:val="16"/>
                <w:b w:val="1"/>
                <w:bCs w:val="1"/>
                <w:color w:val="auto"/>
                <w:w w:val="99"/>
              </w:rPr>
              <w:t>Number of Warrants</w:t>
            </w:r>
          </w:p>
        </w:tc>
        <w:tc>
          <w:tcPr>
            <w:tcW w:w="300" w:type="dxa"/>
            <w:vAlign w:val="bottom"/>
          </w:tcPr>
          <w:p>
            <w:pPr>
              <w:spacing w:after="0"/>
              <w:rPr>
                <w:sz w:val="13"/>
                <w:szCs w:val="13"/>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6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6"/>
                <w:szCs w:val="16"/>
                <w:b w:val="1"/>
                <w:bCs w:val="1"/>
                <w:color w:val="auto"/>
                <w:w w:val="99"/>
              </w:rPr>
              <w:t>Number of Warrants</w:t>
            </w:r>
          </w:p>
        </w:tc>
        <w:tc>
          <w:tcPr>
            <w:tcW w:w="300" w:type="dxa"/>
            <w:vAlign w:val="bottom"/>
          </w:tcPr>
          <w:p>
            <w:pPr>
              <w:spacing w:after="0"/>
              <w:rPr>
                <w:sz w:val="13"/>
                <w:szCs w:val="13"/>
                <w:color w:val="auto"/>
              </w:rPr>
            </w:pPr>
          </w:p>
        </w:tc>
        <w:tc>
          <w:tcPr>
            <w:tcW w:w="13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3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Warrants liability</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2023 warrants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2023 warrants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 warrants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34,193,105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34,482,759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0" w:type="dxa"/>
            <w:vAlign w:val="bottom"/>
          </w:tcPr>
          <w:p>
            <w:pPr>
              <w:spacing w:after="0"/>
              <w:rPr>
                <w:sz w:val="1"/>
                <w:szCs w:val="1"/>
                <w:color w:val="auto"/>
              </w:rPr>
            </w:pPr>
          </w:p>
        </w:tc>
      </w:tr>
      <w:tr>
        <w:trPr>
          <w:trHeight w:val="22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54,069,485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54,359,139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Warrants liability - related party</w:t>
            </w: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 Warrant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115,244</w:t>
            </w:r>
          </w:p>
        </w:tc>
        <w:tc>
          <w:tcPr>
            <w:tcW w:w="8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Contingent warrants</w:t>
            </w:r>
            <w:r>
              <w:rPr>
                <w:rFonts w:ascii="Times New Roman" w:cs="Times New Roman" w:eastAsia="Times New Roman" w:hAnsi="Times New Roman"/>
                <w:sz w:val="23"/>
                <w:szCs w:val="23"/>
                <w:color w:val="auto"/>
                <w:vertAlign w:val="superscript"/>
              </w:rPr>
              <w:t>(a)</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267,049</w:t>
            </w:r>
          </w:p>
        </w:tc>
        <w:tc>
          <w:tcPr>
            <w:tcW w:w="8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Contingent warrants represent future issuable shares of stock. See Note 3, </w:t>
      </w:r>
      <w:r>
        <w:rPr>
          <w:rFonts w:ascii="Times New Roman" w:cs="Times New Roman" w:eastAsia="Times New Roman" w:hAnsi="Times New Roman"/>
          <w:sz w:val="14"/>
          <w:szCs w:val="14"/>
          <w:i w:val="1"/>
          <w:iCs w:val="1"/>
          <w:color w:val="auto"/>
        </w:rPr>
        <w:t>Credit and Securities Purchase Transaction</w:t>
      </w:r>
      <w:r>
        <w:rPr>
          <w:rFonts w:ascii="Times New Roman" w:cs="Times New Roman" w:eastAsia="Times New Roman" w:hAnsi="Times New Roman"/>
          <w:sz w:val="14"/>
          <w:szCs w:val="14"/>
          <w:color w:val="auto"/>
        </w:rPr>
        <w:t xml:space="preserve"> for further discussion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Warrants Liability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liability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private placement warrants to B. Riley Financial, Inc. in conjunction with its initial public offering 2020 (“IPO warrants”).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Company issued in a combined public offering 34,482,759 shares of common stock and 34,482,759 accompanying common warrants to purchase shares of common stock (the "December 2023 warrants"). For the three and nine months ended September 30, 2024, 289,654 of the December 2023 warrants were exercised.</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IPO, April, May, and December 2023 Warrants are classified as Warrant liability on the Unaudited Condensed Consolidated Balance Sheets. The change in fair value of the IPO, April, May, and December 2023 Warrants is presented as Change in fair value of warrants on the Company’s Unaudited Condensed Consolidated Statements of Operations and Comprehensive (Loss) Income. See Note 15,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information</w:t>
      </w:r>
      <w:r>
        <w:rPr>
          <w:rFonts w:ascii="Times New Roman" w:cs="Times New Roman" w:eastAsia="Times New Roman" w:hAnsi="Times New Roman"/>
          <w:sz w:val="18"/>
          <w:szCs w:val="18"/>
          <w:i w:val="1"/>
          <w:i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liability- related party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 Warrant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Credit Agreement and Securities Purchase Transaction,</w:t>
      </w:r>
      <w:r>
        <w:rPr>
          <w:rFonts w:ascii="Times New Roman" w:cs="Times New Roman" w:eastAsia="Times New Roman" w:hAnsi="Times New Roman"/>
          <w:sz w:val="18"/>
          <w:szCs w:val="18"/>
          <w:color w:val="auto"/>
        </w:rPr>
        <w:t xml:space="preserve"> 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Following stockholder approval on September 10, 2024, the Warrant Conversion Cap increased to 49.9%. See Note 3, </w:t>
      </w:r>
      <w:r>
        <w:rPr>
          <w:rFonts w:ascii="Times New Roman" w:cs="Times New Roman" w:eastAsia="Times New Roman" w:hAnsi="Times New Roman"/>
          <w:sz w:val="18"/>
          <w:szCs w:val="18"/>
          <w:i w:val="1"/>
          <w:iCs w:val="1"/>
          <w:color w:val="auto"/>
        </w:rPr>
        <w:t xml:space="preserve">Credit Agreement and Securities Purchase Transaction </w:t>
      </w:r>
      <w:r>
        <w:rPr>
          <w:rFonts w:ascii="Times New Roman" w:cs="Times New Roman" w:eastAsia="Times New Roman" w:hAnsi="Times New Roman"/>
          <w:sz w:val="18"/>
          <w:szCs w:val="18"/>
          <w:color w:val="auto"/>
        </w:rPr>
        <w:t>for additional information on this transaction.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Warrants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Initial Draw, on three separate predetermined draw dates upon the achievement of the corresponding performance milestone for each such draw date, the Company will receive additional funds under the Credit Agreement and will issue securities under the SPA in an amount equal to the applicable percentage, up to an aggregate of 33.0% ownership limitation on a fully-diluted basis at such time the Delayed Draw Term Loan is fully drawn. Although these contingent warrants are not issued or exercisable until additional draws occur, they meet the definition of a derivative and are recognized at fair value with changes in fair value reported in the Condensed Consolidated Statements of Operations and Comprehensive (Loss)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w:t>
      </w:r>
    </w:p>
    <w:p>
      <w:pPr>
        <w:spacing w:after="0" w:line="1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1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Level 3 - Inputs that are generally unobservable and typically reflect management’s estimate of assumptions that market participants would use in pricing the asset or liability.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accounts receivable, contract assets, contract liabilities and accounts payable are considered to be representative of their fair value due to the short maturity of these instruments.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set forth the Company's financial liabilities measured at fair values based on the fair value hierarchy, as described above. These should also be read with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Company’s Annual Report on Form 10-K for the year ended December 31,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SPA Warrant </w:t>
            </w:r>
            <w:r>
              <w:rPr>
                <w:rFonts w:ascii="Times New Roman" w:cs="Times New Roman" w:eastAsia="Times New Roman" w:hAnsi="Times New Roman"/>
                <w:sz w:val="23"/>
                <w:szCs w:val="23"/>
                <w:color w:val="auto"/>
                <w:vertAlign w:val="superscript"/>
              </w:rPr>
              <w:t>(a)</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40" w:type="dxa"/>
            <w:vAlign w:val="bottom"/>
            <w:gridSpan w:val="2"/>
          </w:tcPr>
          <w:p>
            <w:pPr>
              <w:spacing w:after="0" w:line="226" w:lineRule="exact"/>
              <w:rPr>
                <w:sz w:val="20"/>
                <w:szCs w:val="20"/>
                <w:color w:val="auto"/>
              </w:rPr>
            </w:pPr>
            <w:r>
              <w:rPr>
                <w:rFonts w:ascii="Times New Roman" w:cs="Times New Roman" w:eastAsia="Times New Roman" w:hAnsi="Times New Roman"/>
                <w:sz w:val="18"/>
                <w:szCs w:val="18"/>
                <w:color w:val="auto"/>
              </w:rPr>
              <w:t xml:space="preserve">Contingent warrants </w:t>
            </w:r>
            <w:r>
              <w:rPr>
                <w:rFonts w:ascii="Times New Roman" w:cs="Times New Roman" w:eastAsia="Times New Roman" w:hAnsi="Times New Roman"/>
                <w:sz w:val="23"/>
                <w:szCs w:val="23"/>
                <w:color w:val="auto"/>
                <w:vertAlign w:val="superscript"/>
              </w:rPr>
              <w:t>(a)</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IPO, April, May and December 2023 Warrants</w:t>
            </w:r>
          </w:p>
        </w:tc>
        <w:tc>
          <w:tcPr>
            <w:tcW w:w="880" w:type="dxa"/>
            <w:vAlign w:val="bottom"/>
            <w:vMerge w:val="restart"/>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27,406</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w:t>
            </w:r>
          </w:p>
        </w:tc>
        <w:tc>
          <w:tcPr>
            <w:tcW w:w="880" w:type="dxa"/>
            <w:vAlign w:val="bottom"/>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Delayed Draw Term Loan</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00" w:hanging="193"/>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Warrants liability - Related party on the Unaudited Condensed Consolidated Balance Sheets.</w:t>
      </w:r>
    </w:p>
    <w:p>
      <w:pPr>
        <w:spacing w:after="0" w:line="14"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these instruments are Level 3, except for the IPO warrants (Level 2). These are included in Warrants liability on the Unaudited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Condensed Consolidated Balance Sheets.</w:t>
      </w:r>
    </w:p>
    <w:p>
      <w:pPr>
        <w:spacing w:after="0" w:line="15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Each of the following recurring level 2 and level 3 instruments’ valuation model used to determine fair value is disclosed in the Company’s Annual Report on the Form 10-K for the year ended December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Warrants</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IPO warrants are valued on the basis of the quoted price of the Company’s public warrants, adjusted for insignificant difference between the public warrants and the private placement warrants.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2023 warrants, May 2023 warrants and December 2023 warrants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estimated the fair value of the embedded conversion features in the 2021 Convertible Note and the AFG Convertible Notes using a binomial lattice model at inception and on subsequent measurement dates. This model incorporates significant inputs such as the stock price of the Company, dividend yield, risk-free interest rate, debt yield and expected volatility. The volatility and debt yield are significant unobservable inputs classified as Level 3 of the fair value hierarchy.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for instruments resulting from the Credit and Securities Purchase Transaction</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Loan commitment assets were measured at fair value as of June 21, 2024 (see Note 3, </w:t>
      </w:r>
      <w:r>
        <w:rPr>
          <w:rFonts w:ascii="Times New Roman" w:cs="Times New Roman" w:eastAsia="Times New Roman" w:hAnsi="Times New Roman"/>
          <w:sz w:val="18"/>
          <w:szCs w:val="18"/>
          <w:i w:val="1"/>
          <w:iCs w:val="1"/>
          <w:color w:val="auto"/>
        </w:rPr>
        <w:t>Credit and Securities Purchase Transaction</w:t>
      </w:r>
      <w:r>
        <w:rPr>
          <w:rFonts w:ascii="Times New Roman" w:cs="Times New Roman" w:eastAsia="Times New Roman" w:hAnsi="Times New Roman"/>
          <w:sz w:val="18"/>
          <w:szCs w:val="18"/>
          <w:color w:val="auto"/>
        </w:rPr>
        <w:t>). The fair value was $76,091 at issuance calculated using the discounted cash flow model. They will not be subsequently remeasured at fair value.</w:t>
      </w:r>
    </w:p>
    <w:p>
      <w:pPr>
        <w:spacing w:after="0" w:line="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following table summarizes instruments that were initially and subsequently measured at fair value. (see Note 3, </w:t>
      </w:r>
      <w:r>
        <w:rPr>
          <w:rFonts w:ascii="Times New Roman" w:cs="Times New Roman" w:eastAsia="Times New Roman" w:hAnsi="Times New Roman"/>
          <w:sz w:val="18"/>
          <w:szCs w:val="18"/>
          <w:i w:val="1"/>
          <w:iCs w:val="1"/>
          <w:color w:val="auto"/>
        </w:rPr>
        <w:t>Credit and 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6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Instrument</w:t>
            </w:r>
          </w:p>
        </w:tc>
        <w:tc>
          <w:tcPr>
            <w:tcW w:w="308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Initial measurement date</w:t>
            </w:r>
          </w:p>
        </w:tc>
      </w:tr>
      <w:tr>
        <w:trPr>
          <w:trHeight w:val="220"/>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Draw of the Delayed Draw Term Loan</w:t>
            </w:r>
          </w:p>
        </w:tc>
        <w:tc>
          <w:tcPr>
            <w:tcW w:w="12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6/21/2024</w:t>
            </w:r>
          </w:p>
        </w:tc>
      </w:tr>
      <w:tr>
        <w:trPr>
          <w:trHeight w:val="227"/>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 Warrant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6/21/2024</w:t>
            </w:r>
          </w:p>
        </w:tc>
      </w:tr>
      <w:tr>
        <w:trPr>
          <w:trHeight w:val="227"/>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Warrants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6/21/2024</w:t>
            </w:r>
          </w:p>
        </w:tc>
      </w:tr>
      <w:tr>
        <w:trPr>
          <w:trHeight w:val="232"/>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Draw of the Delayed Draw Term Loan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8/29/2024</w:t>
            </w:r>
          </w:p>
        </w:tc>
      </w:tr>
    </w:tbl>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fair value of each draw of the Delayed Draw Term Loan was estimated using a discounted cash flow (“DCF”) method, based on the contractual cash flows discounted at a debt yield and considering the probability of achieving certain milestones.</w:t>
      </w:r>
    </w:p>
    <w:p>
      <w:pPr>
        <w:spacing w:after="0" w:line="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for the SPA warrant is estimated based on its intrinsic value, using the Eos common stock closing price adjusted by a discount for lack of marketability (“DLOM”), less the exercise price of $0.01 for the SPA Warrant. A DLOM was applied considering the underlying shares of the SPA Warrants are unregistered.</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Contingent Warrants is estimated based on the underlying Eos common stock closing price adjusted by a DLOM and an allowance for certain redemption features using Black-Scholes option pricing model, considering the probability of achieving certain milestones. A DLOM was applied considering the underlying shares of the Contingent Warrants are unregistered.</w:t>
      </w:r>
    </w:p>
    <w:p>
      <w:pPr>
        <w:spacing w:after="0" w:line="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fair values for all the above instruments are designated as level 3 measurements as they rely on significant unobservable inputs. The significant unobservable inputs for each of these instruments are disclosed in the tables below. All other inputs used are observable.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information about all significant unobservable inputs used in the fair value measurement for non-recurring level 3 measurements: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Loan Commitment Assets:</w:t>
            </w:r>
          </w:p>
        </w:tc>
        <w:tc>
          <w:tcPr>
            <w:tcW w:w="38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21, 2024</w:t>
            </w:r>
          </w:p>
        </w:tc>
      </w:tr>
      <w:tr>
        <w:trPr>
          <w:trHeight w:val="22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Milestones achievement expectations</w:t>
            </w:r>
          </w:p>
        </w:tc>
        <w:tc>
          <w:tcPr>
            <w:tcW w:w="3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Very high probability</w:t>
            </w:r>
          </w:p>
        </w:tc>
      </w:tr>
      <w:tr>
        <w:trPr>
          <w:trHeight w:val="23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yield</w:t>
            </w: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888"/>
        </w:trPr>
        <w:tc>
          <w:tcPr>
            <w:tcW w:w="4100" w:type="dxa"/>
            <w:vAlign w:val="bottom"/>
          </w:tcPr>
          <w:p>
            <w:pPr>
              <w:spacing w:after="0"/>
              <w:rPr>
                <w:sz w:val="24"/>
                <w:szCs w:val="24"/>
                <w:color w:val="auto"/>
              </w:rPr>
            </w:pPr>
          </w:p>
        </w:tc>
        <w:tc>
          <w:tcPr>
            <w:tcW w:w="3880" w:type="dxa"/>
            <w:vAlign w:val="bottom"/>
          </w:tcPr>
          <w:p>
            <w:pPr>
              <w:jc w:val="right"/>
              <w:ind w:right="217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13"/>
        </w:trPr>
        <w:tc>
          <w:tcPr>
            <w:tcW w:w="410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information about all significant unobservable inputs used in the fair value measurement for recurring level 3 measurements: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Delayed Draw Term Loan Initial Tranche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June 21, 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yield</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53"/>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36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Warrants- all tranches</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June 21, 2024</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Milestones achievement expectations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Very high probability</w:t>
            </w:r>
          </w:p>
        </w:tc>
        <w:tc>
          <w:tcPr>
            <w:tcW w:w="8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Very high probability</w:t>
            </w:r>
          </w:p>
        </w:tc>
      </w:tr>
      <w:tr>
        <w:trPr>
          <w:trHeight w:val="22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shd w:val="clear" w:color="auto" w:fill="CCEEFF"/>
          </w:tcPr>
          <w:p>
            <w:pPr>
              <w:spacing w:after="0"/>
              <w:rPr>
                <w:sz w:val="19"/>
                <w:szCs w:val="19"/>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 (“DLOM”)</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r>
      <w:tr>
        <w:trPr>
          <w:trHeight w:val="36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 Warrant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June 21, 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 (“DLOM”)</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72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Delayed Draw Term Loan August Draw</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August 31, 2024</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yield</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8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880"/>
        </w:trPr>
        <w:tc>
          <w:tcPr>
            <w:tcW w:w="5440" w:type="dxa"/>
            <w:vAlign w:val="bottom"/>
          </w:tcPr>
          <w:p>
            <w:pPr>
              <w:spacing w:after="0"/>
              <w:rPr>
                <w:sz w:val="24"/>
                <w:szCs w:val="24"/>
                <w:color w:val="auto"/>
              </w:rPr>
            </w:pPr>
          </w:p>
        </w:tc>
        <w:tc>
          <w:tcPr>
            <w:tcW w:w="2900" w:type="dxa"/>
            <w:vAlign w:val="bottom"/>
            <w:gridSpan w:val="4"/>
          </w:tcPr>
          <w:p>
            <w:pPr>
              <w:jc w:val="right"/>
              <w:ind w:right="2537"/>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3"/>
        </w:trPr>
        <w:tc>
          <w:tcPr>
            <w:tcW w:w="5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Rollforward for Liabilities Measured at Fair Value on a Recurring Basis</w:t>
      </w:r>
    </w:p>
    <w:p>
      <w:pPr>
        <w:spacing w:after="0" w:line="1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liabilities that are included within the Company’s accompanying Unaudited Condensed Consolidated Balance Sheets and are designated as Level 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3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r>
      <w:tr>
        <w:trPr>
          <w:trHeight w:val="208"/>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Delayed Draw Term Loan</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80" w:type="dxa"/>
            <w:vAlign w:val="bottom"/>
          </w:tcPr>
          <w:p>
            <w:pPr>
              <w:spacing w:after="0"/>
              <w:rPr>
                <w:sz w:val="19"/>
                <w:szCs w:val="19"/>
                <w:color w:val="auto"/>
              </w:rPr>
            </w:pPr>
          </w:p>
        </w:tc>
        <w:tc>
          <w:tcPr>
            <w:tcW w:w="1200" w:type="dxa"/>
            <w:vAlign w:val="bottom"/>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5"/>
          </w:tcPr>
          <w:p>
            <w:pPr>
              <w:jc w:val="right"/>
              <w:ind w:right="271"/>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August Draw</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45"/>
        </w:trPr>
        <w:tc>
          <w:tcPr>
            <w:tcW w:w="3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12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gridSpan w:val="2"/>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
        </w:trPr>
        <w:tc>
          <w:tcPr>
            <w:tcW w:w="3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 Warrant and Contingent Warrants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141,296</w:t>
            </w:r>
          </w:p>
        </w:tc>
        <w:tc>
          <w:tcPr>
            <w:tcW w:w="80" w:type="dxa"/>
            <w:vAlign w:val="bottom"/>
          </w:tcPr>
          <w:p>
            <w:pPr>
              <w:spacing w:after="0"/>
              <w:rPr>
                <w:sz w:val="19"/>
                <w:szCs w:val="19"/>
                <w:color w:val="auto"/>
              </w:rPr>
            </w:pPr>
          </w:p>
        </w:tc>
        <w:tc>
          <w:tcPr>
            <w:tcW w:w="1200" w:type="dxa"/>
            <w:vAlign w:val="bottom"/>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to preferred stock</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267,049</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3"/>
        </w:trPr>
        <w:tc>
          <w:tcPr>
            <w:tcW w:w="35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April, May, and December 2023 Warrants</w:t>
            </w: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w:t>
            </w:r>
          </w:p>
        </w:tc>
        <w:tc>
          <w:tcPr>
            <w:tcW w:w="60" w:type="dxa"/>
            <w:vAlign w:val="bottom"/>
          </w:tcPr>
          <w:p>
            <w:pPr>
              <w:spacing w:after="0"/>
              <w:rPr>
                <w:sz w:val="19"/>
                <w:szCs w:val="19"/>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(34,065)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(6,713)</w:t>
            </w:r>
          </w:p>
        </w:tc>
        <w:tc>
          <w:tcPr>
            <w:tcW w:w="60" w:type="dxa"/>
            <w:vAlign w:val="bottom"/>
          </w:tcPr>
          <w:p>
            <w:pPr>
              <w:spacing w:after="0"/>
              <w:rPr>
                <w:sz w:val="19"/>
                <w:szCs w:val="19"/>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8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60" w:type="dxa"/>
            <w:vAlign w:val="bottom"/>
          </w:tcPr>
          <w:p>
            <w:pPr>
              <w:spacing w:after="0"/>
              <w:rPr>
                <w:sz w:val="19"/>
                <w:szCs w:val="19"/>
                <w:color w:val="auto"/>
              </w:rPr>
            </w:pPr>
          </w:p>
        </w:tc>
      </w:tr>
      <w:tr>
        <w:trPr>
          <w:trHeight w:val="40"/>
        </w:trPr>
        <w:tc>
          <w:tcPr>
            <w:tcW w:w="3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20"/>
        </w:trPr>
        <w:tc>
          <w:tcPr>
            <w:tcW w:w="3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Embedded derivatives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tcPr>
          <w:p>
            <w:pPr>
              <w:spacing w:after="0"/>
              <w:rPr>
                <w:sz w:val="19"/>
                <w:szCs w:val="19"/>
                <w:color w:val="auto"/>
              </w:rPr>
            </w:pPr>
          </w:p>
        </w:tc>
        <w:tc>
          <w:tcPr>
            <w:tcW w:w="1200" w:type="dxa"/>
            <w:vAlign w:val="bottom"/>
            <w:gridSpan w:val="2"/>
          </w:tcPr>
          <w:p>
            <w:pPr>
              <w:jc w:val="right"/>
              <w:ind w:right="9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60" w:type="dxa"/>
            <w:vAlign w:val="bottom"/>
          </w:tcPr>
          <w:p>
            <w:pPr>
              <w:spacing w:after="0"/>
              <w:rPr>
                <w:sz w:val="19"/>
                <w:szCs w:val="19"/>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42,191</w:t>
            </w:r>
          </w:p>
        </w:tc>
        <w:tc>
          <w:tcPr>
            <w:tcW w:w="60" w:type="dxa"/>
            <w:vAlign w:val="bottom"/>
            <w:shd w:val="clear" w:color="auto" w:fill="CCEEFF"/>
          </w:tcPr>
          <w:p>
            <w:pPr>
              <w:spacing w:after="0"/>
              <w:rPr>
                <w:sz w:val="19"/>
                <w:szCs w:val="19"/>
                <w:color w:val="auto"/>
              </w:rPr>
            </w:pPr>
          </w:p>
        </w:tc>
      </w:tr>
      <w:tr>
        <w:trPr>
          <w:trHeight w:val="173"/>
        </w:trPr>
        <w:tc>
          <w:tcPr>
            <w:tcW w:w="35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Change in fair value of derivatives - related</w:t>
            </w: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0"/>
        </w:trPr>
        <w:tc>
          <w:tcPr>
            <w:tcW w:w="350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parties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(27,398)</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(28,767)</w:t>
            </w:r>
          </w:p>
        </w:tc>
      </w:tr>
      <w:tr>
        <w:trPr>
          <w:trHeight w:val="24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60" w:type="dxa"/>
            <w:vAlign w:val="bottom"/>
            <w:shd w:val="clear" w:color="auto" w:fill="CCEEFF"/>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80" w:hanging="73"/>
        <w:spacing w:after="0"/>
        <w:tabs>
          <w:tab w:leader="none" w:pos="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loss on debt extinguishment from Yorkville Promissory Note conversions for the nine months ended September 30,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financial instruments not carried at fair value in the Unaudited Condensed Consolidated Balance Sheets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0"/>
                <w:szCs w:val="20"/>
                <w:color w:val="auto"/>
              </w:rPr>
            </w:pPr>
          </w:p>
        </w:tc>
        <w:tc>
          <w:tcPr>
            <w:tcW w:w="3820" w:type="dxa"/>
            <w:vAlign w:val="bottom"/>
            <w:gridSpan w:val="4"/>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0"/>
        </w:trPr>
        <w:tc>
          <w:tcPr>
            <w:tcW w:w="30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commitment assets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Convertible Note*</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57,998</w:t>
            </w: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61,360</w:t>
            </w: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AFG Convertible Notes*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w:t>
            </w: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356,770</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204,722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143,255</w:t>
            </w:r>
          </w:p>
        </w:tc>
      </w:tr>
      <w:tr>
        <w:trPr>
          <w:trHeight w:val="20"/>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*Includes the embedded derivative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Volume Commitment</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2022, the Company entered into a long-term supply agreement containing a minimum volume commitment with a third party that provides services to process certain raw materials. Any purchase order issued under this supply agreement will be non-cancellable. If the Company fails to order the guaranteed minimum volume defined in the contract at the end of the term, the Company will be required to pay the counterparty an amount equal to the shortfall, if any, multiplied by a fee. The Company is currently negotiating a new long-term supply agreement with the counterparty. As part of the ongoing negotiations, the Company has agreed to pay the counterparty $1,250 as a shortfall penalty and transfer equipment with a net book value of approximately $600. As a result, the Company will be released of any minimum volume commitments as part of the original agreement. A liability of $1,850 has been recorded and is included in Accrued expenses on the Unaudited Condensed Consolidated Balance Sheets and was recognized in Cost of goods sold on the Unaudited Condensed Consolidated Statements of Operations and Comprehensive (Loss)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Action Complaints</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8, 2023, a class action lawsuit was filed in the Court of Chancery of the State of Delaware by plaintiff Richard Delman against certain defendants including the Company’s former directors (the “Delman Defendants”). Neither the Company nor Eos Energy Storage LLC were named as a defendant but each was identified in the Complaint as a relevant non-party and the Company has indemnification obligations relating to the lawsuit. On February 1, 2024, the parties agreed to a binding Settlement Term Sheet (the “Settlement”) whereby plaintiff agreed to resolve the lawsuit in exchange for a settlement payment of $8,500, to be fully funded by the Company’s Directors and Officers (“D&amp;O”) liability insurance policies subject to a retention by the Company of approximately $1,000 consisting of the Company’s payment of legal fees related to this matter. On June 1, 2024, the parties submitted to the Court of Chancery a definitive Stipulation and Agreement of Settlement, Compromise, and Release, and related documents. On October 17, 2024, the Court of Chancery approved the proposed Settlement and the Company coordinating the settlement payment with the Company’s D&amp;O insurers.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1, 2023, a class action lawsuit was filed in the United States District Court of New Jersey by plaintiff William Houck against the Company, the Company’s Chief Executive Officer, its former Chief Financial Officer and its current Chief Financial Officer (with the Company, the “Houck Defendants”). The Complaint alleges that the defendants violated federal securities laws by making knowingly false or misleading statements about the Company’s contractual relationship with a customer and about the size of the Company’s order backlog and commercial pipeline. Defendants deny the allegations and, on February 13, 2024, moved to dismiss the Complaint. On March 5, 2024, plaintiff filed an amended complaint that dropped the Company’s former Chief Financial Officer as a defendant. On April 4, 2024, defendants filed a renewed motion to dismiss the lawsuit. The Company intends to continue to vigorously defend against this 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Stock-based compensation expense included in the Unaudited Condensed Consolidated Statements of Operations and Comprehensive (Loss) Income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2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0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2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w:t>
            </w: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74"/>
        </w:trPr>
        <w:tc>
          <w:tcPr>
            <w:tcW w:w="5000" w:type="dxa"/>
            <w:vAlign w:val="bottom"/>
          </w:tcPr>
          <w:p>
            <w:pPr>
              <w:spacing w:after="0"/>
              <w:rPr>
                <w:sz w:val="24"/>
                <w:szCs w:val="24"/>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3"/>
        </w:trPr>
        <w:tc>
          <w:tcPr>
            <w:tcW w:w="50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Stock-Based Compensation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stock compensation expense has been recorded in cost of goods sold, research and development expenses and selling, general and administrative expenses.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there was $26,569 of unrecognized compensation cost attributable to unvested restricted stock units. Compensation expense for these unvested awards is expected to be recognized over a weighted-average remaining vesting period of 2.4 years for RSUs.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(“PRSU”)</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third quarter of 2024, the Company granted contingent shares to select key executives that may be earned based on the Company’s total shareholder return (“TSR”) over a two and three-year period following the grant date. 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two and three-year period following the grant date. This peer group includes the entire Russell 2000 index as it existed at the beginning of the performance period, excluding any companies that were removed from the index during the performance period. The payment of awards following the two and three-year award period is based on performance achieved in accordance with the scale set forth in the plan agreement and may range from 0% to 200% of the initial grant. The fair value of the TSR awards is estimated using a Monte Carlo simulation in an option pricing framework.</w:t>
      </w:r>
    </w:p>
    <w:p>
      <w:pPr>
        <w:spacing w:after="0" w:line="10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following summarizes the key assumptions used to estimate the fair value of the TSR awards that were granted, and the resulting weighted average grant date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TSR awards</w:t>
            </w:r>
          </w:p>
        </w:tc>
      </w:tr>
      <w:tr>
        <w:trPr>
          <w:trHeight w:val="22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share price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r>
      <w:tr>
        <w:trPr>
          <w:trHeight w:val="22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volatility</w:t>
            </w:r>
          </w:p>
        </w:tc>
        <w:tc>
          <w:tcPr>
            <w:tcW w:w="4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115.3 %</w:t>
            </w:r>
          </w:p>
        </w:tc>
      </w:tr>
      <w:tr>
        <w:trPr>
          <w:trHeight w:val="227"/>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correlation</w:t>
            </w:r>
          </w:p>
        </w:tc>
        <w:tc>
          <w:tcPr>
            <w:tcW w:w="4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2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dividend yield</w:t>
            </w:r>
          </w:p>
        </w:tc>
        <w:tc>
          <w:tcPr>
            <w:tcW w:w="4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performance term</w:t>
            </w:r>
          </w:p>
        </w:tc>
        <w:tc>
          <w:tcPr>
            <w:tcW w:w="4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years</w:t>
            </w:r>
          </w:p>
        </w:tc>
      </w:tr>
      <w:tr>
        <w:trPr>
          <w:trHeight w:val="22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4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7"/>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 average volatility</w:t>
            </w:r>
          </w:p>
        </w:tc>
        <w:tc>
          <w:tcPr>
            <w:tcW w:w="4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2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 average correlation</w:t>
            </w:r>
          </w:p>
        </w:tc>
        <w:tc>
          <w:tcPr>
            <w:tcW w:w="4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27"/>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3.19</w:t>
            </w:r>
          </w:p>
        </w:tc>
      </w:tr>
    </w:tbl>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Company also granted shares contingent upon the achievement of certain performance milestones related to the Credit Agreement that may be earned over the performance period following the grant date. The contingent share awards (“Milestone PRSU”) are paid out in stock at the end of the vesting period based on the Company’s achievement of the performance milestones.</w:t>
      </w:r>
    </w:p>
    <w:p>
      <w:pPr>
        <w:spacing w:after="0" w:line="1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of September 30, 2024, there was $13,863 of unrecognized compensation cost related to the Company’s PRSUs. This cost is expected to be recognized over a weighted average period of 1.0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Income tax (benefit) expense was $(16) and $13 for the three months ended September 30, 2024 and 2023, and $17 and $25 for the nine months ended September 30, 2024 and 2023 respectively, related to state margin tax adjustments and taxable earnings from foreign operations. The income tax expense differs from the amount computed by applying the statutory U.S. federal income tax rate of 21% to the loss before income taxes. This is due to non-deductible losses, foreign operations and pre-tax losses for which no tax benefit can be recognized for U.S. income tax purposes.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The quarterly estimate of the annual effective tax rate and related tax expense is subject to variation due to a multitude of factors, including, but are not limited to, the inability to accurately predict the Company’s pre-tax and taxable income and loss.</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September 30, 2024 and December 31, 2023 due to cumulative losses. Therefore, the Company has a valuation allowance against its net U.S. deferred tax assets.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unrecognized tax benefits associated with uncertain tax positions that, if recognized, would not affect the effective tax rate on income from continuing operations. The Company is not currently under examination by any taxing jurisdiction and none of the unrecognized tax benefits are expected to reverse within the next 12 months.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U.S. federal and various state jurisdictions, as well as in Italy and India. The open tax years for federal returns are 2020 and forward and open tax years for state returns are generally 2019 and forward. In addition, net operating losses generated in closed years and utilized in open years are subject to adjustment by the tax authorities.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Shareholders’ Deficit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such designations, voting and other rights and preferences as may be determined from time to time by the Company’s Board of Directors. The preferred stock has a par value of $0.0001 As of September 30, 2024 and December 31, 2023, there were no shares of preferred stock issued or outstanding.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600,000,000 shares of common stock at $0.0001 par value as of September 30, 2024. The holders of the Company’s common stock are entitled to one vote for each share held. At September 30, 2024 and December 31, 2023, there were 217,278,404 and 199,133,827 shares of common stock issued and outstanding,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treasury stock of $771 and $136 for the three months ended September 30, 2024 and 2023 and $1,122 and $587 for the nine months ended September 30, 2024 and 2023, respectively, for shares withheld from employees to cover the payroll tax liability of RSUs vested. The treasury stock was immediately retired.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during the three and nine months ended September 30, 2024 and 2023. As of September 30, 2024 and December 31, 2023, there were 7,052,254 public warrants outstanding for both periods.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Shareholders’ Deficit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During the nine months ended September 30, 2023, total funds raised under the SEPA, inclusive of proceeds received from the Yorkville convertible promissory notes, were $35,550. During the nine months ended September 30, 2023, total shares issued under the SEPA were 23,630,937.</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w:t>
      </w:r>
    </w:p>
    <w:p>
      <w:pPr>
        <w:spacing w:after="0" w:line="11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16,627,523 shares raising proceeds of $14,089, net of fees paid to Cowen, at an average selling price of $0.87 per share. There were no shares issued under the ATM offering program for the three months ended September 30, 2024.</w:t>
      </w:r>
    </w:p>
    <w:p>
      <w:pPr>
        <w:spacing w:after="0" w:line="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sold 28,938,944 shares raising proceeds of $81,897, net of fees paid to Cowen, at an average selling price of $2.74 per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Earnings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numerators and denominators used in computing basic and diluted net income (loss) per share for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for basic earnings per share</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0" w:type="dxa"/>
            <w:vAlign w:val="bottom"/>
          </w:tcPr>
          <w:p>
            <w:pPr>
              <w:spacing w:after="0"/>
              <w:rPr>
                <w:sz w:val="1"/>
                <w:szCs w:val="1"/>
                <w:color w:val="auto"/>
              </w:rPr>
            </w:pP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shares: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for interest on Convertible Notes</w:t>
            </w:r>
          </w:p>
        </w:tc>
        <w:tc>
          <w:tcPr>
            <w:tcW w:w="5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27"/>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for fair value gains on embedded derivatives for Convertible Notes</w:t>
            </w:r>
          </w:p>
        </w:tc>
        <w:tc>
          <w:tcPr>
            <w:tcW w:w="5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0" w:type="dxa"/>
            <w:vAlign w:val="bottom"/>
          </w:tcPr>
          <w:p>
            <w:pPr>
              <w:spacing w:after="0"/>
              <w:rPr>
                <w:sz w:val="1"/>
                <w:szCs w:val="1"/>
                <w:color w:val="auto"/>
              </w:rPr>
            </w:pPr>
          </w:p>
        </w:tc>
      </w:tr>
      <w:tr>
        <w:trPr>
          <w:trHeight w:val="245"/>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diluted earnings per share</w:t>
            </w: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common shares outstanding</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216,898,374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138,005,222</w:t>
            </w:r>
          </w:p>
        </w:tc>
        <w:tc>
          <w:tcPr>
            <w:tcW w:w="0" w:type="dxa"/>
            <w:vAlign w:val="bottom"/>
          </w:tcPr>
          <w:p>
            <w:pPr>
              <w:spacing w:after="0"/>
              <w:rPr>
                <w:sz w:val="1"/>
                <w:szCs w:val="1"/>
                <w:color w:val="auto"/>
              </w:rPr>
            </w:pPr>
          </w:p>
        </w:tc>
      </w:tr>
      <w:tr>
        <w:trPr>
          <w:trHeight w:val="227"/>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5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14,836,450</w:t>
            </w: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April and May Warrants</w:t>
            </w:r>
          </w:p>
        </w:tc>
        <w:tc>
          <w:tcPr>
            <w:tcW w:w="5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1,344,677</w:t>
            </w:r>
          </w:p>
        </w:tc>
        <w:tc>
          <w:tcPr>
            <w:tcW w:w="0" w:type="dxa"/>
            <w:vAlign w:val="bottom"/>
          </w:tcPr>
          <w:p>
            <w:pPr>
              <w:spacing w:after="0"/>
              <w:rPr>
                <w:sz w:val="1"/>
                <w:szCs w:val="1"/>
                <w:color w:val="auto"/>
              </w:rPr>
            </w:pPr>
          </w:p>
        </w:tc>
      </w:tr>
      <w:tr>
        <w:trPr>
          <w:trHeight w:val="227"/>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5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1,142,184</w:t>
            </w: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5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996,751</w:t>
            </w:r>
          </w:p>
        </w:tc>
        <w:tc>
          <w:tcPr>
            <w:tcW w:w="0" w:type="dxa"/>
            <w:vAlign w:val="bottom"/>
          </w:tcPr>
          <w:p>
            <w:pPr>
              <w:spacing w:after="0"/>
              <w:rPr>
                <w:sz w:val="1"/>
                <w:szCs w:val="1"/>
                <w:color w:val="auto"/>
              </w:rPr>
            </w:pPr>
          </w:p>
        </w:tc>
      </w:tr>
      <w:tr>
        <w:trPr>
          <w:trHeight w:val="22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dilutive common shares outstanding</w:t>
            </w:r>
          </w:p>
        </w:tc>
        <w:tc>
          <w:tcPr>
            <w:tcW w:w="5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216,898,374</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156,325,284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7"/>
        </w:trPr>
        <w:tc>
          <w:tcPr>
            <w:tcW w:w="6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9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Earnings Per Share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earnings per share (“EPS”) is calculated by dividing net earnings attributable to common stockholders by the weighted average number of shares of common stock outstanding for the applicable period. Diluted EPS is computed using the treasury stock method for warrants, stock options, and restricted stock units; and the if-converted method for convertible notes.</w:t>
      </w:r>
    </w:p>
    <w:p>
      <w:pPr>
        <w:spacing w:after="0" w:line="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the three months ended September 30, 2023, the following potentially dilutive shares were excluded from the calculation of diluted net loss per share because their effect would have been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20" w:type="dxa"/>
            <w:vAlign w:val="bottom"/>
          </w:tcPr>
          <w:p>
            <w:pPr>
              <w:spacing w:after="0"/>
              <w:rPr>
                <w:sz w:val="17"/>
                <w:szCs w:val="17"/>
                <w:color w:val="auto"/>
              </w:rPr>
            </w:pPr>
          </w:p>
        </w:tc>
        <w:tc>
          <w:tcPr>
            <w:tcW w:w="26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7"/>
        </w:trPr>
        <w:tc>
          <w:tcPr>
            <w:tcW w:w="862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and private placement warrants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7,326,654</w:t>
            </w:r>
          </w:p>
        </w:tc>
      </w:tr>
      <w:tr>
        <w:trPr>
          <w:trHeight w:val="232"/>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1,585,056</w:t>
            </w:r>
          </w:p>
        </w:tc>
      </w:tr>
    </w:tbl>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basic earnings per share (“EPS”) is computed by dividing earnings available to common shareholders by the weighted average number of shares of common stock outstanding during the period.The Preferred Series B is a participating security that does not have the obligation to share in the losses of the Company. Therefore, the more dilutive of the “if-converted” and “two-class” method must be applied when calculating EPS for the common shares. 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accreted to the redemption value. The accretion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the Company incurred a net loss for the three months ended September 30, 2024, as well as the nine months ended September 30, 2024 and 2023,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months ended September 30, 2024, as well as the nine months ended September 30, 2024 and 2023. The following potentially dilutive shares were excluded from the calculation of diluted net loss per share because their effect would have been anti-dilutive for the three months ended September 30, 2024, as well as the nine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and Nine Months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3"/>
        </w:trPr>
        <w:tc>
          <w:tcPr>
            <w:tcW w:w="6740" w:type="dxa"/>
            <w:vAlign w:val="bottom"/>
          </w:tcPr>
          <w:p>
            <w:pPr>
              <w:spacing w:after="0"/>
              <w:rPr>
                <w:sz w:val="20"/>
                <w:szCs w:val="20"/>
                <w:color w:val="auto"/>
              </w:rPr>
            </w:pP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Ended September 30,</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4"/>
        </w:trPr>
        <w:tc>
          <w:tcPr>
            <w:tcW w:w="674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RSUs, PRSUs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26,966,240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9,239,612</w:t>
            </w: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placement warrants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104,397,933</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26,928,634</w:t>
            </w: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(if converted)</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17,782,644</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14,836,450</w:t>
            </w: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60,746,526</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31, 2024, the Company announced the achievement of all four of the second performance milestones previously agreed upon between Eos and Cerberus. Achieving these performance milestones enables the company to draw an additional $65,000 from the Delayed Draw Term Loan. On November 1, 2024, Cerberus funded the $65,000 related to the October 31, 2024 tranche (“October Draw” or “October Tranche”), and the Company received $61,750, which is net of the 5.0% original issue discount from the Delayed Draw Term Loan.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Subsequent Events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on November 1, 2024, the Company filed with the Secretary of State of the State of Delaware the Certificate of Designation of Series B-3 Non-Voting Convertible Preferred Stock of the Company (the “Series B-3 Certificate of Designation”). In connection with the October Draw, the Applicable Percentage increased by 6.1%, and as a result the Company issued to Cerberus 38.259864 shares of a newly designated non-voting Series B-3 Convertible Preferred Stock, par value $0.0001 per share (the “Series B-3 Preferred Stock”), which are convertible into an aggregate of 38,259,864 shares of Common Stock. Collectively, the SPA Warrant, the Series B Preferred Stock, and the newly created Series B-3 Preferred Stock are exercisable or convertible into, as applicable, an aggregate of 142,282,584 shares of Common Stock, or an Applicable Percentage of 30.9% as of issuance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accompanying Unaudited Condensed Consolidated Financial Statements for the nine months ended September 30, 2024 and 2023 and the Company’s Annual Report on Form 10-K for the year ended December 31, 2023, including the financial statements and notes thereto.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continues to invest in the refinement and production of its Z3 battery, which builds off the same electrochemistry that has not fundamentally changed for the better part of a decade. The next Z3 battery is designed to reduce cost and weight while improving manufacturability and system performance. The Eos Z3 battery is more cost-effective and has a simpler tub design with 50% fewer cells and 98% fewer welds per battery module than the Gen 2.3. The Company currently expects that the Z3 battery will give customers the benefit of two times the energy density per square foot, along with the ability to cycle multiple times per day, all with the same safety, reliability, security and recyclability. The Z3 transition is fully underway and the first semi-automated battery manufacturing line is installed and has started commercial production. The Z3 batteries utilize the same chemistry, which has over 3 million cycles, and incorporate a new mechanical design aimed at improving performance, lowering cost and increasing manufacturability.</w:t>
      </w:r>
    </w:p>
    <w:p>
      <w:pPr>
        <w:spacing w:after="0" w:line="1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started delivery of its Z3 battery modules in the third quarter of 2023. The Z3 battery incorporates valuable lessons learned from the past 15 years into a new system design which the Company expects to result in efficiencies as it develops its new state-of-the-art manufacturing line.</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believes the simplicity, flexibility and safety of our products are what the market desires. In addition, we believe that the Inflation Reduction Act gives us a competitive advantage by virtue of production tax credits (“PTC”) that can be claimed on battery components manufactured domestically, and tax credits for customers for projects that satisfy domestic content requirements. See </w:t>
      </w:r>
      <w:r>
        <w:rPr>
          <w:rFonts w:ascii="Times New Roman" w:cs="Times New Roman" w:eastAsia="Times New Roman" w:hAnsi="Times New Roman"/>
          <w:sz w:val="18"/>
          <w:szCs w:val="18"/>
          <w:i w:val="1"/>
          <w:iCs w:val="1"/>
          <w:color w:val="auto"/>
        </w:rPr>
        <w:t>Regulatory Landscape</w:t>
      </w:r>
      <w:r>
        <w:rPr>
          <w:rFonts w:ascii="Times New Roman" w:cs="Times New Roman" w:eastAsia="Times New Roman" w:hAnsi="Times New Roman"/>
          <w:sz w:val="18"/>
          <w:szCs w:val="18"/>
          <w:color w:val="auto"/>
        </w:rPr>
        <w:t xml:space="preserve">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intends to engage with a consortium of community leaders, universities and supply chain partners in anticipation of pursuing grants made available under the Bipartisan Infrastructure Law of 2021.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Department of Energy (“DOE”)</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August 2023, the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and around Turtle Creek, Pennsylvania.</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Eligible costs include capital expenditures and other costs associated with ramping up the manufacturing lines and facility, for example start-up and shakedown costs, as well as certain material and labor costs before efficiencies are met. The Company is working to finalize the loan documents with the DOE and to fulfill certain conditions precedent. Eos is spending eligible costs now that would be reimbursable at first funding.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 (“IRA”)</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IRA features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As discussed in Note 11, </w:t>
      </w:r>
      <w:r>
        <w:rPr>
          <w:rFonts w:ascii="Times New Roman" w:cs="Times New Roman" w:eastAsia="Times New Roman" w:hAnsi="Times New Roman"/>
          <w:sz w:val="17"/>
          <w:szCs w:val="17"/>
          <w:i w:val="1"/>
          <w:iCs w:val="1"/>
          <w:color w:val="auto"/>
        </w:rPr>
        <w:t>Government Grants</w:t>
      </w:r>
      <w:r>
        <w:rPr>
          <w:rFonts w:ascii="Times New Roman" w:cs="Times New Roman" w:eastAsia="Times New Roman" w:hAnsi="Times New Roman"/>
          <w:sz w:val="17"/>
          <w:szCs w:val="17"/>
          <w:color w:val="auto"/>
        </w:rPr>
        <w:t xml:space="preserve"> to our Unaudited Condensed Consolidated Financial Statements included elsewhere in this Quarterly Report,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These credits are expected to be a new source of cash flow for Eos in the future.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62" w:lineRule="exact"/>
        <w:rPr>
          <w:sz w:val="20"/>
          <w:szCs w:val="20"/>
          <w:color w:val="auto"/>
        </w:rPr>
      </w:pPr>
    </w:p>
    <w:p>
      <w:pPr>
        <w:jc w:val="both"/>
        <w:ind w:left="64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entered into a supply agreement with TETRA Technologies, Inc (“TETRA”) that further expanded this partnership. TETRA is a leading global energy services and solutions company. This supply agreement designates TETRA as the preferred strategic supplier of electrolyte products for the Company’s Eos Z3TM long duration energy storage cube.</w:t>
      </w:r>
    </w:p>
    <w:p>
      <w:pPr>
        <w:spacing w:after="0" w:line="1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Company entered into a multiyear pricing agreement with SHPP US LLC, a Saudi Basic Industries Corporation (“SABIC”) affiliate, to supply conductive composite thermoplastic for the Eos Z3TM battery module. The Company and SABIC have worked collaboratively to develop a solution using one of SABIC’s new resin materials to replace the titanium used in prior Eos battery iterations.</w:t>
      </w:r>
    </w:p>
    <w:p>
      <w:pPr>
        <w:spacing w:after="0" w:line="1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the Company achieved “Power On” status of all motion systems on its first state-of-the-art manufacturing line. Reaching this milestone is a significant step in achieving the state-of-the-art manufacturing line being installed and commissioned in the Company’s Turtle Creek facility.</w:t>
      </w:r>
    </w:p>
    <w:p>
      <w:pPr>
        <w:spacing w:after="0" w:line="17"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and Pine Gate Renewables signed an agreement to expand its existing relationship. The new Master Supply Agreement (“MSA”) is for 500 MWh of energy storage systems to be delivered over the next five years.</w:t>
      </w:r>
    </w:p>
    <w:p>
      <w:pPr>
        <w:spacing w:after="0" w:line="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successfully completed its Factory Acceptance Testing on State of the Art (“SotA”) manufacturing line.</w:t>
      </w:r>
    </w:p>
    <w:p>
      <w:pPr>
        <w:spacing w:after="0" w:line="5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September 30, 2024, the Company recognized $0.2 million of grant income related to the IRA PTC.</w:t>
      </w:r>
    </w:p>
    <w:p>
      <w:pPr>
        <w:spacing w:after="0" w:line="59" w:lineRule="exact"/>
        <w:rPr>
          <w:rFonts w:ascii="Times New Roman" w:cs="Times New Roman" w:eastAsia="Times New Roman" w:hAnsi="Times New Roman"/>
          <w:sz w:val="18"/>
          <w:szCs w:val="18"/>
          <w:i w:val="1"/>
          <w:iCs w:val="1"/>
          <w:color w:val="auto"/>
        </w:rPr>
      </w:pPr>
    </w:p>
    <w:p>
      <w:pPr>
        <w:ind w:left="640" w:right="2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Company announced a strategic investment of up to $315.5 million from an affiliate of Cerberus Capital Management LP (“Cerberus”), to support the Company’s growth plans.</w:t>
      </w:r>
    </w:p>
    <w:p>
      <w:pPr>
        <w:spacing w:after="0" w:line="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the Company recognized a gain on debt extinguishment of $68.5 million from the payoff of the Senior Secured Term Loan.</w:t>
      </w:r>
    </w:p>
    <w:p>
      <w:pPr>
        <w:spacing w:after="0" w:line="59" w:lineRule="exact"/>
        <w:rPr>
          <w:rFonts w:ascii="Times New Roman" w:cs="Times New Roman" w:eastAsia="Times New Roman" w:hAnsi="Times New Roman"/>
          <w:sz w:val="18"/>
          <w:szCs w:val="18"/>
          <w:color w:val="auto"/>
        </w:rPr>
      </w:pPr>
    </w:p>
    <w:p>
      <w:pPr>
        <w:ind w:left="640" w:right="6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Company completed the installation of the first state of the art line in its Turtle Creek facility and began commercial production of batteries off the new line to be delivered to customer sites.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hanging="314"/>
        <w:spacing w:after="0" w:line="27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and Indian Energy announced an agreement to expand its existing relationship. The expanded agreement with Indian Energy added 25 MWh of storage to the existing 35 MWh order for an overall project size of 60 MWh.</w:t>
      </w:r>
    </w:p>
    <w:p>
      <w:pPr>
        <w:spacing w:after="0" w:line="3"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regained compliance with the minimum continued listing criteria set forth in Nasdaq Listing Rule 5550(a)(2) as of July 9, 2024, based on the closing bid price of the Company’s common stock being at or above $1.00 per share for the 10 consecutive business days from June 24, 2024 to July 8, 2024.</w:t>
      </w:r>
    </w:p>
    <w:p>
      <w:pPr>
        <w:spacing w:after="0" w:line="17" w:lineRule="exact"/>
        <w:rPr>
          <w:rFonts w:ascii="Times New Roman" w:cs="Times New Roman" w:eastAsia="Times New Roman" w:hAnsi="Times New Roman"/>
          <w:sz w:val="18"/>
          <w:szCs w:val="18"/>
          <w:color w:val="auto"/>
        </w:rPr>
      </w:pPr>
    </w:p>
    <w:p>
      <w:pPr>
        <w:jc w:val="both"/>
        <w:ind w:left="640" w:hanging="314"/>
        <w:spacing w:after="0" w:line="25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successfully achieved all four of the first performance milestones previously agreed upon between Eos and Cerberus as part of Cerberus’s strategic investment in the Company. Achieving these specific performance milestones allowed the Company to draw an additional $30 million on the Delayed Draw Term Loan from Cerberus to fund ongoing operations and production expansion to meet the growing demand for long duration energy storage solutions.</w:t>
      </w:r>
    </w:p>
    <w:p>
      <w:pPr>
        <w:spacing w:after="0" w:line="19"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Company successfully achieved all four of the performance milestones for the October Draw previously agreed upon between Eos and Cerberus as part of Cerberus’s strategic investment in the Company. Achieving these specific performance milestones allowed the Company to draw an additional $65.0 million on the Delayed Draw Term Loan from Cerberus.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28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generates revenues from the delivery of its BESS and service-related solutions. The Company expects revenues to increase as it scales production to meet customer demand.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Revenue increased by $0.2 million or 25% from $0.7 million. The increase for the three months is due to higher product component and commissioning sales. For the nine months ended September 30, 2024, Revenue decreased by $1.4 million or 14% from $9.8 million. The decrease for the nine months is due to reduced production and deliveries due to the installation of the Company’s new manufacturing line.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59,448</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spacing w:after="0" w:line="1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the three months ended September 30, 2024, Cost of goods sold increased by $4.5 million or 21% from $21.3 million. For the nine months ended September 30, 2024, Cost of goods sold increased by $8.7 million or 15% from $59.4 million.</w:t>
      </w:r>
    </w:p>
    <w:p>
      <w:pPr>
        <w:spacing w:after="0" w:line="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increase for the three months ended September 30, 2024 was primarily driven by an inventory reserve adjustment in 2024 due to lower of cost or market (“LCM”) amounting to approximately $6.7 million, since the Company has negative gross margins for the period.</w:t>
      </w:r>
    </w:p>
    <w:p>
      <w:pPr>
        <w:spacing w:after="0" w:line="9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The increase for the nine months ended September 30, 2024 was primarily due to an increase in project commissioning costs on previously delivered projects, revaluations of inventory balances, along with the underutilization and absorption of labor and overhead associated with implementing the new line.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other personnel-related costs, materials, third-party services, depreciation and amortization of intangible assets.</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2024, Research and development costs increased by $4.2 million or 130% from $3.2 million. For the nine months ended September 30, 2024, Research and development costs increased by $3.2 million or 23% from $13.7 million. The increase for the three and nine months was driven by higher spending on materials and supplies related to the implementation of the automated line, as well as an increase in payroll and personnel costs and stock compensation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40,169</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payroll and personnel-related, outside professional services, facilities, depreciation, travel, marketing and public company costs.</w:t>
      </w:r>
    </w:p>
    <w:p>
      <w:pPr>
        <w:spacing w:after="0" w:line="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For the three months ended September 30, 2024, Selling, general and administrative expenses increased by $4.7 million or 36% from $13.1 million. For the nine months ended September 30, 2024, Selling, general and administrative expenses increased by $3.2 million or 8% from $40.2 million. The increase for the three and nine months was primarily driven by higher legal and advisory fees related to the Credit and Securities Purchase Transaction and payroll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write-down of property, plant and equipment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160" w:type="dxa"/>
            <w:vAlign w:val="bottom"/>
          </w:tcPr>
          <w:p>
            <w:pPr>
              <w:spacing w:after="0"/>
              <w:rPr>
                <w:sz w:val="16"/>
                <w:szCs w:val="16"/>
                <w:color w:val="auto"/>
              </w:rPr>
            </w:pPr>
          </w:p>
        </w:tc>
        <w:tc>
          <w:tcPr>
            <w:tcW w:w="2180" w:type="dxa"/>
            <w:vAlign w:val="bottom"/>
            <w:gridSpan w:val="4"/>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r>
    </w:tbl>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incurred a loss of $3.2 million and $1.0 million from write-down of property, plant and equipment for the three months ended September 30, 2024 and 2023, respectively, and a loss of $3.5 million and $7.2 million for the nine months ended September 30, 2024 and 2023, respectively. The 2023 write-downs were mainly due to replacement of equipment, outsourcing of certain production processes and the shift in production from the Gen 2.3 battery system to the Z3™ battery system. The 2024 write-downs were primarily related to design changes from the Z3™-Phase 1 to Z3™-Phase 2 production in which the Phase 1 production assets could not be utilized or repurposed for Phase 2 production.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60" w:type="dxa"/>
            <w:vAlign w:val="bottom"/>
          </w:tcPr>
          <w:p>
            <w:pPr>
              <w:spacing w:after="0"/>
              <w:rPr>
                <w:sz w:val="16"/>
                <w:szCs w:val="16"/>
                <w:color w:val="auto"/>
              </w:rPr>
            </w:pPr>
          </w:p>
        </w:tc>
        <w:tc>
          <w:tcPr>
            <w:tcW w:w="2180" w:type="dxa"/>
            <w:vAlign w:val="bottom"/>
            <w:gridSpan w:val="4"/>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r>
    </w:tbl>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includes expenses for accrued interest, amortization of debt issuance costs and debt discounts, partially offset by capitalized interest costs on CIP assets. For the three and nine months ended September 30, 2024, Interest expense, net decreased $4.9 million and $6.8 million, respectively, mainly due to lower interest expense recognized from the Senior Secured Term Loan.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 related party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160" w:type="dxa"/>
            <w:vAlign w:val="bottom"/>
          </w:tcPr>
          <w:p>
            <w:pPr>
              <w:spacing w:after="0"/>
              <w:rPr>
                <w:sz w:val="16"/>
                <w:szCs w:val="16"/>
                <w:color w:val="auto"/>
              </w:rPr>
            </w:pPr>
          </w:p>
        </w:tc>
        <w:tc>
          <w:tcPr>
            <w:tcW w:w="2180" w:type="dxa"/>
            <w:vAlign w:val="bottom"/>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Convertible Note Payable interest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AFG Convertible Note interest and amortization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AFG Convertible Note Day 1 loss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Yorkville Promissory Notes Day 1 losses</w:t>
            </w:r>
          </w:p>
        </w:tc>
        <w:tc>
          <w:tcPr>
            <w:tcW w:w="14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w:t>
            </w:r>
          </w:p>
        </w:tc>
      </w:tr>
      <w:tr>
        <w:trPr>
          <w:trHeight w:val="245"/>
        </w:trPr>
        <w:tc>
          <w:tcPr>
            <w:tcW w:w="64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related party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00"/>
        <w:spacing w:after="0" w:line="410" w:lineRule="auto"/>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 for further discussion. </w:t>
      </w:r>
      <w:r>
        <w:rPr>
          <w:rFonts w:ascii="Times New Roman" w:cs="Times New Roman" w:eastAsia="Times New Roman" w:hAnsi="Times New Roman"/>
          <w:sz w:val="18"/>
          <w:szCs w:val="18"/>
          <w:i w:val="1"/>
          <w:iCs w:val="1"/>
          <w:color w:val="auto"/>
        </w:rPr>
        <w:t>Change in fair value of debt - related party</w:t>
      </w:r>
    </w:p>
    <w:p>
      <w:pPr>
        <w:spacing w:after="0" w:line="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change in the fair value of debt - related party of $3.0 million and $3.3 million for the three and nine months ended September 30, 2024, respectively, relates to the Delayed Draw Term Loan.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Three Months</w:t>
            </w:r>
          </w:p>
        </w:tc>
        <w:tc>
          <w:tcPr>
            <w:tcW w:w="80" w:type="dxa"/>
            <w:vAlign w:val="bottom"/>
          </w:tcPr>
          <w:p>
            <w:pPr>
              <w:spacing w:after="0"/>
              <w:rPr>
                <w:sz w:val="16"/>
                <w:szCs w:val="16"/>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0" w:type="dxa"/>
            <w:vAlign w:val="bottom"/>
          </w:tcPr>
          <w:p>
            <w:pPr>
              <w:spacing w:after="0"/>
              <w:rPr>
                <w:sz w:val="1"/>
                <w:szCs w:val="1"/>
                <w:color w:val="auto"/>
              </w:rPr>
            </w:pPr>
          </w:p>
        </w:tc>
      </w:tr>
      <w:tr>
        <w:trPr>
          <w:trHeight w:val="160"/>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Ended September 30,</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Ended September 30, 2024</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Change in Fair Value</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warrants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2023 warrants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2023 warrants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2023 warrants</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2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7"/>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2023</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on issuance</w:t>
            </w:r>
          </w:p>
        </w:tc>
        <w:tc>
          <w:tcPr>
            <w:tcW w:w="180" w:type="dxa"/>
            <w:vAlign w:val="bottom"/>
          </w:tcPr>
          <w:p>
            <w:pPr>
              <w:spacing w:after="0"/>
              <w:rPr>
                <w:sz w:val="13"/>
                <w:szCs w:val="13"/>
                <w:color w:val="auto"/>
              </w:rPr>
            </w:pPr>
          </w:p>
        </w:tc>
        <w:tc>
          <w:tcPr>
            <w:tcW w:w="140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Change in Fair</w:t>
            </w:r>
          </w:p>
        </w:tc>
        <w:tc>
          <w:tcPr>
            <w:tcW w:w="12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20" w:type="dxa"/>
            <w:vAlign w:val="bottom"/>
          </w:tcPr>
          <w:p>
            <w:pPr>
              <w:spacing w:after="0"/>
              <w:rPr>
                <w:sz w:val="13"/>
                <w:szCs w:val="13"/>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on issuance</w:t>
            </w:r>
          </w:p>
        </w:tc>
        <w:tc>
          <w:tcPr>
            <w:tcW w:w="160" w:type="dxa"/>
            <w:vAlign w:val="bottom"/>
          </w:tcPr>
          <w:p>
            <w:pPr>
              <w:spacing w:after="0"/>
              <w:rPr>
                <w:sz w:val="13"/>
                <w:szCs w:val="13"/>
                <w:color w:val="auto"/>
              </w:rPr>
            </w:pPr>
          </w:p>
        </w:tc>
        <w:tc>
          <w:tcPr>
            <w:tcW w:w="1360" w:type="dxa"/>
            <w:vAlign w:val="bottom"/>
            <w:gridSpan w:val="4"/>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Change in Fair</w:t>
            </w:r>
          </w:p>
        </w:tc>
        <w:tc>
          <w:tcPr>
            <w:tcW w:w="26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0" w:type="dxa"/>
            <w:vAlign w:val="bottom"/>
          </w:tcPr>
          <w:p>
            <w:pPr>
              <w:spacing w:after="0"/>
              <w:rPr>
                <w:sz w:val="1"/>
                <w:szCs w:val="1"/>
                <w:color w:val="auto"/>
              </w:rPr>
            </w:pPr>
          </w:p>
        </w:tc>
      </w:tr>
      <w:tr>
        <w:trPr>
          <w:trHeight w:val="213"/>
        </w:trPr>
        <w:tc>
          <w:tcPr>
            <w:tcW w:w="2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left="17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warrants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2023 warrants</w:t>
            </w:r>
          </w:p>
        </w:tc>
        <w:tc>
          <w:tcPr>
            <w:tcW w:w="1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2023 warrants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2023 warrants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8"/>
                <w:szCs w:val="18"/>
                <w:color w:val="auto"/>
              </w:rPr>
              <w:t>Change in fair value of</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warrants</w:t>
            </w:r>
          </w:p>
        </w:tc>
        <w:tc>
          <w:tcPr>
            <w:tcW w:w="1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7"/>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derivatives - related parties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Gain (Loss)</w:t>
            </w:r>
          </w:p>
        </w:tc>
        <w:tc>
          <w:tcPr>
            <w:tcW w:w="140" w:type="dxa"/>
            <w:vAlign w:val="bottom"/>
          </w:tcPr>
          <w:p>
            <w:pPr>
              <w:spacing w:after="0"/>
              <w:rPr>
                <w:sz w:val="16"/>
                <w:szCs w:val="16"/>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160" w:type="dxa"/>
            <w:vAlign w:val="bottom"/>
          </w:tcPr>
          <w:p>
            <w:pPr>
              <w:spacing w:after="0"/>
              <w:rPr>
                <w:sz w:val="16"/>
                <w:szCs w:val="16"/>
                <w:color w:val="auto"/>
              </w:rPr>
            </w:pPr>
          </w:p>
        </w:tc>
        <w:tc>
          <w:tcPr>
            <w:tcW w:w="2180" w:type="dxa"/>
            <w:vAlign w:val="bottom"/>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3"/>
        </w:trPr>
        <w:tc>
          <w:tcPr>
            <w:tcW w:w="6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5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embedded derivatives - related parties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37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 - related parties</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2"/>
        </w:trPr>
        <w:tc>
          <w:tcPr>
            <w:tcW w:w="64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derivatives - related parties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change in the fair value of embedded derivatives - related parties, was due to our convertible debt (See Note 13</w:t>
      </w:r>
      <w:r>
        <w:rPr>
          <w:rFonts w:ascii="Times New Roman" w:cs="Times New Roman" w:eastAsia="Times New Roman" w:hAnsi="Times New Roman"/>
          <w:sz w:val="18"/>
          <w:szCs w:val="18"/>
          <w:i w:val="1"/>
          <w:iCs w:val="1"/>
          <w:color w:val="auto"/>
        </w:rPr>
        <w:t>, Borrowings</w:t>
      </w:r>
      <w:r>
        <w:rPr>
          <w:rFonts w:ascii="Times New Roman" w:cs="Times New Roman" w:eastAsia="Times New Roman" w:hAnsi="Times New Roman"/>
          <w:sz w:val="18"/>
          <w:szCs w:val="18"/>
          <w:color w:val="auto"/>
        </w:rPr>
        <w:t>) and the change in fair value of warrants - related parties was due to changes in fair value of our SPA Warrant and contingent warrants (See Note 14</w:t>
      </w:r>
      <w:r>
        <w:rPr>
          <w:rFonts w:ascii="Times New Roman" w:cs="Times New Roman" w:eastAsia="Times New Roman" w:hAnsi="Times New Roman"/>
          <w:sz w:val="18"/>
          <w:szCs w:val="18"/>
          <w:i w:val="1"/>
          <w:iCs w:val="1"/>
          <w:color w:val="auto"/>
        </w:rPr>
        <w:t>, Warrants Liability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debt extinguishment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6"/>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180" w:type="dxa"/>
            <w:vAlign w:val="bottom"/>
            <w:gridSpan w:val="4"/>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6"/>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80" w:type="dxa"/>
            <w:vAlign w:val="bottom"/>
            <w:gridSpan w:val="4"/>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bl>
    <w:p>
      <w:pPr>
        <w:spacing w:after="0" w:line="2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a gain on debt extinguishment of $68.5 million from the payoff of the Senior Secured Term Loan.</w:t>
      </w:r>
    </w:p>
    <w:p>
      <w:pPr>
        <w:spacing w:after="0" w:line="1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the nine months ended September 30, 2023, the Company recognized a loss on debt extinguishment of $3.5 million from the issuance of common stock upon Yorkville's redemption of their convertible promissory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60" w:type="dxa"/>
            <w:vAlign w:val="bottom"/>
          </w:tcPr>
          <w:p>
            <w:pPr>
              <w:spacing w:after="0"/>
              <w:rPr>
                <w:sz w:val="16"/>
                <w:szCs w:val="16"/>
                <w:color w:val="auto"/>
              </w:rPr>
            </w:pPr>
          </w:p>
        </w:tc>
        <w:tc>
          <w:tcPr>
            <w:tcW w:w="2180" w:type="dxa"/>
            <w:vAlign w:val="bottom"/>
            <w:gridSpan w:val="4"/>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compared to the three and nine months ended September 30, 2023, Other (expense) income increased by $2.0 million and $4.3 million, respectively, primarily due to recognition of financing issuance costs from the Credit and Securities Purchase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160" w:type="dxa"/>
            <w:vAlign w:val="bottom"/>
          </w:tcPr>
          <w:p>
            <w:pPr>
              <w:spacing w:after="0"/>
              <w:rPr>
                <w:sz w:val="16"/>
                <w:szCs w:val="16"/>
                <w:color w:val="auto"/>
              </w:rPr>
            </w:pPr>
          </w:p>
        </w:tc>
        <w:tc>
          <w:tcPr>
            <w:tcW w:w="2180" w:type="dxa"/>
            <w:vAlign w:val="bottom"/>
            <w:gridSpan w:val="4"/>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incurred income tax (benefit) expense for the three and nine months ended September 30, 2024 and 2023 in relation to state margin tax adjustments and pre-tax income from the Company’s international subsidiaries.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should it be needed.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Note 3, Credit and Securities Purchase Transaction, on June 21, 2024, the Company entered into a financing transaction with CCM Denali Debt Holdings, LP, an affiliate of Cerberus Capital Management LP (herein after referred to as “Cerberus”, “Denali”, “Lender”, “Holder”). As a result of this transaction, Cerberus agreed to provide a $210.5 million secured multi-draw facility to be made in four installments (the “Delayed Draw Term Loan”) as well as a $105.0 million revolving credit facility (“Revolving Facility”), to be made available beginning June 21, 2026, at Cerberus’ sole discretion and only if the Delayed Draw Term Loan is fully funded.</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of the date the accompanying Unaudited Condensed Consolidated Financial Statements were issued (the “issuance date”), management evaluated the significance of the following negative financial conditions in accordance with Accounting Standard Codification 205-40, Going Concern:</w:t>
      </w:r>
    </w:p>
    <w:p>
      <w:pPr>
        <w:spacing w:after="0" w:line="57" w:lineRule="exact"/>
        <w:rPr>
          <w:sz w:val="20"/>
          <w:szCs w:val="20"/>
          <w:color w:val="auto"/>
        </w:rPr>
      </w:pPr>
    </w:p>
    <w:p>
      <w:pPr>
        <w:jc w:val="both"/>
        <w:ind w:left="640" w:hanging="314"/>
        <w:spacing w:after="0" w:line="26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Company has incurred significant losses and negative cash from operations in order to fund its development. During the nine months ended September 30, 2024, the Company incurred a net loss of $417.7 million, incurred negative cash flows from operations of $111.3 million and had an accumulated deficit of $1,293.6 million as of September 30, 2024.</w:t>
      </w:r>
    </w:p>
    <w:p>
      <w:pPr>
        <w:spacing w:after="0" w:line="71"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had $23.0 million of unrestricted cash and cash equivalents available to fund the Company’s operations and working capital of $74.1 million, which includes loan commitment assets of $58.5 million classified as current assets on the Unaudited Condensed Consolidated Balance Sheets.</w:t>
      </w:r>
    </w:p>
    <w:p>
      <w:pPr>
        <w:spacing w:after="0" w:line="71" w:lineRule="exact"/>
        <w:rPr>
          <w:rFonts w:ascii="Times New Roman" w:cs="Times New Roman" w:eastAsia="Times New Roman" w:hAnsi="Times New Roman"/>
          <w:sz w:val="18"/>
          <w:szCs w:val="18"/>
          <w:color w:val="auto"/>
        </w:rPr>
      </w:pPr>
    </w:p>
    <w:p>
      <w:pPr>
        <w:jc w:val="both"/>
        <w:ind w:left="640" w:hanging="314"/>
        <w:spacing w:after="0" w:line="25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Company continues to progress through the Department of Energy (DOE) Loan Programs Office’s (LPO) process for its Title XVII loan. In August 2023, the DOE issued a conditional commitment letter to the Company for a loan of an aggregate principal amount of up to $398.6 million through the DOE’s Clean Energy Financing Program. Certain technical, legal and financial conditions must be met and due diligence to the satisfaction of the DOE must be completed before the DOE enters into definitive financing documents with the Company and funds the loan. The Company continues to work with the DOE to meet these conditions and close the loan, however, there can be no assurance that the Company will be able to secure such a loan or on terms that are acceptable to the Company.</w:t>
      </w:r>
    </w:p>
    <w:p>
      <w:pPr>
        <w:spacing w:after="0" w:line="76" w:lineRule="exact"/>
        <w:rPr>
          <w:rFonts w:ascii="Times New Roman" w:cs="Times New Roman" w:eastAsia="Times New Roman" w:hAnsi="Times New Roman"/>
          <w:sz w:val="18"/>
          <w:szCs w:val="18"/>
          <w:color w:val="auto"/>
        </w:rPr>
      </w:pPr>
    </w:p>
    <w:p>
      <w:pPr>
        <w:jc w:val="both"/>
        <w:ind w:left="640" w:hanging="314"/>
        <w:spacing w:after="0" w:line="250"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remain in compliance with certain quarterly financial covenants under its Credit Agreement. These financial covenants include, as defined in the Credit Agreement, (a) Minimum Consolidated EBITDA, (b) Minimum Consolidated Revenue, and (c) Minimum Liquidity (collectively, the “financial covenants”). As of September 30, 2024, the Company was in compliance with all financial covenants and non-financial covenants, except for the September 30, 2024 Minimum Consolidated Revenue financial covenant. The Company secured a waiver of non-compliance from Cerberus for the quarter ended September 30, 2024. The Company expects it may be unable to remain in compliance with the Minimum Consolidated Revenue financial covenant beginning December 31, 2024, absent the Company’s ability to secure a waiver or amend the Credit Agreement. In the event the Company is unable to comply with the financial and the non-financial covenants as of December 31, 2024, and the Company is unable to secure another waiver, Cerberus may, at its discretion, enter into a forbearance agreement with the Company and/or exercise any and all of its existing rights and remedies, which may include, among other things, asserting its rights in the Company’s assets securing the loan. Moreover, the Company’s other lenders may exercise similar rights and remedies under the cross-default provisions of their respective borrowing arrangements with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40" w:hanging="314"/>
        <w:spacing w:after="0" w:line="25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Cerberus funded the Company $30.0 million (“August Draw”), and the Company received $28.5 million, net of the 5.0% original issue discount, since the Company met the milestones for the August Draw as disclosed in Note 3, Credit and Securities Purchase Transaction. Subsequently, on November 1, 2024, Cerberus funded the Company $65 million related to the October 31, 2024 tranche (“October Draw” or “October Tranche”), and the Company received $61.75 million, which is net of the 5.0% original issue discount from the Delayed Draw Term Loan as disclosed in Note 21, 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the Company does not achieve the remaining funding milestone, and Cerberus chooses not to continue funding, and the Company’s ongoing efforts to raise additional outside capital prove unsuccessful, the Company will be unable to meet its obligations as they become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historically relied on outside capital to fund its cost structure and expects this reliance to continue for the foreseeable future until the Company reaches profitability through its planned revenue generating activities. During the nine months ended September 30, 2024, the Company closed on the following capital transactions:</w:t>
      </w:r>
    </w:p>
    <w:p>
      <w:pPr>
        <w:spacing w:after="0" w:line="71" w:lineRule="exact"/>
        <w:rPr>
          <w:sz w:val="20"/>
          <w:szCs w:val="20"/>
          <w:color w:val="auto"/>
        </w:rPr>
      </w:pPr>
    </w:p>
    <w:p>
      <w:pPr>
        <w:jc w:val="both"/>
        <w:ind w:left="640" w:hanging="314"/>
        <w:spacing w:after="0" w:line="261" w:lineRule="auto"/>
        <w:tabs>
          <w:tab w:leader="none" w:pos="63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the ATM offering program, for the nine months ended September 30, 2024, the Company sold 16,627,523 shares raising proceeds of $14.1 million, net of fees paid to Cowen, at an average selling price of $0.87 per share, included in the Condensed Consolidated Statement of Shareholders' Deficit.</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640" w:hanging="314"/>
        <w:spacing w:after="0" w:line="25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secured a strategic investment of up to $315.5 million from Cerberus. The investment by Cerberus is structured as a $210.5 million Delayed Draw Term Loan to be made in four installments. On June 21, 2024 the first installment of $75.0 million was funded, and on August 29, 2024, the second draw of $30.0 million was funded. Additional amounts totaling $105.5 million will be made available to the Company, subject to the achievement of certain milestones. As part of the strategic investment, a $105.0 Revolving Facility will be made available to the Company at the Lenders’ sole discretion and only if the Delayed Draw Term Loan is fully funded.</w:t>
      </w:r>
    </w:p>
    <w:p>
      <w:pPr>
        <w:spacing w:after="0" w:line="77" w:lineRule="exact"/>
        <w:rPr>
          <w:rFonts w:ascii="Times New Roman" w:cs="Times New Roman" w:eastAsia="Times New Roman" w:hAnsi="Times New Roman"/>
          <w:sz w:val="18"/>
          <w:szCs w:val="18"/>
          <w:color w:val="auto"/>
        </w:rPr>
      </w:pPr>
    </w:p>
    <w:p>
      <w:pPr>
        <w:ind w:left="640" w:right="20" w:hanging="314"/>
        <w:spacing w:after="0" w:line="276"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retired its existing $100.0 million Senior Secured Term Loan on favorable terms, strengthening the Company’s balance sheet. See Note 3, </w:t>
      </w:r>
      <w:r>
        <w:rPr>
          <w:rFonts w:ascii="Times New Roman" w:cs="Times New Roman" w:eastAsia="Times New Roman" w:hAnsi="Times New Roman"/>
          <w:sz w:val="18"/>
          <w:szCs w:val="18"/>
          <w:i w:val="1"/>
          <w:iCs w:val="1"/>
          <w:color w:val="auto"/>
        </w:rPr>
        <w:t>Credit and Securities Purchase Transaction.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expects capital expenditures and working capital requirements to increase as it executes its growth strategy. Total capital expenditures for the nine months ended September 30, 2024 and September 30, 2023 were $20.1 million and $21.2 million, respectively. See Note 7,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for further discussion.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Discussion and Analysis of Cash Flows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flows from operating, investing and financing activities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220" w:type="dxa"/>
            <w:vAlign w:val="bottom"/>
            <w:gridSpan w:val="2"/>
            <w:vMerge w:val="continue"/>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(111,252)</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27"/>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8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27"/>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(93,322)</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Cash flows used in operating activities primarily comprise of costs related to research and development, manufacturing of products, project commissioning and other general and administrative activities.</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$111.3 million for the nine months ended September 30, 2024 was primarily driven by a net loss of $417.7 million, adjusted for non-cash items of $308.4 million, primarily related to stock compensation expense, depreciation and amortization, non-cash interest expense, gain on debt extinguishment, changes in fair value of debt, warrants and derivatives. The net cash outflows from changes in operating assets and liabilities was $1.9 million, primarily driven by an increase in inventory of $8.8 million and an increase in contract assets of $4.7 million, partially offset by an increase in contract liabilities of $5.4 million and an increase in interest payable - related party of $3.1 million.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$107.6 million for the nine months ended September 30, 2023, primarily driven by a net loss of $188.3 million, adjusted for non-cash items of $89.5 million, primarily related to stock compensation expense, depreciation and amortization, non-cash interest expense, changes in fair value of warrants and derivatives and loss from the write-down of property, plant and equipment. The net cash outflows from changes in operating assets and liabilities was $8.7 million, primarily driven by decrease in accounts payable of $17.8 million and increase in vendor deposits of $4.0 million, partially offset by increase in accrued expenses of $12.3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Net cash flows used in investing activities for the nine months ended September 30, 2024 and September 30, 2023 was $20.1 million and $21.2 million, respectively, for payments made for purchases of property, plant and equipment.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Net cash provided by financing activities was $77.3 million for the nine months ended September 30, 2024, primarily due to the proceeds received from the Credit and Securities Purchase Transaction of $98.6 million and from the issuance of common stock of $14.1 million. The proceeds were partially offset by payoff of the Senior Secured Term Loan of $19.9 million, debt issuance costs - related party of $12.2 million, payments on the equipment financing facility of $2.4 million and share repurchases from employees for tax withholding of $1.1 million.</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$170.6 million for the nine months ended September 30, 2023, primarily due to the net proceeds received from the Yorkville Convertible Promissory Notes and AFG Convertible Notes of $48.1 million and from the issuance of common stock and warrants of $131.1 million. The proceeds were partially offset by equity issuance costs of $2.1 million, debt issuance costs related to the Yorkville Convertible Promissory Notes, AFG Convertible Notes and Senior Secured Term Loan of $4.2 million, payments on the equipment financing facility of $2.1 million and share repurchases from employees for tax withholding of $0.6 million.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has certain obligations and commitments to make future payments under contracts. As of September 30, 2024, this is composed of the following:</w:t>
      </w:r>
    </w:p>
    <w:p>
      <w:pPr>
        <w:spacing w:after="0" w:line="5" w:lineRule="exact"/>
        <w:rPr>
          <w:sz w:val="20"/>
          <w:szCs w:val="20"/>
          <w:color w:val="auto"/>
        </w:rPr>
      </w:pPr>
    </w:p>
    <w:p>
      <w:pPr>
        <w:ind w:left="640" w:hanging="314"/>
        <w:spacing w:after="0" w:line="276" w:lineRule="auto"/>
        <w:tabs>
          <w:tab w:leader="none" w:pos="6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Future lease payments, including interest, under non-cancellable operating and financing leases of $4.4 million. The leases expire at various dates prior to 2028.</w:t>
      </w:r>
    </w:p>
    <w:p>
      <w:pPr>
        <w:spacing w:after="0" w:line="3" w:lineRule="exact"/>
        <w:rPr>
          <w:rFonts w:ascii="Times New Roman" w:cs="Times New Roman" w:eastAsia="Times New Roman" w:hAnsi="Times New Roman"/>
          <w:sz w:val="18"/>
          <w:szCs w:val="18"/>
          <w:b w:val="1"/>
          <w:bCs w:val="1"/>
          <w:i w:val="1"/>
          <w:iCs w:val="1"/>
          <w:color w:val="auto"/>
        </w:rPr>
      </w:pPr>
    </w:p>
    <w:p>
      <w:pPr>
        <w:jc w:val="both"/>
        <w:ind w:left="640" w:hanging="314"/>
        <w:spacing w:after="0" w:line="261"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Insurer Letter Agreement, the Company shall pay to the Atlas Insurers (i) on December 31, 2024, subject to the absence of certain events of default under the Credit Agreement, $3.0 million and (ii) on June 30, 2025, subject to the absence of certain events of default under the Credit Agreement, $4.0 million.</w:t>
      </w:r>
    </w:p>
    <w:p>
      <w:pPr>
        <w:spacing w:after="0" w:line="15" w:lineRule="exact"/>
        <w:rPr>
          <w:rFonts w:ascii="Times New Roman" w:cs="Times New Roman" w:eastAsia="Times New Roman" w:hAnsi="Times New Roman"/>
          <w:sz w:val="18"/>
          <w:szCs w:val="18"/>
          <w:b w:val="1"/>
          <w:bCs w:val="1"/>
          <w:color w:val="auto"/>
        </w:rPr>
      </w:pPr>
    </w:p>
    <w:p>
      <w:pPr>
        <w:ind w:left="640" w:hanging="314"/>
        <w:spacing w:after="0" w:line="273" w:lineRule="auto"/>
        <w:tabs>
          <w:tab w:leader="none" w:pos="6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Principal and Interest payments related to the following debt obligations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w:t>
      </w: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9"/>
              </w:rPr>
              <w:t>Future Debt Payments</w:t>
            </w:r>
          </w:p>
        </w:tc>
      </w:tr>
      <w:tr>
        <w:trPr>
          <w:trHeight w:val="223"/>
        </w:trPr>
        <w:tc>
          <w:tcPr>
            <w:tcW w:w="944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Delayed Draw Term Loan - due June 2029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224,197</w:t>
            </w:r>
          </w:p>
        </w:tc>
      </w:tr>
      <w:tr>
        <w:trPr>
          <w:trHeight w:val="227"/>
        </w:trPr>
        <w:tc>
          <w:tcPr>
            <w:tcW w:w="94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2021 Convertible Note Payable - due June 2026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134,261</w:t>
            </w:r>
          </w:p>
        </w:tc>
      </w:tr>
      <w:tr>
        <w:trPr>
          <w:trHeight w:val="227"/>
        </w:trPr>
        <w:tc>
          <w:tcPr>
            <w:tcW w:w="94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AFG Convertible Notes - due June 2026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w:t>
            </w:r>
          </w:p>
        </w:tc>
      </w:tr>
      <w:tr>
        <w:trPr>
          <w:trHeight w:val="227"/>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financing facility - due April 2025 and April 2026</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45"/>
        </w:trPr>
        <w:tc>
          <w:tcPr>
            <w:tcW w:w="9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394,517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firstLine="7"/>
        <w:spacing w:after="0" w:line="239" w:lineRule="auto"/>
        <w:tabs>
          <w:tab w:leader="none" w:pos="143"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September 30, 2024, the Company is obligated to repay future contractual interest payments for the 2021 Convertible Note and AFG Convertible Notes in-kind. The Company also has the option to repay the Delayed Draw Term Loan in-kind.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(“CAE”)</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management believes to be reasonable under the circumstances. Actual results could differ materially from these estimates under different assumptions or conditions. Management regularly reevaluates assumptions, judgments and estimates. The Company’s significant accounting policies are described in the Company’s Annual Report on Form 10-K for the year ended December 31, 2023.</w:t>
      </w:r>
    </w:p>
    <w:p>
      <w:pPr>
        <w:spacing w:after="0" w:line="117" w:lineRule="exact"/>
        <w:rPr>
          <w:sz w:val="20"/>
          <w:szCs w:val="20"/>
          <w:color w:val="auto"/>
        </w:rPr>
      </w:pPr>
    </w:p>
    <w:p>
      <w:pPr>
        <w:ind w:right="2100"/>
        <w:spacing w:after="0" w:line="409" w:lineRule="auto"/>
        <w:rPr>
          <w:sz w:val="20"/>
          <w:szCs w:val="20"/>
          <w:color w:val="auto"/>
        </w:rPr>
      </w:pPr>
      <w:r>
        <w:rPr>
          <w:rFonts w:ascii="Times New Roman" w:cs="Times New Roman" w:eastAsia="Times New Roman" w:hAnsi="Times New Roman"/>
          <w:sz w:val="18"/>
          <w:szCs w:val="18"/>
          <w:color w:val="auto"/>
        </w:rPr>
        <w:t xml:space="preserve">These should also be read with the CAE in the Company’s Annual Report on Form 10-K for the year ended December 31, 2023. </w:t>
      </w:r>
      <w:r>
        <w:rPr>
          <w:rFonts w:ascii="Times New Roman" w:cs="Times New Roman" w:eastAsia="Times New Roman" w:hAnsi="Times New Roman"/>
          <w:sz w:val="18"/>
          <w:szCs w:val="18"/>
          <w:b w:val="1"/>
          <w:bCs w:val="1"/>
          <w:i w:val="1"/>
          <w:iCs w:val="1"/>
          <w:color w:val="auto"/>
        </w:rPr>
        <w:t>Warrants Liability</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 The sensitivity of the fair value calculation to volatility could create materially different results under different conditions or using different assumptions. See Note 15,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 our unaudited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Embedded derivatives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estimated the fair value of the embedded conversion features in the 2021 Convertible Note and the AFG Convertible Notes using a binomial lattice model at inception and on subsequent measurement dates. This model incorporates significant inputs such as the stock price of the Company, dividend yield, risk-free interest rate, debt yield and expected volatility. The volatility and debt yield are significant unobservable inputs classified as Level 3 of the fair value hierarchy. The sensitivity of the fair value calculation to debt yield and volatility could create materially different results under different conditions or using different assumptions. See Note 15,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 our unaudited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new CAE as of June 30,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Instruments fair valued (</w:t>
      </w:r>
      <w:r>
        <w:rPr>
          <w:rFonts w:ascii="Times New Roman" w:cs="Times New Roman" w:eastAsia="Times New Roman" w:hAnsi="Times New Roman"/>
          <w:sz w:val="18"/>
          <w:szCs w:val="18"/>
          <w:color w:val="auto"/>
        </w:rPr>
        <w:t>see Note 15,</w:t>
      </w:r>
      <w:r>
        <w:rPr>
          <w:rFonts w:ascii="Times New Roman" w:cs="Times New Roman" w:eastAsia="Times New Roman" w:hAnsi="Times New Roman"/>
          <w:sz w:val="18"/>
          <w:szCs w:val="18"/>
          <w:i w:val="1"/>
          <w:iCs w:val="1"/>
          <w:color w:val="auto"/>
        </w:rPr>
        <w:t xml:space="preserve"> Fair Value Measurement)</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Delayed Draw Term Loan was estimated using a discounted cash flow (“DCF”) method, based on the contractual cash flows discounted at a debt yield. The fair value for the SPA Warrant is estimated based on its intrinsic value, using the Eos common stock closing price adjusted by a discounted for lack of marketability (“DLOM”), less the exercise price of $0.01 for the SPA Warrant. A DLOM was applied considering the underlying shares of the SPA Warrants are unregistered. The fair value of the Contingent Warrants is estimated based on the underlying Eos common stock closing price adjusted by a DLOM and an allowance for certain redemption features using a Black-Scholes model, considering the probability of achieving certain milestones. A DLOM was applied considering the underlying shares of the Contingent Warrants are unregistered. The fair values for all these instruments are designated as level 3 measurements as they rely on significant unobservable inputs. The significant unobservable inputs for each of these instruments are detailed in Note 15,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include debt yield, DLOM, and milestones achievement expectations. The sensitivity of the fair value calculation to debt yield, DLOM, and milestones achievement expectations could create materially different results under different conditions or using different assumptions.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There have been no material changes in the Company’s market risk exposures for the nine months ended September 30, 2024, as compared to those discussed in its Annual Report on Form 10-K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September 30, 2024 because of material weaknesses resulting from lack of a formalized internal control framework in accordance with the Committee of Sponsoring Organizations (COSO) Framework, inadequate segregation of duties in the financial reporting process, lack of review and approval of journal entries and a lack of management review controls.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light of these material weaknesses, management performed additional analyses, reconciliations and other post-closing procedures to determine that the Company’s Unaudited Condensed Consolidated Financial Statements are prepared in accordance with U.S. GAAP. Based on this review, management concluded that the Unaudited Condensed Consolidated Financial Statements included in this report fairly present in all material respects the Company’s financial condition, results of operations and cash flows for the periods presented.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Remediation Plan and Status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September 30, 2024, our management, with the oversight of the Audit Committee of our Board of Directors, has materially designed the necessary measures to remediate the control deficiencies contributing to the material weaknesses. These remediation efforts are detailed in Item 9A, “</w:t>
      </w:r>
      <w:r>
        <w:rPr>
          <w:rFonts w:ascii="Times New Roman" w:cs="Times New Roman" w:eastAsia="Times New Roman" w:hAnsi="Times New Roman"/>
          <w:sz w:val="18"/>
          <w:szCs w:val="18"/>
          <w:i w:val="1"/>
          <w:iCs w:val="1"/>
          <w:color w:val="auto"/>
        </w:rPr>
        <w:t>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in the Company’s Annual Report on Form 10-K for the year ended December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remediation efforts include the following:</w:t>
      </w:r>
    </w:p>
    <w:p>
      <w:pPr>
        <w:spacing w:after="0" w:line="140" w:lineRule="exact"/>
        <w:rPr>
          <w:sz w:val="20"/>
          <w:szCs w:val="20"/>
          <w:color w:val="auto"/>
        </w:rPr>
      </w:pPr>
    </w:p>
    <w:p>
      <w:pPr>
        <w:ind w:left="640" w:hanging="314"/>
        <w:spacing w:after="0" w:line="27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external experts to complement internal resources and to provide support related to more complex applications of GAAP, tax, and internal controls. We will continue to utilize outside resources, as necessary, to supplement our internal team.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40" w:hanging="314"/>
        <w:spacing w:after="0" w:line="26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a comprehensive internal control framework that includes a formal risk assessment process to identify and design our control activities to address all risks of material misstatement whether due to error or fraud. We developed formalized process and control documentation for all relevant areas of financial reporting, including IT general and automated controls that support financial reporting.</w:t>
      </w:r>
    </w:p>
    <w:p>
      <w:pPr>
        <w:spacing w:after="0" w:line="97"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a comprehensive segregation of duties framework and identified the necessary mitigating controls to compensate any applicable risk, including restricting the ability for one individual to both (i) create and post a journal entry in the general ledger and (ii) prepare and review account reconciliations.</w:t>
      </w:r>
    </w:p>
    <w:p>
      <w:pPr>
        <w:spacing w:after="0" w:line="111" w:lineRule="exact"/>
        <w:rPr>
          <w:rFonts w:ascii="Times New Roman" w:cs="Times New Roman" w:eastAsia="Times New Roman" w:hAnsi="Times New Roman"/>
          <w:sz w:val="18"/>
          <w:szCs w:val="18"/>
          <w:color w:val="auto"/>
        </w:rPr>
      </w:pPr>
    </w:p>
    <w:p>
      <w:pPr>
        <w:jc w:val="both"/>
        <w:ind w:left="640" w:hanging="314"/>
        <w:spacing w:after="0" w:line="26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management review controls over each significant class of transaction, including areas considered highly complex, judgmental, and subject to management estimation. We have designed procedures to validate underlying source data and used in our financial reporting controls and the necessary IT general and automated controls to rely on the IT environment supporting our financial reporting.</w:t>
      </w:r>
    </w:p>
    <w:p>
      <w:pPr>
        <w:spacing w:after="0" w:line="111"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controls to identify any significant and unusual transactions, analyze, record, report, and disclose such matters.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assess risks on a continuous basis to timely identify new exposures or risk categories as business practices change and, as applicable, update our existing internal control framework to ensure that it has identified, developed and deployed the appropriate business process controls to meet the objectives and address the risks identified.</w:t>
      </w:r>
    </w:p>
    <w:p>
      <w:pPr>
        <w:spacing w:after="0" w:line="11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We have substantially designed the controls necessary to remediate the material weaknesses; however, we have determined that all the controls necessary to remediate the material weaknesses have not operated for a sufficient period of time to fully conclude remediation as of September 30,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also disclosed in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Action Complaints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March 8, 2023, a class action lawsuit was filed in the Court of Chancery of the State of Delaware by plaintiff Richard Delman against certain defendants including the Company’s former directors (the “Delman Defendants”). Neither the Company nor Eos Energy Storage LLC were named as a defendant but each was identified in the Complaint as a relevant non-party and the Company has indemnification obligations relating to the lawsuit. On February 1, 2024, the parties agreed to a binding Settlement Term Sheet (the “Settlement”) whereby plaintiff agreed to resolve the lawsuit in exchange for a settlement payment of $8.5 million, to be fully funded by the Company’s Directors and Officers (“D&amp;O”) liability insurance policies subject to a retention by the Company of approximately $1.0 million consisting of the Company’s payment of legal fees related to this matter. On June 1, 2024, the parties submitted to the Court of Chancery a definitive Stipulation and Agreement of Settlement, Compromise, and Release, and related documents. On October 17, 2024, the Court of Chancery approved the proposed Settlement and the Company coordinating the settlement payment with the Company’s D&amp;O insurers.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1, 2023, a class action lawsuit was filed in the United States District Court of New Jersey by plaintiff William Houck against the Company, the Company’s Chief Executive Officer, its former Chief Financial Officer and its current Chief Financial Officer (with the Company, the “Houck Defendants”). The Complaint alleges that the defendants violated federal securities laws by making knowingly false or misleading statements about the Company’s contractual relationship with a customer and about the size of the Company’s order backlog and commercial pipeline. Defendants deny the allegations and, on February 13, 2024, moved to dismiss the Complaint. On March 5, 2024, plaintiff filed an amended complaint that dropped the Company’s former Chief Financial Officer as a defendant. On April 4, 2024, defendants filed a renewed motion to dismiss the lawsuit. The Company intends to continue to vigorously defend against this action.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additional material changes to the risk factors disclosed in our annual report on Form 10-K for the fiscal year ended December 31, 2023, except as discussed below. We may disclose changes to such risk factors or disclose additional risk factors from time to time in our future filings with the SEC.</w:t>
      </w:r>
    </w:p>
    <w:p>
      <w:pPr>
        <w:spacing w:after="0" w:line="10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covenants in Credit Agreement, we may be subject to default on the loan, which could have a material adverse effect on our business.</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applicable to the Company including, among others, as defined in the Credit Agreement (i) meeting certain Minimum Consolidated EBITDA, Minimum Consolidated Revenue, and Minimum Liquidity (the cash in accounts controlled by the Agent,) measured quarterly, (ii) reporting and information covenants including the delivery of annual, quarterly and monthly financial statements, daily cash reports, annual financial plans and forecasts with weekly progress reports and updates, (iii) monthly meetings with the Lenders and the engagement of advisors and consultants requested by the Lenders, and (iv) restrictions on business and activities including debt incurrence, asset dispositions, distributions, investments, and modifications to or terminations of various material contracts. The Credit Agreement is subject to certain events of default which can be triggered by, among other things, (i) breach of payment obligations and other obligations and representations in the Credit Agreement nor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law,(v) any money judgment, writ or warrant of attachment or similar process involving in the aggregate at any time an amount in excess of $2.5 million, (vi) any order, judgement or decree entered against the Company or the any of its subsidiaries decreeing the dissolution or split up of such entity, (vii) the failure of the Common Stock to be listed on an internationally recognized stock exchange in the United States and (viii) a change of control.</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the Company was not in compliance with the financial covenant for Minimum Consolidated Revenue for the three months ended September 30, 2024, the Company secured a waiver from Cerberus. The Company expects it may be unable to remain in compliance with the Minimum Consolidated Revenue financial covenant beginning December 31, 2024, absent the Company’s ability to secure a waiver or amend the Credit Agreement. In the event the Company is unable to comply with all financial covenants when required under the Credit Agreement, and the Company is unable to secure another waiver or amendment to the Credit Agreement, Cerberus may, at its discretion, exercise any and all of its existing rights and remedies, which may include, among other things, asserting its rights in the Company’s assets securing the loan, and the Lenders may no longer be required to continue funding under the Credit Agreement. There can be no assurance that the Company will be able to secure funding under the Credit Agreement or outside sources of capital in the event it fails to meet a funding milestone. Moreover, the Company’s other lenders may exercise similar rights and remedies under the cross-default provisions of their respective borrowing arrangements with the Company. Any such default on the Credit Agreement could have a material adverse effect on our business.</w:t>
      </w:r>
    </w:p>
    <w:p>
      <w:pPr>
        <w:spacing w:after="0" w:line="10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Under the terms of the Credit Agreement, current stockholders may be subject to significant dilution, and the voting power of the currently outstanding Common Stock could be significantly diluted.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1, 2024, there were 217,904,747 shares of Common Stock issued and outstanding and an aggregate of 242,556,689 shares of Common Stock issuable upon the conversion or exercise of outstanding convertible securities, including 142,282,584 shares of Common Stock underlying the SPA Warrant and Series B Preferred Stock issued to Cerberus.</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 Purchaser funds all future draws under the Delayed Draw Term Loan and the Company meets each of the milestones under the Delayed Draw Term Loan, the Purchaser will be entitled to receive Series B Preferred Stock and/or Contingent Warrants that, when aggregated with the SPA Warrant and Series B Preferred Stock, equal 33.0% of the issued and outstanding Common Stock on a fully diluted basis. Assuming the Company issues no other securities after November 1, 2024, such Series B Preferred Stock, SPA Warrant and Contingent Warrants (such warrants, collectively, the “Warrants”) would aggregate to an equivalent of 156,714,957 shares of Common Stock. If the Purchaser funds all draws under the Delayed Draw Term Loan and the Company fails to meet all of the remaining milestones under the Delayed Draw Term Loan, the Purchaser would be entitled to receive Preferred Stock and/or Contingent Warrants (depending on whether stockholder approval has been received) that, when aggregated with the SPA Warrant and Series B Preferred Stock, equal 41.0% of the issued and outstanding Common Stock on a fully diluted basis, assuming the Warrants and Series B Preferred stock were fully convertible into Common Stock. Assuming the Company issues no other securities after November 1, 2024, such Preferred Stock and Warrants would aggregate to an equivalent of 221,107,338 shares of Common Stock.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if the Company were to issue additional shares of Common Stock or securities convertible or exercisable into Common Stock or trigger anti-dilution protection under the Preferred Stock and Warrants, the Preferred Stock and Warrants may become convertible or exercisable into additional shares of Common Stock. The issuance, pursuant to the terms of the Warrants and the Series B Preferred Stock, of Common Stock will dilute the percentage ownership interest of all stockholders, could dilute the book value per share of the Common Stock and will increase the number of the Company’s outstanding shares, and upon conversion or exercise would dilute the voting power of the Common Stock, which could cause the market price of our Common Stock to decrease. Depressed trading prices of our Common Stock could further impair our ability to raise sufficient capital to carry on our business.</w:t>
      </w:r>
    </w:p>
    <w:p>
      <w:pPr>
        <w:spacing w:after="0" w:line="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Company may need to seek alternative sources of capital, or risk its ability to continue operations, in the event it fails to meet a milestone under the terms of the Credit Agreement and the SPA.</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terms of the Credit Agreement and the SPA, the Purchaser is not required to provide funding under the Delayed Draw Term Loan in the event that the Company does not meet the necessary performance and funding milestones stipulated in the Credit Agreement. In the event the Company does not meet these milestones and the Purchaser chooses not to continue funding, the Company would need to seek alternative sources of capital, which may not be available on favorable terms or at all. If the Purchaser does not continue funding, and the Company’s efforts to raise additional outside capital prove unsuccessful, management would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1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of the Company’s Common Stock that are issuable upon the exercise or conversion of securities issuable under the Delayed Draw Term Loan and the SPA are subject to a contractual lockup.</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terms of the Delayed Draw Term Loan and the SPA, the holders of our securities issuable thereunder are subject to a contractual lockup that expires on June 21, 2025. The securities issuable under the Delayed Draw Term Loan and the SPA represent a substantial portion of our outstanding shares of Common Stock and, subject to stockholder approval and beneficial ownership limitations, have the potential to represent an even larger portion of our outstanding shares of common Stock, and we are obligated to register the resale of these shares of Common Stock by the holders.</w:t>
      </w:r>
    </w:p>
    <w:p>
      <w:pPr>
        <w:spacing w:after="0" w:line="1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Upon the effectiveness of the resale registration statement or otherwise in accordance with Rule 144 under the Securities Act and after expiration or waiver of the lock-up, the holders may sell our Common Stock in the open market or in privately negotiated transactions, which could have the effect of increasing the volatility in the trading price of our Common Stock or putting significant downward pressure on the price of our Common Stock.</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resale, or expected or potential resale, of a substantial number of shares of our Common Stock in the public market could adversely affect the market price for our Common Stock and make it more difficult for you to sell your Common Stock at times and prices that you feel are appropriate. Furthermore, because there will be a large number of shares registered pursuant to the registration statement, selling holders could continue to offer the securities covered by the registration statement for a significant period of time, the precise duration of which cannot be predicted. Accordingly, the adverse market and price pressures resulting from an offering pursuant to a registration statement may continue for an extended period of time.</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 sales of our Common Stock upon expected expiration of resale restrictions could encourage short sales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As such, short sales of our Common Stock could have a tendency to depress the price of our Common Stock, which could further increase the potential for short sales.</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size of future issuances or sales of our Common Stock or the effect, if any, that future issuances and sales of our Common Stock will have on the market price of our Common Stock. Sales of substantial amounts of our Common Stock, including issuances made in the ordinary course of the Company’s business, or the perception that such sales could occur, may materially and adversely affect prevailing market prices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 Exhibits</w:t>
            </w: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gridSpan w:val="18"/>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168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580" w:type="dxa"/>
            <w:vAlign w:val="bottom"/>
            <w:gridSpan w:val="18"/>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480" w:type="dxa"/>
            <w:vAlign w:val="bottom"/>
            <w:tcBorders>
              <w:top w:val="single" w:sz="8" w:color="auto"/>
            </w:tcBorders>
            <w:gridSpan w:val="17"/>
            <w:shd w:val="clear" w:color="auto" w:fill="CCEEFF"/>
          </w:tcPr>
          <w:p>
            <w:pPr>
              <w:spacing w:after="0" w:line="180"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Third Amended and Restated Certificate of Incorporation of</w:t>
              </w:r>
            </w:hyperlink>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Form 10-K</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File No. 001-</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ind w:right="51"/>
              <w:spacing w:after="0" w:line="180" w:lineRule="exact"/>
              <w:rPr>
                <w:sz w:val="20"/>
                <w:szCs w:val="20"/>
                <w:color w:val="auto"/>
              </w:rPr>
            </w:pPr>
            <w:r>
              <w:rPr>
                <w:rFonts w:ascii="Times New Roman" w:cs="Times New Roman" w:eastAsia="Times New Roman" w:hAnsi="Times New Roman"/>
                <w:sz w:val="18"/>
                <w:szCs w:val="18"/>
                <w:color w:val="auto"/>
                <w:w w:val="98"/>
              </w:rPr>
              <w:t>February 28, 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the Company, as amended</w:t>
              </w:r>
            </w:hyperlink>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39291</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6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Certificate of Amendment to the Third Amended and Restated</w:t>
              </w:r>
            </w:hyperlink>
          </w:p>
        </w:tc>
        <w:tc>
          <w:tcPr>
            <w:tcW w:w="134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Form 10-Q</w:t>
            </w:r>
          </w:p>
        </w:tc>
        <w:tc>
          <w:tcPr>
            <w:tcW w:w="13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File No. 001-</w:t>
            </w:r>
          </w:p>
        </w:tc>
        <w:tc>
          <w:tcPr>
            <w:tcW w:w="9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1"/>
              <w:spacing w:after="0" w:line="187" w:lineRule="exact"/>
              <w:rPr>
                <w:sz w:val="20"/>
                <w:szCs w:val="20"/>
                <w:color w:val="auto"/>
              </w:rPr>
            </w:pPr>
            <w:r>
              <w:rPr>
                <w:rFonts w:ascii="Times New Roman" w:cs="Times New Roman" w:eastAsia="Times New Roman" w:hAnsi="Times New Roman"/>
                <w:sz w:val="18"/>
                <w:szCs w:val="18"/>
                <w:color w:val="auto"/>
                <w:w w:val="97"/>
              </w:rPr>
              <w:t>May 14,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40" w:type="dxa"/>
            <w:vAlign w:val="bottom"/>
            <w:tcBorders>
              <w:top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Certificate of Incorporation of the Company, as amended</w:t>
              </w:r>
            </w:hyperlink>
          </w:p>
        </w:tc>
        <w:tc>
          <w:tcPr>
            <w:tcW w:w="14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39291</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Second Amended and Restated Bylaws of the Company</w:t>
              </w:r>
            </w:hyperlink>
          </w:p>
        </w:tc>
        <w:tc>
          <w:tcPr>
            <w:tcW w:w="134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File No. 001-</w:t>
            </w:r>
          </w:p>
        </w:tc>
        <w:tc>
          <w:tcPr>
            <w:tcW w:w="9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1"/>
              <w:spacing w:after="0" w:line="187" w:lineRule="exact"/>
              <w:rPr>
                <w:sz w:val="20"/>
                <w:szCs w:val="20"/>
                <w:color w:val="auto"/>
              </w:rPr>
            </w:pPr>
            <w:r>
              <w:rPr>
                <w:rFonts w:ascii="Times New Roman" w:cs="Times New Roman" w:eastAsia="Times New Roman" w:hAnsi="Times New Roman"/>
                <w:sz w:val="18"/>
                <w:szCs w:val="18"/>
                <w:color w:val="auto"/>
                <w:w w:val="97"/>
              </w:rPr>
              <w:t>May 19, 2022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3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Series A-1 Preferred Stock Certificate of Designation</w:t>
              </w:r>
            </w:hyperlink>
          </w:p>
        </w:tc>
        <w:tc>
          <w:tcPr>
            <w:tcW w:w="134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File No. 001-</w:t>
            </w:r>
          </w:p>
        </w:tc>
        <w:tc>
          <w:tcPr>
            <w:tcW w:w="9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1"/>
              <w:spacing w:after="0" w:line="187" w:lineRule="exact"/>
              <w:rPr>
                <w:sz w:val="20"/>
                <w:szCs w:val="20"/>
                <w:color w:val="auto"/>
              </w:rPr>
            </w:pPr>
            <w:r>
              <w:rPr>
                <w:rFonts w:ascii="Times New Roman" w:cs="Times New Roman" w:eastAsia="Times New Roman" w:hAnsi="Times New Roman"/>
                <w:sz w:val="18"/>
                <w:szCs w:val="18"/>
                <w:color w:val="auto"/>
                <w:w w:val="97"/>
              </w:rPr>
              <w:t>June 24, 2024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3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Series A-2 Preferred Stock Certificate of Designation.</w:t>
              </w:r>
            </w:hyperlink>
          </w:p>
        </w:tc>
        <w:tc>
          <w:tcPr>
            <w:tcW w:w="134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File No. 001-</w:t>
            </w:r>
          </w:p>
        </w:tc>
        <w:tc>
          <w:tcPr>
            <w:tcW w:w="9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1"/>
              <w:spacing w:after="0" w:line="187" w:lineRule="exact"/>
              <w:rPr>
                <w:sz w:val="20"/>
                <w:szCs w:val="20"/>
                <w:color w:val="auto"/>
              </w:rPr>
            </w:pPr>
            <w:r>
              <w:rPr>
                <w:rFonts w:ascii="Times New Roman" w:cs="Times New Roman" w:eastAsia="Times New Roman" w:hAnsi="Times New Roman"/>
                <w:sz w:val="18"/>
                <w:szCs w:val="18"/>
                <w:color w:val="auto"/>
                <w:w w:val="98"/>
              </w:rPr>
              <w:t>August 30, 2024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34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Designation of Series B-1 Non-Voting</w:t>
              </w:r>
            </w:hyperlink>
          </w:p>
        </w:tc>
        <w:tc>
          <w:tcPr>
            <w:tcW w:w="134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File No. 001-</w:t>
            </w:r>
          </w:p>
        </w:tc>
        <w:tc>
          <w:tcPr>
            <w:tcW w:w="9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1"/>
              <w:spacing w:after="0" w:line="187" w:lineRule="exact"/>
              <w:rPr>
                <w:sz w:val="20"/>
                <w:szCs w:val="20"/>
                <w:color w:val="auto"/>
              </w:rPr>
            </w:pPr>
            <w:r>
              <w:rPr>
                <w:rFonts w:ascii="Times New Roman" w:cs="Times New Roman" w:eastAsia="Times New Roman" w:hAnsi="Times New Roman"/>
                <w:sz w:val="18"/>
                <w:szCs w:val="18"/>
                <w:color w:val="auto"/>
                <w:w w:val="98"/>
              </w:rPr>
              <w:t>September 12,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0000FF"/>
            </w:tcBorders>
            <w:gridSpan w:val="4"/>
            <w:shd w:val="clear" w:color="auto" w:fill="CCEEFF"/>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Convertible Preferred Stock.</w:t>
              </w:r>
            </w:hyperlink>
          </w:p>
        </w:tc>
        <w:tc>
          <w:tcPr>
            <w:tcW w:w="220" w:type="dxa"/>
            <w:vAlign w:val="bottom"/>
            <w:tcBorders>
              <w:top w:val="single" w:sz="8" w:color="CCEEFF"/>
            </w:tcBorders>
            <w:gridSpan w:val="3"/>
            <w:shd w:val="clear" w:color="auto" w:fill="CCEEFF"/>
          </w:tcPr>
          <w:p>
            <w:pPr>
              <w:spacing w:after="0"/>
              <w:rPr>
                <w:sz w:val="16"/>
                <w:szCs w:val="16"/>
                <w:color w:val="auto"/>
              </w:rPr>
            </w:pPr>
          </w:p>
        </w:tc>
        <w:tc>
          <w:tcPr>
            <w:tcW w:w="26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3"/>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39291</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Certificate of Designation of Series B-2 Non-Voting</w:t>
              </w:r>
            </w:hyperlink>
          </w:p>
        </w:tc>
        <w:tc>
          <w:tcPr>
            <w:tcW w:w="134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File No. 001-</w:t>
            </w:r>
          </w:p>
        </w:tc>
        <w:tc>
          <w:tcPr>
            <w:tcW w:w="9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1"/>
              <w:spacing w:after="0" w:line="187" w:lineRule="exact"/>
              <w:rPr>
                <w:sz w:val="20"/>
                <w:szCs w:val="20"/>
                <w:color w:val="auto"/>
              </w:rPr>
            </w:pPr>
            <w:r>
              <w:rPr>
                <w:rFonts w:ascii="Times New Roman" w:cs="Times New Roman" w:eastAsia="Times New Roman" w:hAnsi="Times New Roman"/>
                <w:sz w:val="18"/>
                <w:szCs w:val="18"/>
                <w:color w:val="auto"/>
                <w:w w:val="98"/>
              </w:rPr>
              <w:t>September 12,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0000FF"/>
            </w:tcBorders>
            <w:gridSpan w:val="4"/>
            <w:shd w:val="clear" w:color="auto" w:fill="CCEEFF"/>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Convertible Preferred Stock.</w:t>
              </w:r>
            </w:hyperlink>
          </w:p>
        </w:tc>
        <w:tc>
          <w:tcPr>
            <w:tcW w:w="220" w:type="dxa"/>
            <w:vAlign w:val="bottom"/>
            <w:tcBorders>
              <w:top w:val="single" w:sz="8" w:color="CCEEFF"/>
            </w:tcBorders>
            <w:gridSpan w:val="3"/>
            <w:shd w:val="clear" w:color="auto" w:fill="CCEEFF"/>
          </w:tcPr>
          <w:p>
            <w:pPr>
              <w:spacing w:after="0"/>
              <w:rPr>
                <w:sz w:val="16"/>
                <w:szCs w:val="16"/>
                <w:color w:val="auto"/>
              </w:rPr>
            </w:pPr>
          </w:p>
        </w:tc>
        <w:tc>
          <w:tcPr>
            <w:tcW w:w="26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3"/>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39291</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5"/>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Act Rules 13a-14(a) and 15d-14(a), as adopted pursuant to</w:t>
            </w:r>
          </w:p>
        </w:tc>
        <w:tc>
          <w:tcPr>
            <w:tcW w:w="160" w:type="dxa"/>
            <w:vAlign w:val="bottom"/>
            <w:tcBorders>
              <w:top w:val="single" w:sz="8" w:color="CCEEFF"/>
            </w:tcBorders>
            <w:gridSpan w:val="3"/>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0000FF"/>
            </w:tcBorders>
            <w:gridSpan w:val="10"/>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4"/>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14"/>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Act Rules 13a-14(a) and 15d-14(a), as adopted pursuant to</w:t>
            </w:r>
          </w:p>
        </w:tc>
        <w:tc>
          <w:tcPr>
            <w:tcW w:w="200" w:type="dxa"/>
            <w:vAlign w:val="bottom"/>
            <w:tcBorders>
              <w:top w:val="single" w:sz="8" w:color="CCEEFF"/>
            </w:tcBorders>
            <w:gridSpan w:val="4"/>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0000FF"/>
            </w:tcBorders>
            <w:gridSpan w:val="10"/>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280" w:type="dxa"/>
            <w:vAlign w:val="bottom"/>
            <w:tcBorders>
              <w:top w:val="single" w:sz="8" w:color="CCEEFF"/>
            </w:tcBorders>
            <w:gridSpan w:val="5"/>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0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580" w:type="dxa"/>
            <w:vAlign w:val="bottom"/>
            <w:gridSpan w:val="18"/>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300" w:type="dxa"/>
            <w:vAlign w:val="bottom"/>
            <w:tcBorders>
              <w:top w:val="single" w:sz="8" w:color="0000FF"/>
            </w:tcBorders>
            <w:gridSpan w:val="13"/>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Officer pursuant to 18 U.S.C. Section 1350, as adopted</w:t>
            </w:r>
          </w:p>
        </w:tc>
        <w:tc>
          <w:tcPr>
            <w:tcW w:w="280" w:type="dxa"/>
            <w:vAlign w:val="bottom"/>
            <w:tcBorders>
              <w:top w:val="single" w:sz="8" w:color="CCEEFF"/>
            </w:tcBorders>
            <w:gridSpan w:val="5"/>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920" w:type="dxa"/>
            <w:vAlign w:val="bottom"/>
            <w:tcBorders>
              <w:top w:val="single" w:sz="8" w:color="0000FF"/>
              <w:bottom w:val="single" w:sz="8" w:color="0000FF"/>
            </w:tcBorders>
            <w:gridSpan w:val="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pursuant to Section 906 of the Sarbanes-Oxley Act of</w:t>
            </w:r>
          </w:p>
        </w:tc>
        <w:tc>
          <w:tcPr>
            <w:tcW w:w="300" w:type="dxa"/>
            <w:vAlign w:val="bottom"/>
            <w:tcBorders>
              <w:top w:val="single" w:sz="8" w:color="CCEEFF"/>
              <w:bottom w:val="single" w:sz="8" w:color="0000FF"/>
            </w:tcBorders>
            <w:gridSpan w:val="4"/>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0000FF"/>
                <w:w w:val="82"/>
              </w:rPr>
              <w:t>2002</w:t>
            </w:r>
          </w:p>
        </w:tc>
        <w:tc>
          <w:tcPr>
            <w:tcW w:w="36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5"/>
                <w:szCs w:val="15"/>
                <w:color w:val="auto"/>
              </w:rPr>
            </w:pPr>
          </w:p>
        </w:tc>
        <w:tc>
          <w:tcPr>
            <w:tcW w:w="4580" w:type="dxa"/>
            <w:vAlign w:val="bottom"/>
            <w:gridSpan w:val="18"/>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580" w:type="dxa"/>
            <w:vAlign w:val="bottom"/>
            <w:gridSpan w:val="18"/>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5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45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shd w:val="clear" w:color="auto" w:fill="CCEEFF"/>
          </w:tcPr>
          <w:p>
            <w:pPr>
              <w:spacing w:after="0"/>
              <w:rPr>
                <w:sz w:val="19"/>
                <w:szCs w:val="19"/>
                <w:color w:val="auto"/>
              </w:rPr>
            </w:pPr>
          </w:p>
        </w:tc>
        <w:tc>
          <w:tcPr>
            <w:tcW w:w="45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45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shd w:val="clear" w:color="auto" w:fill="CCEEFF"/>
          </w:tcPr>
          <w:p>
            <w:pPr>
              <w:spacing w:after="0"/>
              <w:rPr>
                <w:sz w:val="19"/>
                <w:szCs w:val="19"/>
                <w:color w:val="auto"/>
              </w:rPr>
            </w:pPr>
          </w:p>
        </w:tc>
        <w:tc>
          <w:tcPr>
            <w:tcW w:w="45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19"/>
                <w:szCs w:val="19"/>
                <w:color w:val="auto"/>
              </w:rPr>
            </w:pPr>
          </w:p>
        </w:tc>
        <w:tc>
          <w:tcPr>
            <w:tcW w:w="45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140" w:right="5820" w:hanging="1116"/>
        <w:spacing w:after="0" w:line="261"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34225" cy="287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4225" cy="28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4"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pacing w:after="0" w:line="38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700" w:type="dxa"/>
            <w:vAlign w:val="bottom"/>
            <w:gridSpan w:val="3"/>
          </w:tcPr>
          <w:p>
            <w:pPr>
              <w:ind w:left="250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120" w:type="dxa"/>
            <w:vAlign w:val="bottom"/>
          </w:tcPr>
          <w:p>
            <w:pPr>
              <w:spacing w:after="0"/>
              <w:rPr>
                <w:sz w:val="20"/>
                <w:szCs w:val="20"/>
                <w:color w:val="auto"/>
              </w:rPr>
            </w:pPr>
          </w:p>
        </w:tc>
      </w:tr>
      <w:tr>
        <w:trPr>
          <w:trHeight w:val="47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33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Joseph Mastrangelo</w:t>
            </w:r>
          </w:p>
        </w:tc>
        <w:tc>
          <w:tcPr>
            <w:tcW w:w="120" w:type="dxa"/>
            <w:vAlign w:val="bottom"/>
          </w:tcPr>
          <w:p>
            <w:pPr>
              <w:spacing w:after="0"/>
              <w:rPr>
                <w:sz w:val="24"/>
                <w:szCs w:val="24"/>
                <w:color w:val="auto"/>
              </w:rPr>
            </w:pPr>
          </w:p>
        </w:tc>
      </w:tr>
      <w:tr>
        <w:trPr>
          <w:trHeight w:val="220"/>
        </w:trPr>
        <w:tc>
          <w:tcPr>
            <w:tcW w:w="4260" w:type="dxa"/>
            <w:vAlign w:val="bottom"/>
          </w:tcPr>
          <w:p>
            <w:pPr>
              <w:spacing w:after="0"/>
              <w:rPr>
                <w:sz w:val="19"/>
                <w:szCs w:val="19"/>
                <w:color w:val="auto"/>
              </w:rPr>
            </w:pPr>
          </w:p>
        </w:tc>
        <w:tc>
          <w:tcPr>
            <w:tcW w:w="33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Name:</w:t>
            </w: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Joseph Mastrangelo</w:t>
            </w:r>
          </w:p>
        </w:tc>
        <w:tc>
          <w:tcPr>
            <w:tcW w:w="120" w:type="dxa"/>
            <w:vAlign w:val="bottom"/>
          </w:tcPr>
          <w:p>
            <w:pPr>
              <w:spacing w:after="0"/>
              <w:rPr>
                <w:sz w:val="19"/>
                <w:szCs w:val="19"/>
                <w:color w:val="auto"/>
              </w:rPr>
            </w:pPr>
          </w:p>
        </w:tc>
      </w:tr>
      <w:tr>
        <w:trPr>
          <w:trHeight w:val="167"/>
        </w:trPr>
        <w:tc>
          <w:tcPr>
            <w:tcW w:w="4260" w:type="dxa"/>
            <w:vAlign w:val="bottom"/>
          </w:tcPr>
          <w:p>
            <w:pPr>
              <w:spacing w:after="0"/>
              <w:rPr>
                <w:sz w:val="14"/>
                <w:szCs w:val="14"/>
                <w:color w:val="auto"/>
              </w:rPr>
            </w:pPr>
          </w:p>
        </w:tc>
        <w:tc>
          <w:tcPr>
            <w:tcW w:w="3300" w:type="dxa"/>
            <w:vAlign w:val="bottom"/>
          </w:tcPr>
          <w:p>
            <w:pPr>
              <w:ind w:left="2500"/>
              <w:spacing w:after="0" w:line="167" w:lineRule="exact"/>
              <w:rPr>
                <w:sz w:val="20"/>
                <w:szCs w:val="20"/>
                <w:color w:val="auto"/>
              </w:rPr>
            </w:pPr>
            <w:r>
              <w:rPr>
                <w:rFonts w:ascii="Times New Roman" w:cs="Times New Roman" w:eastAsia="Times New Roman" w:hAnsi="Times New Roman"/>
                <w:sz w:val="18"/>
                <w:szCs w:val="18"/>
                <w:color w:val="auto"/>
              </w:rPr>
              <w:t>Title:</w:t>
            </w:r>
          </w:p>
        </w:tc>
        <w:tc>
          <w:tcPr>
            <w:tcW w:w="34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14"/>
                <w:szCs w:val="14"/>
                <w:color w:val="auto"/>
              </w:rPr>
            </w:pPr>
          </w:p>
        </w:tc>
      </w:tr>
      <w:tr>
        <w:trPr>
          <w:trHeight w:val="232"/>
        </w:trPr>
        <w:tc>
          <w:tcPr>
            <w:tcW w:w="4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r>
      <w:tr>
        <w:trPr>
          <w:trHeight w:val="78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33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Nathan Kroeker</w:t>
            </w:r>
          </w:p>
        </w:tc>
        <w:tc>
          <w:tcPr>
            <w:tcW w:w="120" w:type="dxa"/>
            <w:vAlign w:val="bottom"/>
            <w:tcBorders>
              <w:bottom w:val="single" w:sz="8" w:color="auto"/>
            </w:tcBorders>
          </w:tcPr>
          <w:p>
            <w:pPr>
              <w:spacing w:after="0"/>
              <w:rPr>
                <w:sz w:val="24"/>
                <w:szCs w:val="24"/>
                <w:color w:val="auto"/>
              </w:rPr>
            </w:pPr>
          </w:p>
        </w:tc>
      </w:tr>
      <w:tr>
        <w:trPr>
          <w:trHeight w:val="220"/>
        </w:trPr>
        <w:tc>
          <w:tcPr>
            <w:tcW w:w="4260" w:type="dxa"/>
            <w:vAlign w:val="bottom"/>
          </w:tcPr>
          <w:p>
            <w:pPr>
              <w:spacing w:after="0"/>
              <w:rPr>
                <w:sz w:val="19"/>
                <w:szCs w:val="19"/>
                <w:color w:val="auto"/>
              </w:rPr>
            </w:pPr>
          </w:p>
        </w:tc>
        <w:tc>
          <w:tcPr>
            <w:tcW w:w="33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9"/>
                <w:szCs w:val="19"/>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Nathan Kroeker</w:t>
            </w:r>
          </w:p>
        </w:tc>
        <w:tc>
          <w:tcPr>
            <w:tcW w:w="120" w:type="dxa"/>
            <w:vAlign w:val="bottom"/>
            <w:tcBorders>
              <w:bottom w:val="single" w:sz="8" w:color="auto"/>
            </w:tcBorders>
          </w:tcPr>
          <w:p>
            <w:pPr>
              <w:spacing w:after="0"/>
              <w:rPr>
                <w:sz w:val="19"/>
                <w:szCs w:val="19"/>
                <w:color w:val="auto"/>
              </w:rPr>
            </w:pPr>
          </w:p>
        </w:tc>
      </w:tr>
      <w:tr>
        <w:trPr>
          <w:trHeight w:val="167"/>
        </w:trPr>
        <w:tc>
          <w:tcPr>
            <w:tcW w:w="4260" w:type="dxa"/>
            <w:vAlign w:val="bottom"/>
          </w:tcPr>
          <w:p>
            <w:pPr>
              <w:spacing w:after="0"/>
              <w:rPr>
                <w:sz w:val="14"/>
                <w:szCs w:val="14"/>
                <w:color w:val="auto"/>
              </w:rPr>
            </w:pPr>
          </w:p>
        </w:tc>
        <w:tc>
          <w:tcPr>
            <w:tcW w:w="3300" w:type="dxa"/>
            <w:vAlign w:val="bottom"/>
          </w:tcPr>
          <w:p>
            <w:pPr>
              <w:ind w:left="2560"/>
              <w:spacing w:after="0" w:line="167" w:lineRule="exact"/>
              <w:rPr>
                <w:sz w:val="20"/>
                <w:szCs w:val="20"/>
                <w:color w:val="auto"/>
              </w:rPr>
            </w:pPr>
            <w:r>
              <w:rPr>
                <w:rFonts w:ascii="Times New Roman" w:cs="Times New Roman" w:eastAsia="Times New Roman" w:hAnsi="Times New Roman"/>
                <w:sz w:val="18"/>
                <w:szCs w:val="18"/>
                <w:color w:val="auto"/>
              </w:rPr>
              <w:t>Title:</w:t>
            </w:r>
          </w:p>
        </w:tc>
        <w:tc>
          <w:tcPr>
            <w:tcW w:w="60" w:type="dxa"/>
            <w:vAlign w:val="bottom"/>
          </w:tcPr>
          <w:p>
            <w:pPr>
              <w:spacing w:after="0"/>
              <w:rPr>
                <w:sz w:val="14"/>
                <w:szCs w:val="14"/>
                <w:color w:val="auto"/>
              </w:rPr>
            </w:pPr>
          </w:p>
        </w:tc>
        <w:tc>
          <w:tcPr>
            <w:tcW w:w="3340" w:type="dxa"/>
            <w:vAlign w:val="bottom"/>
          </w:tcPr>
          <w:p>
            <w:pPr>
              <w:ind w:left="20"/>
              <w:spacing w:after="0" w:line="167" w:lineRule="exact"/>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4"/>
                <w:szCs w:val="14"/>
                <w:color w:val="auto"/>
              </w:rPr>
            </w:pPr>
          </w:p>
        </w:tc>
      </w:tr>
      <w:tr>
        <w:trPr>
          <w:trHeight w:val="232"/>
        </w:trPr>
        <w:tc>
          <w:tcPr>
            <w:tcW w:w="4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0" w:name="page61"/>
    <w:bookmarkEnd w:id="60"/>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Mastrangelo, certify that:</w:t>
      </w:r>
    </w:p>
    <w:p>
      <w:pPr>
        <w:spacing w:after="0" w:line="100" w:lineRule="exact"/>
        <w:rPr>
          <w:sz w:val="20"/>
          <w:szCs w:val="20"/>
          <w:color w:val="auto"/>
        </w:rPr>
      </w:pPr>
    </w:p>
    <w:p>
      <w:pPr>
        <w:ind w:left="500" w:hanging="174"/>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Eos Energy Enterprises, Inc. (the “Registrant”);</w:t>
      </w:r>
    </w:p>
    <w:p>
      <w:pPr>
        <w:spacing w:after="0" w:line="86" w:lineRule="exact"/>
        <w:rPr>
          <w:rFonts w:ascii="Times New Roman" w:cs="Times New Roman" w:eastAsia="Times New Roman" w:hAnsi="Times New Roman"/>
          <w:sz w:val="18"/>
          <w:szCs w:val="18"/>
          <w:color w:val="auto"/>
        </w:rPr>
      </w:pPr>
    </w:p>
    <w:p>
      <w:pPr>
        <w:jc w:val="both"/>
        <w:ind w:left="320" w:firstLine="6"/>
        <w:spacing w:after="0" w:line="306" w:lineRule="auto"/>
        <w:tabs>
          <w:tab w:leader="none" w:pos="51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320" w:firstLine="6"/>
        <w:spacing w:after="0" w:line="276" w:lineRule="auto"/>
        <w:tabs>
          <w:tab w:leader="none" w:pos="5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320" w:firstLine="6"/>
        <w:spacing w:after="0" w:line="261" w:lineRule="auto"/>
        <w:tabs>
          <w:tab w:leader="none" w:pos="5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8"/>
          <w:szCs w:val="18"/>
          <w:color w:val="auto"/>
        </w:rPr>
      </w:pPr>
    </w:p>
    <w:p>
      <w:pPr>
        <w:jc w:val="both"/>
        <w:ind w:left="640" w:firstLine="6"/>
        <w:spacing w:after="0" w:line="261" w:lineRule="auto"/>
        <w:tabs>
          <w:tab w:leader="none" w:pos="8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8"/>
          <w:szCs w:val="18"/>
          <w:color w:val="auto"/>
        </w:rPr>
      </w:pPr>
    </w:p>
    <w:p>
      <w:pPr>
        <w:jc w:val="both"/>
        <w:ind w:left="640" w:firstLine="6"/>
        <w:spacing w:after="0" w:line="261" w:lineRule="auto"/>
        <w:tabs>
          <w:tab w:leader="none" w:pos="8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640" w:firstLine="6"/>
        <w:spacing w:after="0" w:line="276" w:lineRule="auto"/>
        <w:tabs>
          <w:tab w:leader="none" w:pos="8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ind w:left="640" w:firstLine="6"/>
        <w:spacing w:after="0" w:line="306" w:lineRule="auto"/>
        <w:tabs>
          <w:tab w:leader="none" w:pos="82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7"/>
          <w:szCs w:val="17"/>
          <w:color w:val="auto"/>
        </w:rPr>
      </w:pPr>
    </w:p>
    <w:p>
      <w:pPr>
        <w:ind w:left="320" w:firstLine="6"/>
        <w:spacing w:after="0" w:line="276" w:lineRule="auto"/>
        <w:tabs>
          <w:tab w:leader="none" w:pos="5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640" w:right="20" w:firstLine="6"/>
        <w:spacing w:after="0" w:line="276"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firstLine="6"/>
        <w:spacing w:after="0" w:line="276" w:lineRule="auto"/>
        <w:tabs>
          <w:tab w:leader="none" w:pos="8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32385</wp:posOffset>
            </wp:positionV>
            <wp:extent cx="32499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3249930" cy="8255"/>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6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Kroeker, certify that:</w:t>
      </w:r>
    </w:p>
    <w:p>
      <w:pPr>
        <w:spacing w:after="0" w:line="100" w:lineRule="exact"/>
        <w:rPr>
          <w:sz w:val="20"/>
          <w:szCs w:val="20"/>
          <w:color w:val="auto"/>
        </w:rPr>
      </w:pPr>
    </w:p>
    <w:p>
      <w:pPr>
        <w:ind w:left="500" w:hanging="174"/>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Eos Energy Enterprises, Inc. (the Registrant”);</w:t>
      </w:r>
    </w:p>
    <w:p>
      <w:pPr>
        <w:spacing w:after="0" w:line="86" w:lineRule="exact"/>
        <w:rPr>
          <w:rFonts w:ascii="Times New Roman" w:cs="Times New Roman" w:eastAsia="Times New Roman" w:hAnsi="Times New Roman"/>
          <w:sz w:val="18"/>
          <w:szCs w:val="18"/>
          <w:color w:val="auto"/>
        </w:rPr>
      </w:pPr>
    </w:p>
    <w:p>
      <w:pPr>
        <w:jc w:val="both"/>
        <w:ind w:left="320" w:firstLine="6"/>
        <w:spacing w:after="0" w:line="306" w:lineRule="auto"/>
        <w:tabs>
          <w:tab w:leader="none" w:pos="51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320" w:firstLine="6"/>
        <w:spacing w:after="0" w:line="276" w:lineRule="auto"/>
        <w:tabs>
          <w:tab w:leader="none" w:pos="5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320" w:firstLine="6"/>
        <w:spacing w:after="0" w:line="261" w:lineRule="auto"/>
        <w:tabs>
          <w:tab w:leader="none" w:pos="5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8"/>
          <w:szCs w:val="18"/>
          <w:color w:val="auto"/>
        </w:rPr>
      </w:pPr>
    </w:p>
    <w:p>
      <w:pPr>
        <w:jc w:val="both"/>
        <w:ind w:left="640" w:firstLine="6"/>
        <w:spacing w:after="0" w:line="261" w:lineRule="auto"/>
        <w:tabs>
          <w:tab w:leader="none" w:pos="8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8"/>
          <w:szCs w:val="18"/>
          <w:color w:val="auto"/>
        </w:rPr>
      </w:pPr>
    </w:p>
    <w:p>
      <w:pPr>
        <w:jc w:val="both"/>
        <w:ind w:left="640" w:firstLine="6"/>
        <w:spacing w:after="0" w:line="261" w:lineRule="auto"/>
        <w:tabs>
          <w:tab w:leader="none" w:pos="8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640" w:firstLine="6"/>
        <w:spacing w:after="0" w:line="276" w:lineRule="auto"/>
        <w:tabs>
          <w:tab w:leader="none" w:pos="8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ind w:left="640" w:firstLine="6"/>
        <w:spacing w:after="0" w:line="306" w:lineRule="auto"/>
        <w:tabs>
          <w:tab w:leader="none" w:pos="8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7"/>
          <w:szCs w:val="17"/>
          <w:color w:val="auto"/>
        </w:rPr>
      </w:pPr>
    </w:p>
    <w:p>
      <w:pPr>
        <w:ind w:left="320" w:firstLine="6"/>
        <w:spacing w:after="0" w:line="276" w:lineRule="auto"/>
        <w:tabs>
          <w:tab w:leader="none" w:pos="5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640" w:right="20" w:firstLine="6"/>
        <w:spacing w:after="0" w:line="276" w:lineRule="auto"/>
        <w:tabs>
          <w:tab w:leader="none" w:pos="8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firstLine="6"/>
        <w:spacing w:after="0" w:line="276" w:lineRule="auto"/>
        <w:tabs>
          <w:tab w:leader="none" w:pos="8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700" w:val="left"/>
          <w:tab w:leader="none" w:pos="624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32385</wp:posOffset>
            </wp:positionV>
            <wp:extent cx="31737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3173730" cy="8255"/>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Nathan Kroeker</w:t>
      </w:r>
    </w:p>
    <w:p>
      <w:pPr>
        <w:spacing w:after="0" w:line="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Eos Energy Enterprises, Inc. (the “Registrant”), for the quarterly period ended September 30, 2024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w:t>
      </w:r>
    </w:p>
    <w:p>
      <w:pPr>
        <w:spacing w:after="0" w:line="204" w:lineRule="exact"/>
        <w:rPr>
          <w:sz w:val="20"/>
          <w:szCs w:val="20"/>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07"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32385</wp:posOffset>
            </wp:positionV>
            <wp:extent cx="32499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3249930" cy="8255"/>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6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Eos Energy Enterprises, Inc. (the “Registrant”), for the quarterly period ended September 30, 2024 as filed with the Securities and Exchange Commission on the date hereof (the “Report”), I, Nathan Kroeker, hereby certify, in the capacity and on the date indicated below, pursuant to 18 U.S.C. §1350, as adopted pursuant to Section 906 of the Sarbanes-Oxley Act of 2002, that, to my knowledge:</w:t>
      </w:r>
    </w:p>
    <w:p>
      <w:pPr>
        <w:spacing w:after="0" w:line="204" w:lineRule="exact"/>
        <w:rPr>
          <w:sz w:val="20"/>
          <w:szCs w:val="20"/>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07" w:lineRule="exact"/>
        <w:rPr>
          <w:sz w:val="20"/>
          <w:szCs w:val="20"/>
          <w:color w:val="auto"/>
        </w:rPr>
      </w:pPr>
    </w:p>
    <w:p>
      <w:pPr>
        <w:ind w:left="20"/>
        <w:spacing w:after="0"/>
        <w:tabs>
          <w:tab w:leader="none" w:pos="5740" w:val="left"/>
          <w:tab w:leader="none" w:pos="63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32385</wp:posOffset>
            </wp:positionV>
            <wp:extent cx="31229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5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Nathan Kroeker</w:t>
      </w:r>
    </w:p>
    <w:p>
      <w:pPr>
        <w:spacing w:after="0" w:line="6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21" Type="http://schemas.openxmlformats.org/officeDocument/2006/relationships/hyperlink" Target="https://www.sec.gov/Archives/edgar/data/1805077/000162828023005647/ex31-thirdamendedandrestat.htm" TargetMode="External"/><Relationship Id="rId122" Type="http://schemas.openxmlformats.org/officeDocument/2006/relationships/hyperlink" Target="https://www.sec.gov/Archives/edgar/data/1805077/000180507724000051/secondcertificateofamend.htm" TargetMode="External"/><Relationship Id="rId123" Type="http://schemas.openxmlformats.org/officeDocument/2006/relationships/hyperlink" Target="https://www.sec.gov/Archives/edgar/data/1805077/000162828022014885/secondamendedandrestatedby.htm" TargetMode="External"/><Relationship Id="rId124" Type="http://schemas.openxmlformats.org/officeDocument/2006/relationships/hyperlink" Target="https://www.sec.gov/Archives/edgar/data/1805077/000121390024054998/ea020831801ex3-1_eosener.htm" TargetMode="External"/><Relationship Id="rId125" Type="http://schemas.openxmlformats.org/officeDocument/2006/relationships/hyperlink" Target="https://www.sec.gov/Archives/edgar/data/1805077/000121390024074175/ea021300401ex3-1_eosenergy.htm" TargetMode="External"/><Relationship Id="rId126" Type="http://schemas.openxmlformats.org/officeDocument/2006/relationships/hyperlink" Target="https://www.sec.gov/Archives/edgar/data/1805077/000121390024078188/ea021432401ex3-1_eosenergy.htm" TargetMode="External"/><Relationship Id="rId127" Type="http://schemas.openxmlformats.org/officeDocument/2006/relationships/hyperlink" Target="https://www.sec.gov/Archives/edgar/data/1805077/000121390024078188/ea021432401ex3-2_eos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2024-11-05T16:06:05Z</dcterms:created>
  <dcterms:modified xsi:type="dcterms:W3CDTF">2024-11-05T16:06:05Z</dcterms:modified>
</cp:coreProperties>
</file>