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2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January 18, 2023</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52"/>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001-39291</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84-4290188</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3920 Park Avenue</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Edison, New Jersey 08820</w:t>
            </w:r>
          </w:p>
        </w:tc>
        <w:tc>
          <w:tcPr>
            <w:tcW w:w="2820" w:type="dxa"/>
            <w:vAlign w:val="bottom"/>
          </w:tcPr>
          <w:p>
            <w:pPr>
              <w:spacing w:after="0"/>
              <w:rPr>
                <w:sz w:val="19"/>
                <w:szCs w:val="19"/>
                <w:color w:val="auto"/>
              </w:rPr>
            </w:pPr>
          </w:p>
        </w:tc>
      </w:tr>
      <w:tr>
        <w:trPr>
          <w:trHeight w:val="212"/>
        </w:trPr>
        <w:tc>
          <w:tcPr>
            <w:tcW w:w="2960" w:type="dxa"/>
            <w:vAlign w:val="bottom"/>
          </w:tcPr>
          <w:p>
            <w:pPr>
              <w:spacing w:after="0"/>
              <w:rPr>
                <w:sz w:val="18"/>
                <w:szCs w:val="18"/>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(732) 225-8400</w:t>
            </w:r>
          </w:p>
        </w:tc>
        <w:tc>
          <w:tcPr>
            <w:tcW w:w="2820" w:type="dxa"/>
            <w:vAlign w:val="bottom"/>
          </w:tcPr>
          <w:p>
            <w:pPr>
              <w:spacing w:after="0"/>
              <w:rPr>
                <w:sz w:val="20"/>
                <w:szCs w:val="20"/>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right="2740" w:hanging="652"/>
        <w:spacing w:after="0" w:line="511" w:lineRule="auto"/>
        <w:tabs>
          <w:tab w:leader="none" w:pos="47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3840" w:type="dxa"/>
            <w:vAlign w:val="bottom"/>
            <w:gridSpan w:val="2"/>
            <w:shd w:val="clear" w:color="auto" w:fill="FEFEFE"/>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shd w:val="clear" w:color="auto" w:fill="FEFEFE"/>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EOSE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w:t>
            </w:r>
          </w:p>
        </w:tc>
        <w:tc>
          <w:tcPr>
            <w:tcW w:w="38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EOSEW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and Sale of 26.5% Convertible Senior PIK Notes due 2026</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18, 2023, Eos Energy Enterprises, Inc. (the “Company”) entered into an investment agreement (the “Investment Agreement”) with Great American Insurance Company, Ardsley Partners Renewable Energy, LP, CCI SPV III, LP, Denman Street LLC, John B. Berding Irrevocable Children’s Trust, John B. Berding, and AE Convert, LLC, a Delaware limited liability company managed by Russell Stidolph, a director of the Company (together, the “Purchasers”) relating to the issuance and sale to the Purchasers of $13,750,000 in aggregate principal amount of the Company’s 26.5% Convertible Senior PIK Notes due 2026 (the “Notes”). The transactions contemplated by the Investment Agreement (the “Transaction”) closed on January 18, 2023 (the date on which the closing occurred, the “Closing”).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Convertible Notes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Notes are governed by a form of indenture (the “Indenture”) incorporated by reference into the Notes. The Notes will bear interest at a rate of 26.5% per annum, which interest shall be entirely paid-in-kind. All interest payments on the Notes shall be made through an increase in the principal amount of the outstanding Notes or through the issuance of additional Notes (such interest is referred to herein as “PIK Interest”). Interest on the Notes is payable semi-annually in arrears on June 30 and December 30, commencing on June 30, 2023. It is expected that the Notes will mature on June 30, 2026, subject to earlier conversion, redemption or repurchase.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Notes are convertible at the option of the holder at any time until the business day prior to the maturity date, including in connection with a redemption by the Company. The Notes will be convertible into shares of the Company’s common stock, par value $0.0001 per share, based on an initial conversion rate of 598.824 shares of the Company’s common stock per $1,000 principal amount of the Notes (which is equal to an initial conversion price of approximately $1.67 per share), in each case subject to customary anti-dilution and other adjustments (as described in the Indenture).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or after June 30, 2024, provided that the Company has obtained stockholder approval pursuant to Nasdaq Marketplace Rule 5635(d), the Notes will be redeemable by the Company in the event that the closing sale price of the Company’s common stock has been at least 130% of the conversion price then in effect for at least 20 trading days (whether or not consecutive) during any 30 consecutive trading day period ending on, and including, the trading day immediately preceding the date on which the Company provides the redemption notice at a redemption price equal to the then current principal amount of such Notes (inclusive of all PIK Interest), plus the aggregate amount of all interest payments on such Notes that the holders of the Notes to be redeemed would have been entitled to receive had the Notes remained outstanding to the maturity date.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certain exceptions, upon the occurrence of certain fundamental changes described in the Indenture (each, a “Fundamental Change”), the holders of the Notes may require that the Company repurchase all or part of the principal amount of the Notes at a purchase price of 100% of the principal amount of such Notes, plus accrued and unpaid interest to, but excluding, the Fundamental Change repurchase date.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Indenture includes customary “events of default,” which may result in the acceleration of the maturity of the Notes under the Indenture. The Indenture will also include customary covenants for convertible notes of this type.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Notes are senior unsecured obligations of the Company and rank equal in right of payment to all senior unsecured indebtedness of the Company, and will rank senior in right of payment to any indebtedness that is contractually subordinated to the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Standstill Obligations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Investment Agreement, the Purchasers have agreed, subject to certain exceptions, that during the period commencing on the Closing and ending on the six (6) month anniversary of the Closing (the “Standstill Period”), each individual Purchaser will not, among other things: (i) acquire any securities of the Company if, immediately after such acquisition, such Purchaser would collectively own in the aggregate more than 20.0% of the then outstanding voting securities of the Company, (ii) propose or seek to effect any tender or exchange offer, merger or other business combination involving the Company or its securities, or make any public statement with respect to such transaction, (iii) make, or in any way participate in any “proxy contest” or other solicitation of proxies, (iv) seek the appointment of any director or (v) call or seek to call any meeting of stockholders or other referendum or consent solicitation.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and Conversion Restrictions; Registration Rights; Participation Rights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Investment Agreement restricts the Purchasers’ ability to transfer or hedge the Notes or the Company’s common stock, subject to certain exceptions specified in the Investment Agreement. In particular, prior to the six-month anniversary of the Closing, the Purchasers will be restricted from transferring or entering into an agreement that transfers the economic consequences of ownership of the Notes or shares. These restrictions do not apply to, among others, transfers to affiliates.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Subject to certain limitations, the Investment Agreement provides the Purchasers with certain registration rights for the Notes and shares of the Company’s common stock issuable upon conversion of the Notes.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summaries of the Indenture, the Notes and the Investment Agreement do not purport to be complete and are subject to, and qualified in their entirety by the full text of the forms of Note and Indenture, which are attached hereto as Exhibit 4.1 and incorporated herein by reference, and the Investment Agreement, which is attached hereto as Exhibit 10.1 and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Consent Agreement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18, 2023, the Company entered into a limited consent agreement dated as of January 17, 2023 (the “Limited Consent”) with ACP Post Oak Credit I LLC, as administrative agent and acting on behalf of itself and the other Lenders under the Senior Secured Term Loan Credit Agreement dated as of July 29, 2022 (the “Credit Agreement”). Pursuant to the Limited Consent, the Lenders have consented to (i) the Company incurring indebtedness consisting of unsecured convertible promissory notes (“New Convertible Notes”) that (A) are on terms and conditions acceptable to the administrative agent, (B) are convertible solely for certain preferred or common stock (subject to certain exceptions) of the Company (“Eos Equity Interests”), (C) have an aggregate principal amount not to exceed $75,000,000 plus any increase thereof constituting the addition of interest “paid in kind,” and (D) do not provide for the cash payment of interest, fees, premiums or other similar amounts to or for the benefit of the holders thereof, (ii) the New Convertible Notes constituting “Convertible Notes” under the Credit Agreement and related documents, (iii) the waiver of the requirement under the Credit Agreement to prepay the loans under the Credit Agreement with the proceeds of the New Convertible Notes or any proceeds received in respect of any issuance or sale of Eos Equity Interests pursuant to the New Convertible Notes and (iv) the waiver of the requirement under the Credit Agreement to prepay the loans under the Credit Agreement with the proceeds of the next issuance of warrants in respect of Eos Equity Interests after the date of this the Limited Consent, including any proceeds received in respect of any issuance or sale of Eos Equity Interests upon the exercise of such warrants, which warrants shall be on terms and conditions acceptable to the administrative agent.</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summary of the Limited Consent does not purport to be complete and is subject to, and qualified in its entirety by the full text of the Limited Consent which is attached hereto as Exhibit 10.2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related to the issuance of the Notes contained in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18, 2023, the Company entered into the Investment Agreement, pursuant to which it agreed to sell $13,750,000 in aggregate principal amount of the Notes to the Purchasers for cash in a private placement pursuant to the exemption from the registration requirements of the Securities Act of 1933, as amended (the “Securities Act”). The Company offered and sold the Notes to the Purchasers in reliance on the exemption from registration provided by Section 4(a)(2) of the Securities Act and Rule 506(b) of Regulation D promulgated thereunder without the involvement of any underwriter. The Company relied on this exemption from registration based in part on representations made by the Purchasers in the Investment Agreement. The Notes are convertible as set forth above, and any shares of the Company’s common stock issued upon conversion of the Notes will be issued in reliance on Section 3(a)(9) of the Securities Act.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related to the issuance of the Notes and the underlying shares of the Company’s common stock contained in Item 1.01 of this Current Report on Form 8-K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19, 2023, the Company issued a press release announcing the Transaction. A copy of the press release is filed as Exhibit 99.1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Note (including Indenture incorporated by reference therein)</w:t>
            </w:r>
          </w:p>
        </w:tc>
        <w:tc>
          <w:tcPr>
            <w:tcW w:w="5100" w:type="dxa"/>
            <w:vAlign w:val="bottom"/>
            <w:tcBorders>
              <w:top w:val="single" w:sz="8" w:color="auto"/>
              <w:bottom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Investment Agreement, dated January 18, 2023, by and among Eos Energy Enterprises, LLC and the purchasers listed therein</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404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Limited Consent Agreement, dated as of January 17, 2023, among Eos Energy Enterprises, LLC, the lenders party thereto, and ACP Post</w:t>
            </w:r>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Oak Credit I LLC, as administrative agent.</w:t>
            </w:r>
          </w:p>
        </w:tc>
        <w:tc>
          <w:tcPr>
            <w:tcW w:w="700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January 19, 2023</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pursuant to Item 601(a)(5) of Regulation S-K. A copy of any omitted exhibit or schedule will be furnished supplementally to the SEC or its staff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95"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Dated: January 19,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Randall Gonzales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Randall Gonzales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 AGREES FOR THE BENEFIT OF EOS ENERGY ENTERPRISES, INC. (THE “COMPANY”) THAT IT WILL NOT OFFER, SELL, PLEDGE OR OTHERWISE TRANSFER THIS SECURITY OR ANY BENEFICIAL INTEREST HEREIN EXCEPT: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TO THE COMPANY OR ANY SUBSIDIARY THEREOF,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PURSUANT TO A REGISTRATION STATEMENT WHICH HAS BECOME EFFECTIVE UNDER THE SECURITIES ACT, OR</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 PURSUANT TO AN EXEMPTION FROM REGISTRATION PROVIDED BY RULE 144 UNDER THE SECURITIES ACT OR ANY OTHER AVAILABLE EXEMPTION FROM THE REGISTRATION REQUIREMENTS OF THE SECURITIES ACT.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(C)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IS SUBJECT TO RESTRICTIONS ON TRANSFER AS SET FORTH IN AN INVESTMENT AGREEMENT DATED AS OF JANUARY 18, 2023 (AS IT MAY BE AMENDED FROM TIME TO TIME), BY AND AMONG THE COMPANY AND CERTAIN OTHER PARTIES THERETO, COPIES OF WHICH ARE PUBLICLY FILED OR ON FILE WITH THE SECRETARY OF THE COMPANY, AND THIS SECURITY MAY NOT BE OFFERED, SOLD, PLEDGED OR OTHERWISE TRANSFERRED EXCEPT IN COMPLIANCE THEREWITH.</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NOTE HAS BEEN ISSUED WITH “ORIGINAL ISSUE DISCOUNT” (WITHIN THE MEANING OF SECTION 1272 OF THE INTERNAL REVENUE CODE OF 1986, AS AMENDED). UPON WRITTEN REQUEST, THE ISSUER OF THIS NOTE WILL PROMPTLY MAKE AVAILABLE TO ANY HOLDER OF THIS NOTE THE INFORMATION REQUIRED TO BE FURNISHED BY TREASURY REGULATIONS SECTION 1.1275-3. IN ORDER TO REQUEST SUCH INFORMATION, A HOLDER OF THIS NOTE SHOULD CONTACT THE CHIEF ACCOUNTING OFFICER AT 3920 PARK AVENUE, EDISON, NJ, 08820, PHONE NUMBER 732-225-8400.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[FORM OF CONVERTIBLE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 due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[_____] Initially $[_______]</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Eos Energy Enterprises, Inc., a corporation duly organized and validly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corporation or other entity under the Indenture referred to on the reverse hereof), for value received hereby promises to pay to [_______], or registered assigns, the principal sum of the Capitalized Principal Amount corresponding to the Initial Principal Amount of $[________], on June 30, 2026, and interest thereon as set forth below.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bear interest at the Interest Rate from [________], or from the most recent date to which interest had been paid or provided for to,</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but excluding, the next scheduled Interest Payment Date until June 30, 2026. Interest is payable semi-annually in arrears by PIK Payments at the Interest Rate, pursuant to Section 2.03(d) of the Indenture, on each June 30 and December 30, commencing on June 30, 2023, to Holders of record at the close of business on the preceding June 15 and December 15 (whether or not such day is a Business Day), respectively.</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make payments on the Notes in the manner set forth in the Indenture. The Company has initially designated itself as the Paying Agent, Conversion Agent and Note Registrar in respect of the Notes and its office in Edison, NJ as a place where Notes may be presented for payment or for registration of transfer and exchange.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 of this Note the right to convert this Note into shares of Common Stock on the terms and subject to the limitations set forth in the Indenture. Such further provisions shall for all purposes have the same effect as though fully set forth at this place.</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 (without regard to the conflicts of laws provisions thereof).</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this Note shall control and govern.</w:t>
      </w:r>
    </w:p>
    <w:p>
      <w:pPr>
        <w:spacing w:after="0" w:line="2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Note to be duly executed.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as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[FORM OF 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 due 2026</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26.5% Convertible Senior PIK Notes due 2026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in the aggregate principal amount of $[_______] (as increased by any PIK Payments). Additional Notes may be issued in an unlimited</w:t>
      </w:r>
    </w:p>
    <w:p>
      <w:pPr>
        <w:jc w:val="both"/>
        <w:spacing w:after="0" w:line="255" w:lineRule="auto"/>
        <w:rPr>
          <w:sz w:val="20"/>
          <w:szCs w:val="20"/>
          <w:color w:val="auto"/>
        </w:rPr>
      </w:pPr>
      <w:r>
        <w:rPr>
          <w:rFonts w:ascii="Times New Roman" w:cs="Times New Roman" w:eastAsia="Times New Roman" w:hAnsi="Times New Roman"/>
          <w:sz w:val="18"/>
          <w:szCs w:val="18"/>
          <w:color w:val="auto"/>
        </w:rPr>
        <w:t>aggregate principal amount, subject to certain conditions specified in the Indenture. Capitalized terms used in this Note and not defined in this Note shall have the respective meanings set forth in the Indenture (as amended in accordance herewith,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attached hereto as Exhibit A. The originally issued Notes, all PIK Notes, and any additional Notes issued as set forth in the Indenture or this Note shall constitute a single class.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Incorporation by Reference of Provisions of the Indenture.</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At all times during which the Indenture has not been executed and delivered, to the extent not inconsistent with any other terms of the Notes set forth herein, all of the terms and conditions of the Indenture shall be and are hereby incorporated by reference in the Notes as if fully set forth herein, and shall be binding upon the Company and, by accepting a Note, each Holder and inure to the benefit of the Holders of the Notes, except that (a) to the extent that the Indenture requires (i) any notices, certificates or other items to be delivered by the Company to the Trustee, Paying Agent or Conversion Agent, such notices, certificates or other items shall be delivered instead to each Holder, (ii) any Opinions of Counsel to be delivered by the Company to the Trustee, Paying Agent or Conversion Agent, such opinions shall instead be delivered to the Holders, (iii) any notices, certificates or other items to be delivered by the Holders to the Trustee, Paying Agent or Conversion Agent, such notices, certificates or other items shall be delivered instead by the Holders to the Company, (iv) any notices, certificates or other items to be delivered by the Trustee to the Holders, such notices, certificates or other items shall be delivered instead by the Company to the Holders (with any references to one or more Responsible Officers being deemed to refer to any Officer of the Company), (v) any payments or deliveries to be made by the Company to the Trustee, Paying Agent or Conversion Agent for payment or delivery, as the case may be, to Holders, such payments or deliveries shall instead be made directly by the Company to the applicable Holder in the same manner as set forth in Article 2 and Article 14 of the Indenture, (vi) any Note to be authenticated by the Trustee or an Authenticating Agent or to bear a certificate of authentication or require any Opinion of Counsel, Officer’s Certificate or Company Order for such authentication, the Notes shall instead by authenticated by the Company (the execution and delivery of any Note by manual, electronic or facsimile signature of the Company to be deemed to constitute such authentication for all purposes) without any requirement for any such Opinion of Counsel, Officer’s Certificate or Company Order, (vii) Notes to be canceled by the Trustee, such Notes shall instead be cancelled by the Company, (viii) any Notes to be surrendered to the Trustee or any Paying Agent, Conversion Agent or Note Registrar, such Notes shall be surrendered instead to the Company, (ix) Notes to be redeemed upon a partial redemption to be selected by the Trustee, such Notes shall be selected instead by the Company, (x) any amounts to be held in trust with the Trustee, Paying Agent or Conversion Agent, such amounts shall instead be set aside, segregated and held in trust by the Company for the benefit of the Holders of the Notes, (xi) the Trustee to execute any amendment or supplement pursuant to Article 10 of the Indenture, any such amendment or supplement shall be executed solely by the Company (for the avoidance of doubt, in the case of Section 10.02 of the Indenture, upon receipt of the requisite consent from Holders), or (xii) a supplemental indenture to evidence the succession of a Successor Corporation, such succession shall instead be evidenced by an amendment to this Note which shall be permitted without Holder consent pursuant to Section 10.01(b) of the Indenture; (b) any appointment or designation of the Trustee as Note Registrar, Paying Agent or Conversion Agent or agent for service of demands and notices in connection with the Notes, or of the Corporate Trust Office or any other office of the Trustee for the taking of any relevant action, shall hereby be deemed to instead refer to the Company instead and its office at 3920 Park Avenue, Edison, New Jersey 08820 (and/or such other or additional address as notified by the Company in writing to the Holders from time to time);</w:t>
      </w:r>
    </w:p>
    <w:p>
      <w:pPr>
        <w:spacing w:after="0" w:line="6" w:lineRule="exact"/>
        <w:rPr>
          <w:sz w:val="20"/>
          <w:szCs w:val="20"/>
          <w:color w:val="auto"/>
        </w:rPr>
      </w:pPr>
    </w:p>
    <w:p>
      <w:pPr>
        <w:jc w:val="both"/>
        <w:ind w:firstLine="8"/>
        <w:spacing w:after="0" w:line="255" w:lineRule="auto"/>
        <w:tabs>
          <w:tab w:leader="none" w:pos="2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Section 4.03, Section 4.04(a), Article 7, Section 10.05, Section 14.08 and Section 17.16 of the Indenture shall not apply; and (d) any and all rights granted to the Trustee under Article 6 and Article 9 of the Indenture shall be granted to and may be exercised by the Holders of a majority in principal amount of the outstanding Notes.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i w:val="1"/>
          <w:iCs w:val="1"/>
          <w:color w:val="auto"/>
        </w:rPr>
        <w:t>Indenture.</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any time, in the Company’s sole discretion, the Company may appoint a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who satisfies the eligibility requirements of Article 7 of the Indenture and, in any such event, the Company shall take whatever actions are necessary to cause an Indenture substantially in the form of Exhibit A attached hereto to be executed and delivered by the Company and the Trustee. In such event, (i) this Note shall be cancelled and reissued, executed and authenticated in a like principal amount as set forth in the Indenture in the form of the applicable Form of Note as set forth in Exhibit A of the Indenture as executed and (ii) the Notes shall be subject to all of the terms stated in the Indenture. In such event, the Company may require Holders of the Notes, and each Holder by his or her acceptance hereof agrees upon the Company’s request, to surrender to the Trustee all Notes in the form hereof in exchange for replacement Notes substantially in the form of the applicable Form of Note as set forth in Exhibit A of the Indenture as executed.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the Redemption Price on any Redemption Date and the Capitalized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i w:val="1"/>
          <w:iCs w:val="1"/>
          <w:color w:val="auto"/>
        </w:rPr>
        <w:t>Amendments and Waivers.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Indenture contains provisions permitting in certain circumstances, without the consent of the Holders of the Notes, and in certain other circumstances, with the consent of the Holders of not less than a majority in aggregate principal amount of the Notes at the time outstanding, evidenced as in the Indenture provided, the amendment of the Notes and/or execution of supplemental indentures modifying the terms of the Notes and/or the Indenture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 to Payments.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Registered Form; Denominations; Transfer and Exchange.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Notes are issuable in registered form without coupons in denominations of $1.00 principal amount and integral multiples thereof. At the office or agency of the Company referred to herein, and in the manner and subject to the limitations provided in the Indenture, Notes may be exchanged for a like aggregate principal amount of Notes of other authorized denominations, without payment of any service charge but, if required by the Company,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Notes shall be redeemable at the Company’s option on or after June 30, 2024, in accordance with the terms and subject to the conditions specified in the Indenture. No sinking fund is provided for the Notes.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Fundamental Change Repurchase Right.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the Holder has the right, at such Holder’s option, to require the Company to repurchase for cash all of such Holder’s Notes or any portion thereof (in principal amounts of $1,000 or integral multiples of $1.00 in excess thereof) on the Fundamental Change Repurchase Date at a price equal to the Fundamental Change Repurchase Price.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prior to the close of business on the Business Day immediately preceding the Maturity Date, to convert any Notes or portion thereof that is $1,000 or an integral multiple of $1.00 in excess thereof, into shares of Common Stock at the Conversion Rate specified in the Indenture, as adjusted from time to time as provided in the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ABBREVIATIONS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ind w:left="9820"/>
        <w:spacing w:after="0"/>
        <w:rPr>
          <w:sz w:val="20"/>
          <w:szCs w:val="20"/>
          <w:color w:val="auto"/>
        </w:rPr>
      </w:pPr>
      <w:r>
        <w:rPr>
          <w:rFonts w:ascii="Times New Roman" w:cs="Times New Roman" w:eastAsia="Times New Roman" w:hAnsi="Times New Roman"/>
          <w:sz w:val="17"/>
          <w:szCs w:val="17"/>
          <w:b w:val="1"/>
          <w:bCs w:val="1"/>
          <w:color w:val="auto"/>
        </w:rPr>
        <w:t>ATTACHMENT 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Notes due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Eos Energy Enterprises,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3920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Edison, New Jersey 08820</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of $1.00 in excess thereof) below designated, into shares of Common Stock in accordance with the terms of the Indenture referred to in this Note, and directs that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 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 eligible Guarantor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Rule 17Ad-15 if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are to be issued,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in the name of the registered holder.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Fill in for registration of shares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issued, and Notes if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delivered, other than to and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amount to be converted (if less than all): $______,000</w:t>
      </w:r>
    </w:p>
    <w:p>
      <w:pPr>
        <w:spacing w:after="0" w:line="225" w:lineRule="exact"/>
        <w:rPr>
          <w:sz w:val="20"/>
          <w:szCs w:val="20"/>
          <w:color w:val="auto"/>
        </w:rPr>
      </w:pPr>
    </w:p>
    <w:p>
      <w:pPr>
        <w:ind w:left="3240"/>
        <w:spacing w:after="0" w:line="282"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1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9820"/>
        <w:spacing w:after="0"/>
        <w:rPr>
          <w:sz w:val="20"/>
          <w:szCs w:val="20"/>
          <w:color w:val="auto"/>
        </w:rPr>
      </w:pPr>
      <w:r>
        <w:rPr>
          <w:rFonts w:ascii="Times New Roman" w:cs="Times New Roman" w:eastAsia="Times New Roman" w:hAnsi="Times New Roman"/>
          <w:sz w:val="17"/>
          <w:szCs w:val="17"/>
          <w:b w:val="1"/>
          <w:bCs w:val="1"/>
          <w:color w:val="auto"/>
        </w:rPr>
        <w:t>ATTACHMENT 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Notes due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Eos Energy Enterprises,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3920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Edison, New Jersey 08820</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Eos Energy Enterprises,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the applicable Fundamental Change Repurchase Price. Capitalized terms used herein but not defined shall have the meanings ascribed to such terms in the Indenture.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amount to be repaid (if less than all): $______,000</w:t>
      </w:r>
    </w:p>
    <w:p>
      <w:pPr>
        <w:spacing w:after="0" w:line="225" w:lineRule="exact"/>
        <w:rPr>
          <w:sz w:val="20"/>
          <w:szCs w:val="20"/>
          <w:color w:val="auto"/>
        </w:rPr>
      </w:pPr>
    </w:p>
    <w:p>
      <w:pPr>
        <w:jc w:val="both"/>
        <w:ind w:left="3900"/>
        <w:spacing w:after="0" w:line="266"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9820"/>
        <w:spacing w:after="0"/>
        <w:rPr>
          <w:sz w:val="20"/>
          <w:szCs w:val="20"/>
          <w:color w:val="auto"/>
        </w:rPr>
      </w:pPr>
      <w:r>
        <w:rPr>
          <w:rFonts w:ascii="Times New Roman" w:cs="Times New Roman" w:eastAsia="Times New Roman" w:hAnsi="Times New Roman"/>
          <w:sz w:val="17"/>
          <w:szCs w:val="17"/>
          <w:b w:val="1"/>
          <w:bCs w:val="1"/>
          <w:color w:val="auto"/>
        </w:rPr>
        <w:t>ATTACHMENT 3</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Notes due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any transfer of the within Note, the undersigned confirms that such Note is being transferred:</w:t>
      </w:r>
    </w:p>
    <w:p>
      <w:pPr>
        <w:spacing w:after="0" w:line="225" w:lineRule="exact"/>
        <w:rPr>
          <w:sz w:val="20"/>
          <w:szCs w:val="20"/>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Eos Energy Enterprises, Inc. or a subsidiary thereof; or</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 registration statement that has become or been declared effective under the Securities Act of 1933, as amended; or</w:t>
      </w:r>
    </w:p>
    <w:p>
      <w:pPr>
        <w:spacing w:after="0" w:line="225" w:lineRule="exact"/>
        <w:rPr>
          <w:rFonts w:ascii="MS PGothic" w:cs="MS PGothic" w:eastAsia="MS PGothic" w:hAnsi="MS PGothic"/>
          <w:sz w:val="18"/>
          <w:szCs w:val="18"/>
          <w:color w:val="auto"/>
        </w:rPr>
      </w:pPr>
    </w:p>
    <w:p>
      <w:pPr>
        <w:ind w:firstLine="8"/>
        <w:spacing w:after="0" w:line="282" w:lineRule="auto"/>
        <w:tabs>
          <w:tab w:leader="none" w:pos="227"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 under the Securities Act of 1933, as amended, or any other available exemption from the registration requirements of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Guarantor Institution (banks,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savings and loan associations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unions) 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17Ad-15 if Notes are to be delivered,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to and in the name of the registered holder.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EXHIBIT A - FORM OF INDENTURE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Dated as of [_____]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26.5% Convertible Senior PIK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10240" w:type="dxa"/>
            <w:vAlign w:val="bottom"/>
          </w:tcPr>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10240" w:type="dxa"/>
            <w:vAlign w:val="bottom"/>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1.01 Definitions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1.02 References to Interest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ARTICLE 2 Issue, Description, Execution, Registration and Exchange of Notes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2.01 Designation and Amount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2.02 Form of Notes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2.03 Date and Denomination of Notes; Payments of Interest and Defaulted Amounts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2.04 Execution, Authentication and Delivery of Notes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2.05 Exchange and Registration of Transfer of Notes; Restrictions on Transfer; Depositary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2.06 Mutilated, Destroyed, Lost or Stolen Notes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0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2.07 Temporary Notes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2.08 Cancellation of Notes Paid, Converted, Etc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0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2.09 CUSIP Numbers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2.10 Additional Notes; Repurchases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Satisfaction and Discharge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3.01 Satisfaction and Discharge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Particular Covenants of the Company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4.01 Payment of Principal and Interest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0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4.03 Appointments to Fill Vacancies in Trustee’s Office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0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4.04 Provisions as to Paying Agent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4.05 Rule 144A Information Requirement and Annual Reports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4.06 Reports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4.07 Stay, Extension and Usury Laws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4.08 Compliance Certificate; Statements as to Defaults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ARTICLE 5 Lists of Holders and Reports by the Company and the Trustee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5.01 Lists of Holders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34"/>
        </w:trPr>
        <w:tc>
          <w:tcPr>
            <w:tcW w:w="10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5.02 Preservation and Disclosure of Lists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6.02 Acceleration; Rescission and Annulment</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6.03 Payments of Notes on Default; Suit Therefor</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6.04 Application of Monies Collected by Trustee</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6.05 Proceedings by Holders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6.06 Proceedings by Trustee</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6.07 Remedies Cumulative and Continuing</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6.08 Direction of Proceedings and Waiver of Defaults by Majority of Holders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6.09 Notice of Defaults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6.10 Undertaking to Pay Costs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7.01 Duties and Responsibilities of Trustee</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7.02 Reliance on Documents, Opinions, Etc</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7.03 No Responsibility for Recitals, Etc</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7.04 Trustee, Paying Agents, Conversion Agents or Note Registrar May Own Notes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7.05 Monies and Shares of Common Stock to Be Held in Trust</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7.06 Compensation and Expenses of Trustee</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7.07 Officer’s Certificate as Evidence</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7.08 Eligibility of Trustee</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7.09 Resignation or Removal of Trustee</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7.10 Acceptance by Successor Trustee</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7.11 Succession by Merger, Etc</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7.12 Trustee’s Application for Instructions from the Company</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Concerning the Holders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8.01 Action by Holders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8.02 Proof of Execution by Holders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8.03 Who Are Deemed Absolute Owners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8.04 Company-Owned Notes Disregarded</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8.05 Revocation of Consents; Future Holders Bound</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Holders’ Meetings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9.01 Purpose of Meetings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9.02 Call of Meetings by Trustee</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9.03 Call of Meetings by Company or Holders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9.04 Qualifications for Voting</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9.05</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Regulations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9.06</w:t>
            </w:r>
          </w:p>
        </w:tc>
        <w:tc>
          <w:tcPr>
            <w:tcW w:w="7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Voting</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8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9.07 No Delay of Rights by Meeting</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10 Supplemental Indentures</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10.01 Supplemental Indentures Without Consent of Holders</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10.02 Supplemental Indentures with Consent of Holders</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10.03 Effect of Supplemental Indentures</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10.04 Notation on Notes</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10.05 Evidence of Compliance of Supplemental Indenture to Be Furnished Trustee</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11 Consolidation, Merger, Sale, Conveyance and Lease</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11.01 Company May Consolidate, Etc. on Certain Terms</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11.02 Successor Corporation to Be Substituted</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11.03 Delivery of Officer’s Certificate and Opinion of Counsel to the Trustee</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12.01 Indenture and Notes Solely Corporate Obligations</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13 [Intentionally Omitted]</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ARTICLE 14 Conversion of Notes</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14.01 Conversion Privilege</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14.02 Conversion Procedure; Settlement Upon Conversion</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14.03 Adjustment of Conversion Rate</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14.04 Adjustments of Prices</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14.05 Shares to Be Fully Paid</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14.06 Effect of Recapitalizations, Reclassifications and Changes of the Common Stock</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14.07 Certain Covenants</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14.08 Responsibility of Trustee</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14.09 Stockholder Rights Plans</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14.10 Limit on Issuance of Shares of Common Stock Upon Conversion</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14.11 Exchange in Lieu of Conversion</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ARTICLE 15 Repurchase of Notes at Option of Holders</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15.01 Intentionally Omitted</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15.02 Repurchase at Option of Holders Upon a Fundamental Change</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15.03 Withdrawal of Fundamental Change Repurchase Notice</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15.04 Deposit of Fundamental Change Repurchase Price</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15.05 Compliance with Applicable Laws Upon Repurchase of Notes</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16 Optional Redemption</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16.01</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Optional Redemption</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16.02 Notice of Optional Redemption, Selection of Notes</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16.03 Payment of Notes Called for Redemption.</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16.04 Restrictions on Redemption</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17 Miscellaneous Provisions</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17.01 Provisions Binding on Company’s Successors</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17.02 Official Acts by Successor Corporation</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17.03 Addresses for Notices, Etc</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17.04 Governing Law; Jurisdiction</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17.05 Evidence of Compliance with Conditions Precedent; Certificates and Opinions of Counsel to Trustee</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17.06</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Holidays</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17.07 No Security Interest Created</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17.08 Benefits of Indenture</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17.09 Table of Contents, Headings, Etc</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17.10</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Authenticating Agent</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17.11 Execution in Counterparts</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17.12</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17.13 Waiver of Jury Trial</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17.14</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Force Majeure</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17.15</w:t>
            </w:r>
          </w:p>
        </w:tc>
        <w:tc>
          <w:tcPr>
            <w:tcW w:w="8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Calculations</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17.16 USA PATRIOT Act</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17.17</w:t>
            </w:r>
          </w:p>
        </w:tc>
        <w:tc>
          <w:tcPr>
            <w:tcW w:w="8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Withholding Taxes</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69</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Note A-1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INDENTURE dated as of [_____] between EOS ENERGY ENTERPRISES, INC., a 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 set forth in Section 1.01) and [TRUSTEE], a [</w:t>
      </w:r>
      <w:r>
        <w:rPr>
          <w:rFonts w:ascii="Times New Roman" w:cs="Times New Roman" w:eastAsia="Times New Roman" w:hAnsi="Times New Roman"/>
          <w:sz w:val="18"/>
          <w:szCs w:val="18"/>
          <w:i w:val="1"/>
          <w:iCs w:val="1"/>
          <w:color w:val="auto"/>
        </w:rPr>
        <w:t>Insert Type of Entity</w:t>
      </w:r>
      <w:r>
        <w:rPr>
          <w:rFonts w:ascii="Times New Roman" w:cs="Times New Roman" w:eastAsia="Times New Roman" w:hAnsi="Times New Roman"/>
          <w:sz w:val="18"/>
          <w:szCs w:val="18"/>
          <w:color w:val="auto"/>
        </w:rPr>
        <w:t>],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more fully set forth in Section 1.01).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26.5% Convertible Senior PIK Notes due 2026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in order to provide the terms and conditions upon which the Notes are to be authenticated, issued and delivered, the Company has duly authorized the execution and delivery of this Indenture;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7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another Person for purposes of this Indenture shall be made based on the facts at the time such determination is made or required to be made, as the case may be,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Withholding Agent</w:t>
      </w:r>
      <w:r>
        <w:rPr>
          <w:rFonts w:ascii="Times New Roman" w:cs="Times New Roman" w:eastAsia="Times New Roman" w:hAnsi="Times New Roman"/>
          <w:sz w:val="18"/>
          <w:szCs w:val="18"/>
          <w:color w:val="auto"/>
        </w:rPr>
        <w:t>” shall have the meaning specified in Section 17.17.</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or equivalent body of the Company or a committee of such board or body duly authorized to act for it hereunder.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shall have the meaning specified in Section 11.01.</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any day other than a Saturday, a Sunday or a day on which the Federal Reserve Bank of New York is authorized or required by law or executive order to close or be closed.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Capitalization Amount</w:t>
      </w:r>
      <w:r>
        <w:rPr>
          <w:rFonts w:ascii="Times New Roman" w:cs="Times New Roman" w:eastAsia="Times New Roman" w:hAnsi="Times New Roman"/>
          <w:sz w:val="18"/>
          <w:szCs w:val="18"/>
          <w:color w:val="auto"/>
        </w:rPr>
        <w:t>” means, for any Interest Payment Date, an amount per Note equal to the interest accrued on the Capitalized Principal Amount as of the immediately preceding Interest Payment Date (or, if there is no immediately preceding Interest Payment Date, the interest accrued on the Initial Principal Amount), calculated at the Interest Rate on the Capitalized Principal Amount of such Note for the period from, and including, such immediately preceding Interest Payment Date (or, if there is no immediately preceding Interest Payment Date, from, and including, the Issue Date) to, but excluding, such Interest Payment Date.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Capitalization Method</w:t>
      </w:r>
      <w:r>
        <w:rPr>
          <w:rFonts w:ascii="Times New Roman" w:cs="Times New Roman" w:eastAsia="Times New Roman" w:hAnsi="Times New Roman"/>
          <w:sz w:val="18"/>
          <w:szCs w:val="18"/>
          <w:color w:val="auto"/>
        </w:rPr>
        <w:t>” shall have the meaning specified in Section 2.03(d)(i).</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Principal Amount</w:t>
      </w:r>
      <w:r>
        <w:rPr>
          <w:rFonts w:ascii="Times New Roman" w:cs="Times New Roman" w:eastAsia="Times New Roman" w:hAnsi="Times New Roman"/>
          <w:sz w:val="18"/>
          <w:szCs w:val="18"/>
          <w:color w:val="auto"/>
        </w:rPr>
        <w:t>” means, for any date, the principal amount per Note equal to the Initial Principal Amount of such Note, as increased on each Interest Payment Date occurring on or prior to such date by the Capitalization Amount for such Interest Payment Date, if any. When the term “principal amount” of any Note is used herein, such reference(s) shall be deemed to be reference(s) to the Capitalized Principal Amount of such Note, unless the context otherwise requires.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$0.0001 per share, at the date of this Indenture, subject to Section 14.06.</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Indenture, and subject to the provisions of Article 11, shall include its successors and assigns.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any of its Officers.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shall have the meaning specified in Section 14.11(a).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Rate as of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principal office of the Trustee at which at any time its corporate trust business shall be administered, which office at the date of this Indenture is located at [</w:t>
      </w:r>
      <w:r>
        <w:rPr>
          <w:rFonts w:ascii="Times New Roman" w:cs="Times New Roman" w:eastAsia="Times New Roman" w:hAnsi="Times New Roman"/>
          <w:sz w:val="18"/>
          <w:szCs w:val="18"/>
          <w:i w:val="1"/>
          <w:iCs w:val="1"/>
          <w:color w:val="auto"/>
        </w:rPr>
        <w:t>Address</w:t>
      </w:r>
      <w:r>
        <w:rPr>
          <w:rFonts w:ascii="Times New Roman" w:cs="Times New Roman" w:eastAsia="Times New Roman" w:hAnsi="Times New Roman"/>
          <w:sz w:val="18"/>
          <w:szCs w:val="18"/>
          <w:color w:val="auto"/>
        </w:rPr>
        <w:t>], Attention: [________], or such other address as the Trustee may designate from time to time by</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notice to the Holders and the Company, or the principal corporate trust office of any successor trustee (or such other address as such successor trustee may designate from time to time by notice to the Holders and the Company).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for the Depositary, with respect to the Global Notes, or any successor entity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Cut-off Date</w:t>
      </w:r>
      <w:r>
        <w:rPr>
          <w:rFonts w:ascii="Times New Roman" w:cs="Times New Roman" w:eastAsia="Times New Roman" w:hAnsi="Times New Roman"/>
          <w:sz w:val="18"/>
          <w:szCs w:val="18"/>
          <w:color w:val="auto"/>
        </w:rPr>
        <w:t>” means the 45th Scheduled Trading Day immediately preceding the Maturity Date.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of the 40 consecutive Trading Days during the relevant Observation Period, the per share volume-weighted average price as displayed under the heading “Bloomberg VWAP” on Bloomberg page “EOSE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without limitation, the Redemption Price, the Fundamental Change Repurchase Price, principal and interest) that are payable but are not punctually paid or duly provided for.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each Global Note, the Person designated pursuant to Section 2.05(c)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 include such successor.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shall have the meaning specified in Section 14.11(a).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reflecting the relevant share split or share combination, as 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shall have the meaning specified in Section 14.11(a).</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means the “Form of Assignment and Transfer” attached as Attachment 3 to the Form of Note attached hereto as Exhibit A.</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Fundamental Change Repurchase Notice</w:t>
      </w:r>
      <w:r>
        <w:rPr>
          <w:rFonts w:ascii="Times New Roman" w:cs="Times New Roman" w:eastAsia="Times New Roman" w:hAnsi="Times New Roman"/>
          <w:sz w:val="18"/>
          <w:szCs w:val="18"/>
          <w:color w:val="auto"/>
        </w:rPr>
        <w:t>” means the “Form of Fundamental Change Repurchase Notice” attached as Attachment 2 to the Form of Note attached hereto as Exhibit 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means the “Form of Note” attached hereto as Exhibit 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means the “Form of Notice of Conversion” attached as Attachment 1 to the Form of Note attached hereto as Exhibit A.</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229" w:lineRule="exact"/>
        <w:rPr>
          <w:sz w:val="20"/>
          <w:szCs w:val="20"/>
          <w:color w:val="auto"/>
        </w:rPr>
      </w:pPr>
    </w:p>
    <w:p>
      <w:pPr>
        <w:jc w:val="both"/>
        <w:ind w:firstLine="1304"/>
        <w:spacing w:after="0" w:line="258" w:lineRule="auto"/>
        <w:tabs>
          <w:tab w:leader="none" w:pos="15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clause (b), a “person” or “group” within the meaning of Section 13(d) of the Exchange Act, other than the Company, its direct or indirect Wholly Owned Subsidiaries, the employee benefit plans of the Company and its Wholly Owned Subsidiaries and any Holder or an Affiliate thereof, files a Schedule TO (or any successor schedule, form or report) or any schedule, form or report under the Exchange Act that discloses that such person or group has become the direct or indirect “beneficial owner,” as defined in Rule 13d-3 under the Exchange Act, of the Common Stock representing more than 50% of the voting power of the Common Stock;</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 any recapitalization, reclassification or change of the Common Stock (other than a change to par value or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transaction described in clause (A) or (B) in which the holders of all classes of the Company’s Common Equity immediately prior to such transaction own, directly or indirectly, more than 50% of all classes of Common Equity of the continuing or surviving Person or transferee or the parent thereof immediately after such transaction in substantially the same proportions as such ownership immediately prior to such transaction shall not be a Fundamental Change pursuant to this clause (b);</w:t>
      </w:r>
    </w:p>
    <w:p>
      <w:pPr>
        <w:spacing w:after="0" w:line="18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 any plan or proposal for the liquidation or dissolution of the Company; or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ceases to be listed or quoted on any of The New York Stock Exchange, The Nasdaq Global Market, The Nasdaq Global Select Market or The Nasdaq Capital Market (or any of their respective successors).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any transaction in which the Common Stock is replaced by the common stock or other Common Equity of another entity occurs, following any related Fundamental Change Repurchase Date (or, in the case of a transaction that would have been a Fundamental Change but for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 of this definition, following the effective date of such transaction), references to the Company in this definition shall instead be references to such other entity.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shall have the meaning specified in Section 15.02(b)(i).</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given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mailed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notify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sent</w:t>
      </w:r>
      <w:r>
        <w:rPr>
          <w:rFonts w:ascii="Times New Roman" w:cs="Times New Roman" w:eastAsia="Times New Roman" w:hAnsi="Times New Roman"/>
          <w:sz w:val="18"/>
          <w:szCs w:val="18"/>
          <w:color w:val="auto"/>
        </w:rPr>
        <w:t>” with respect to any notice to be given to a Holder pursuant to this Indenture, shall mean notice</w:t>
      </w:r>
    </w:p>
    <w:p>
      <w:pPr>
        <w:spacing w:after="0" w:line="31" w:lineRule="exact"/>
        <w:rPr>
          <w:sz w:val="20"/>
          <w:szCs w:val="20"/>
          <w:color w:val="auto"/>
        </w:rPr>
      </w:pPr>
    </w:p>
    <w:p>
      <w:pPr>
        <w:jc w:val="both"/>
        <w:ind w:firstLine="8"/>
        <w:spacing w:after="0" w:line="253" w:lineRule="auto"/>
        <w:tabs>
          <w:tab w:leader="none" w:pos="2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or sent electronically to an email address specified by the Company to the Trustee and the Holders (in the case of a Physical Note), in each case, in accordance with Section 17.03. Notice so “given” shall be deemed to include any notice to be “mailed” or “delivered,” as applicable, under this Indenture.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court, administrative agency or commission or other governmental authority or instrumentality, whether federal, state, local or foreign, and any applicable self-regulatory organization (including The Nasdaq Capital Market).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means any Person in whose name at the time a particular Note is registered on the Note Register.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amended or supplemented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Principal Amount</w:t>
      </w:r>
      <w:r>
        <w:rPr>
          <w:rFonts w:ascii="Times New Roman" w:cs="Times New Roman" w:eastAsia="Times New Roman" w:hAnsi="Times New Roman"/>
          <w:sz w:val="18"/>
          <w:szCs w:val="18"/>
          <w:color w:val="auto"/>
        </w:rPr>
        <w:t>” of any Note means the principal amount of such Note at the time of original issuance of such Note. For the avoidance of doubt, the “</w:t>
      </w:r>
      <w:r>
        <w:rPr>
          <w:rFonts w:ascii="Times New Roman" w:cs="Times New Roman" w:eastAsia="Times New Roman" w:hAnsi="Times New Roman"/>
          <w:sz w:val="18"/>
          <w:szCs w:val="18"/>
          <w:b w:val="1"/>
          <w:bCs w:val="1"/>
          <w:color w:val="auto"/>
        </w:rPr>
        <w:t>Initial Principal Amount</w:t>
      </w:r>
      <w:r>
        <w:rPr>
          <w:rFonts w:ascii="Times New Roman" w:cs="Times New Roman" w:eastAsia="Times New Roman" w:hAnsi="Times New Roman"/>
          <w:sz w:val="18"/>
          <w:szCs w:val="18"/>
          <w:color w:val="auto"/>
        </w:rPr>
        <w:t>” of each minimum denomination of Notes on the Issue Date shall be $1,000.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each June 30 and December 30 of each year, beginning on June 30,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means 26.50% per annum.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January 18, 2023.</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If the Common Stock is not listed for trading on a U.S. national or 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for the Common Stock in the over-the-counter market on the relevant date as reported by OTC Markets Group Inc. or a similar organization. If the Common Stock is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for the Common Stock on the relevant date from a nationally recognized independent investment banking firm selected by the Company for this purpose.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amounts due upon conversion (a) a failure by the primary U.S. national or regional securities exchange or market on which the Common Stock is listed or admitted for trading to open for trading during its regular trading session or</w:t>
      </w:r>
    </w:p>
    <w:p>
      <w:pPr>
        <w:spacing w:after="0" w:line="1" w:lineRule="exact"/>
        <w:rPr>
          <w:sz w:val="20"/>
          <w:szCs w:val="20"/>
          <w:color w:val="auto"/>
        </w:rPr>
      </w:pPr>
    </w:p>
    <w:p>
      <w:pPr>
        <w:jc w:val="both"/>
        <w:ind w:firstLine="8"/>
        <w:spacing w:after="0" w:line="255"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June 30,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Event</w:t>
      </w:r>
      <w:r>
        <w:rPr>
          <w:rFonts w:ascii="Times New Roman" w:cs="Times New Roman" w:eastAsia="Times New Roman" w:hAnsi="Times New Roman"/>
          <w:sz w:val="18"/>
          <w:szCs w:val="18"/>
          <w:color w:val="auto"/>
        </w:rPr>
        <w:t>” shall have the meaning specified in Section 14.06(a).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specified in the first paragraph of the recitals of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14.02(b).</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with respect to any Note surrendered for conversion means: (i) subject to clause (ii), if the relevant Conversion Date occurs prior to the Cut-off Date, the 40 consecutive Trading Days beginning on, and including, the third Trading Day immediately succeeding such Conversion Date; and (ii) if the relevant Conversion Date occurs on or after the date of the Company’s issuance of a Redemption Notice with respect to the Notes pursuant to Section 16.02 and prior to the relevant Redemption Date, the 40 consecutive Trading Days beginning on, and including, the 42nd Scheduled Trading Day immediately preceding such Redemption Date; and (iii) subject to clause (ii), if the relevant Conversion Date occurs on or after the Cut-off Date, the 40 consecutive Trading Days beginning on, and including, the 42nd Scheduled Trading Day immediately preceding the Maturity Date.</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President, the Chief Executive Officer, the Chief Financial Officer, the Chief Operating Officer, the Treasurer, the Secretary, any Executive or Senior Vice President or any Vice President (whether or not designated by a number or numbers or word or words added before or after the title “Vice President”).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other counsel acceptable to the Trustee, that is delivered to the Trustee. Each such opinion shall include the statements provided for in Section 17.05 if and to the extent required by the provisions of such Section 17.05.</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“Optional Redemption” </w:t>
      </w:r>
      <w:r>
        <w:rPr>
          <w:rFonts w:ascii="Times New Roman" w:cs="Times New Roman" w:eastAsia="Times New Roman" w:hAnsi="Times New Roman"/>
          <w:sz w:val="18"/>
          <w:szCs w:val="18"/>
          <w:color w:val="auto"/>
        </w:rPr>
        <w:t>is defined in Section 16.01.</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159" w:lineRule="exact"/>
        <w:rPr>
          <w:sz w:val="20"/>
          <w:szCs w:val="20"/>
          <w:color w:val="auto"/>
        </w:rPr>
      </w:pPr>
    </w:p>
    <w:p>
      <w:pPr>
        <w:ind w:left="1540" w:hanging="236"/>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canceled by the Trustee or accepted by the Trustee for cancellation;</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converted pursuant to Article 14 and required to be cancelled pursuant to Section 2.08;</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redeemed pursuant to Article 16; and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repurchased by the Company pursuant to the penultimate sentence of Section 2.10.</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SEPA Indebtedness</w:t>
      </w:r>
      <w:r>
        <w:rPr>
          <w:rFonts w:ascii="Times New Roman" w:cs="Times New Roman" w:eastAsia="Times New Roman" w:hAnsi="Times New Roman"/>
          <w:sz w:val="18"/>
          <w:szCs w:val="18"/>
          <w:color w:val="auto"/>
        </w:rPr>
        <w:t>” means any and all indebtedness, including convertible notes, issued pursuant to the Company’s Standby Equity Purchase Agreement dated April 28, 2022, as amended and supplemented from time to time.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Notes</w:t>
      </w:r>
      <w:r>
        <w:rPr>
          <w:rFonts w:ascii="Times New Roman" w:cs="Times New Roman" w:eastAsia="Times New Roman" w:hAnsi="Times New Roman"/>
          <w:sz w:val="18"/>
          <w:szCs w:val="18"/>
          <w:color w:val="auto"/>
        </w:rPr>
        <w:t>” means permanent certificated Notes in registered form issued in denominations of $1.00 principal amount and integral multiples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shall have the meaning specified in Section 14.02(a).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PIK Interest</w:t>
      </w:r>
      <w:r>
        <w:rPr>
          <w:rFonts w:ascii="Times New Roman" w:cs="Times New Roman" w:eastAsia="Times New Roman" w:hAnsi="Times New Roman"/>
          <w:sz w:val="18"/>
          <w:szCs w:val="18"/>
          <w:color w:val="auto"/>
        </w:rPr>
        <w:t>” means any interest paid pursuant to Section 2.03(d) by the Capitalization Method or by the issuance of PIK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PIK Notes</w:t>
      </w:r>
      <w:r>
        <w:rPr>
          <w:rFonts w:ascii="Times New Roman" w:cs="Times New Roman" w:eastAsia="Times New Roman" w:hAnsi="Times New Roman"/>
          <w:sz w:val="18"/>
          <w:szCs w:val="18"/>
          <w:color w:val="auto"/>
        </w:rPr>
        <w:t>” shall have the meaning specified in Section 2.03(d)(ii).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PIK Payment</w:t>
      </w:r>
      <w:r>
        <w:rPr>
          <w:rFonts w:ascii="Times New Roman" w:cs="Times New Roman" w:eastAsia="Times New Roman" w:hAnsi="Times New Roman"/>
          <w:sz w:val="18"/>
          <w:szCs w:val="18"/>
          <w:color w:val="auto"/>
        </w:rPr>
        <w:t>” means the payment of any PIK Interest on the Notes.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Note</w:t>
      </w:r>
      <w:r>
        <w:rPr>
          <w:rFonts w:ascii="Times New Roman" w:cs="Times New Roman" w:eastAsia="Times New Roman" w:hAnsi="Times New Roman"/>
          <w:sz w:val="18"/>
          <w:szCs w:val="18"/>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shall have the meaning specified in Section 16.02(a).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shall have the meaning specified in Section 16.02(a).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is defined in Section 16.01.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14.06(a).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with respect to any Interest Payment Date, means the June 15 or December 15 (whether or not such day is a Business Day) immediately preceding the applicable June 30 or December 30 Interest Payment Date, respectively.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8"/>
          <w:szCs w:val="18"/>
          <w:b w:val="1"/>
          <w:bCs w:val="1"/>
          <w:color w:val="auto"/>
        </w:rPr>
        <w:t>Scheduled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 Subsidiary of the Company that meets the definition of “significant subsidiary” in Article 1, Rule 1-02 of Regulation S-X under the Exchange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Corporation</w:t>
      </w:r>
      <w:r>
        <w:rPr>
          <w:rFonts w:ascii="Times New Roman" w:cs="Times New Roman" w:eastAsia="Times New Roman" w:hAnsi="Times New Roman"/>
          <w:sz w:val="18"/>
          <w:szCs w:val="18"/>
          <w:color w:val="auto"/>
        </w:rPr>
        <w:t>” shall have the meaning specified in Section 11.01(a).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day on which (i) trading in the Common Stock (or other security for which a closing sale price must be determined) generally occurs on The Nasdaq Capital Market or, if the Common Stock (or such other security) is not then listed on The Nasdaq Capital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Common Stock (or such other security) is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Business Day;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purposes of determining amounts due upon conversion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(x) there is no Market Disruption Event and (y) trading in the Common Stock generally occurs on The Nasdaq Capital Market or, if the Common Stock is not then listed on The Nasdaq Capital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yield to maturity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such Redemption Date to June 30, 2026; provided that if the period from such Redemption Date to June 30, 2026 is less than one year, the “Treasury Rate” shall be the weekly average yield on actually traded United States Treasury securities adjusted to a constant maturity of one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as it was in force at the date of execution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Trust Indenture Act of 1939 is amended after the date of this Indenture, the term “Trust Indenture Act” shall mean,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required by such amendment, the Trust Indenture Act of 1939, as so amended.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shall mean or include each Person who is then a Trustee 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14.06(a).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14.03(c).</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References to Interest</w:t>
      </w:r>
      <w:r>
        <w:rPr>
          <w:rFonts w:ascii="Times New Roman" w:cs="Times New Roman" w:eastAsia="Times New Roman" w:hAnsi="Times New Roman"/>
          <w:sz w:val="18"/>
          <w:szCs w:val="18"/>
          <w:color w:val="auto"/>
        </w:rPr>
        <w:t>. Unless the context otherwise requires, any reference to accrued interest on, or in respect of, any Note that has not been paid or capitalized in this Indenture shall be deemed to refer to the amount of such interest that would have accrued as of the relevant time at the Interest Rate based on the Capitalization Method in respect of all of the relevant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Issue, Description, Execution, Registration and Exchange of Notes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The Notes shall be designated as the “26.5% Convertible Senior PIK Notes due 2026.” The aggregate Initial Principal Amount of Notes that may be authenticated and delivered under this Indenture is initially limited to $50,000,000, subject to Section 2.10 and except for Notes authenticated and delivered upon the issuance of PIK Notes or registration or transfer of, or in exchange for, or in lieu of other Notes to the extent expressly permitted hereunder.</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PIK Interest,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interest on, a Global Note shall be made to the Holder of such Note on the date of payment, unless a record date or other means of determining Holders eligible to receive payment is provided for herein.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Date and Denomination of Notes; Payments of Interest and Defaulted Amounts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issuable in registered form without coupons in denominations of $1.00 principal amount and integral multiples thereof. PIK Interest on the Notes shall be paid in denominations of $1.00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304"/>
        <w:spacing w:after="0" w:line="252" w:lineRule="auto"/>
        <w:tabs>
          <w:tab w:leader="none" w:pos="15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Capitalized Principal Amount of any Note (x) in the case of any Physical Note, shall be payable at the office or agency of the Company maintained by the Company for such purposes in the continental United States of America, which shall initially be the Corporate Trust Office, or by check mailed to the Holders of these Notes at their address as it appears in the Note Register or such other means as agreed between the Company and such Holder, and (y) in the case of any Global Note, shall be payable by wire transfer of immediately available funds to the account of the Depositary or its nominee. The Company shall pay, or cause the Paying Agent to pay, cash interest when due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(or such other amount as the Company shall determine in its discretion), either by check mailed to each Holder or, upon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prior to the relevant Regular Record Date, which application shall remain in effect until the Holder notifies, in writing, the Note Registrar to the contrary or (ii) on any Global Note by wire transfer of immediately available funds to the account of the Depositary or its nominee.</w:t>
      </w:r>
    </w:p>
    <w:p>
      <w:pPr>
        <w:spacing w:after="0" w:line="19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Defaulted Amounts shall forthwith cease to be payable to the Holder on the relevant payment date but shall accrue interest per annum at the Interest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2" w:lineRule="auto"/>
        <w:tabs>
          <w:tab w:leader="none" w:pos="21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left="180" w:firstLine="652"/>
        <w:spacing w:after="0" w:line="261" w:lineRule="auto"/>
        <w:tabs>
          <w:tab w:leader="none" w:pos="11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w:t>
      </w:r>
    </w:p>
    <w:p>
      <w:pPr>
        <w:spacing w:after="0" w:line="225" w:lineRule="exact"/>
        <w:rPr>
          <w:sz w:val="20"/>
          <w:szCs w:val="20"/>
          <w:color w:val="auto"/>
        </w:rPr>
      </w:pPr>
    </w:p>
    <w:p>
      <w:pPr>
        <w:jc w:val="both"/>
        <w:ind w:left="180" w:firstLine="652"/>
        <w:spacing w:after="0" w:line="253" w:lineRule="auto"/>
        <w:tabs>
          <w:tab w:leader="none" w:pos="10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interest on the Notes on each Interest Payment Date by increasing the Capitalized Principal Amount of the Notes by the Capitalization Amount for such Interest Payment Date automatically and without any action by any Person (the “</w:t>
      </w:r>
      <w:r>
        <w:rPr>
          <w:rFonts w:ascii="Times New Roman" w:cs="Times New Roman" w:eastAsia="Times New Roman" w:hAnsi="Times New Roman"/>
          <w:sz w:val="18"/>
          <w:szCs w:val="18"/>
          <w:b w:val="1"/>
          <w:bCs w:val="1"/>
          <w:color w:val="auto"/>
        </w:rPr>
        <w:t>Capitalization Method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Capitalized Principal Amount shall be rounded up to the nearest $1.00;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for any Notes (1) surrendered for conversion after a Regular Record Date and on or prior to the corresponding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Date; (2) redeemed in connection with a Redemption Date that is after a Regular Record Date and on or prior to the corresponding Interest Payment Date; or (3) repurchased on a Fundamental Change Repurchase Date that is after a Regular Record Date and on or prior to the corresponding Interest Payment Date, any Capitalization Amount by which the Capitalized Principal Amount for such Notes would have been increased on such corresponding Interest Payment Date shall instead be paid in cash to the relevant Holder(s) of such Notes as of such Regular Record Date, and no such increase shall be made to the Capitalized Principal Amount of such Notes.</w:t>
      </w:r>
    </w:p>
    <w:p>
      <w:pPr>
        <w:spacing w:after="0" w:line="194"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to the contrary in this Indenture, if the Notes are represented by one or more Physical Notes, the Company may, at its option, in lieu of the Capitalization Method, pay interest due and payable on such Physical Notes by issuing additional Physical Notes to the relevant record Holder on the relevant Interest Payment Date (the “</w:t>
      </w:r>
      <w:r>
        <w:rPr>
          <w:rFonts w:ascii="Times New Roman" w:cs="Times New Roman" w:eastAsia="Times New Roman" w:hAnsi="Times New Roman"/>
          <w:sz w:val="18"/>
          <w:szCs w:val="18"/>
          <w:b w:val="1"/>
          <w:bCs w:val="1"/>
          <w:color w:val="auto"/>
        </w:rPr>
        <w:t>PIK Notes</w:t>
      </w:r>
      <w:r>
        <w:rPr>
          <w:rFonts w:ascii="Times New Roman" w:cs="Times New Roman" w:eastAsia="Times New Roman" w:hAnsi="Times New Roman"/>
          <w:sz w:val="18"/>
          <w:szCs w:val="18"/>
          <w:color w:val="auto"/>
        </w:rPr>
        <w:t>”) in an aggregate principal amount equal to the relevant Capitalization Amount (rounded up to the nearest $1.00). The issuance of any PIK Notes shall be computed on the basis of the aggregate principal amount of the Notes held by a Holder. Following an increase in the principal amount of the outstanding Global Notes as a result of a PIK Payment, the Global Notes shall bear interest on such increased principal amount from and after the date of such PIK Payment. Any PIK Notes issued as Physical Notes shall be dated as of the applicable Interest Payment Date and shall bear interest from and after such date. All PIK Notes issued pursuant to a PIK Payment shall be governed by, and subject to the terms, provisions and conditions of, this Indenture and shall have the same rights and benefits as the Notes issued on the Issue Date. Any PIK Notes shall be issued with the description PIK on the face of such Note, and references to the “principal amount” of the Notes shall include any increase in the principal amount of the outstanding Notes as a result of any PIK Payment. The Notes issued on the Issue Date and any PIK Notes shall be treated as a single class for all purposes under this Indenture.</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Execution, Authentication and Delivery of Notes</w:t>
      </w:r>
      <w:r>
        <w:rPr>
          <w:rFonts w:ascii="Times New Roman" w:cs="Times New Roman" w:eastAsia="Times New Roman" w:hAnsi="Times New Roman"/>
          <w:sz w:val="18"/>
          <w:szCs w:val="18"/>
          <w:color w:val="auto"/>
        </w:rPr>
        <w:t>. The Notes shall be signed in the name and on behalf of the Company by the manual, electronic or facsimile signature of its Chief Executive Officer, President, Chief Financial Officer, Treasurer, Secretary or any of its Executive or Senior Vice Presidents.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such Notes as shall bear thereon a certificate of authentication substantially in the form set forth on the Form of Note attached as Exhibit A hereto, executed manually, electronically or by facsimile by an authorized officer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Exchange and Registration of Transfer of Notes; Restrictions on Transfer; Depositary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for the purpose of registering Notes and transfers of Notes as herein provided. The Company may appoint one or more co-Note Registrars in accordance with Section 4.02.</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 except the unredeemed portion of any Note being redeemed in part.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76" w:lineRule="exact"/>
        <w:rPr>
          <w:sz w:val="20"/>
          <w:szCs w:val="20"/>
          <w:color w:val="auto"/>
        </w:rPr>
      </w:pPr>
    </w:p>
    <w:p>
      <w:pPr>
        <w:jc w:val="both"/>
        <w:ind w:firstLine="1304"/>
        <w:spacing w:after="0" w:line="256" w:lineRule="auto"/>
        <w:tabs>
          <w:tab w:leader="none" w:pos="15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issued initially in the form of Physical Notes. At the Company’s sole discretion, so long as the Notes are eligible for book-entry settlement with the Depositary and the restrictions on transfer described in Section 2.05(c) no longer apply to such Note, subject to the fourth paragraph from the end of Section 2.05(c) the Notes may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registered in the name of the Depositary or the nominee of the Depositary.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shall bear the legend set forth in this Section 2.05(c) (together with any Common Stock issued upon conversion of the Notes that is required to bear the legend set forth in Section 2.05(d),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and shall be subject to the restrictions on transfer set forth in this Section 2.05(c)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encompasses any sale, pledge, transfer or other disposition whatsoever of any Restricted Security.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certificate evidencing a Note (and all securities issued in exchange therefor or substitution thereof, other than Common Stock, if any, issued upon conversion thereof, which shall bear the legend set forth in Section 2.05(d), if applicable) shall bear a legend in substantially the following form (unless otherwise agreed by the Company in writing, with notice thereof to the Trustee):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 AGREES FOR THE BENEFIT OF EOS ENERGY ENTERPRISES,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NOT OFFER, SELL, PLEDGE OR OTHERWISE TRANSFER THIS SECURITY OR ANY BENEFICIAL INTEREST HEREIN EXCEPT:</w:t>
      </w:r>
    </w:p>
    <w:p>
      <w:pPr>
        <w:spacing w:after="0" w:line="187" w:lineRule="exact"/>
        <w:rPr>
          <w:sz w:val="20"/>
          <w:szCs w:val="20"/>
          <w:color w:val="auto"/>
        </w:rPr>
      </w:pPr>
    </w:p>
    <w:p>
      <w:pPr>
        <w:ind w:left="2900" w:hanging="300"/>
        <w:spacing w:after="0"/>
        <w:tabs>
          <w:tab w:leader="none" w:pos="2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225" w:lineRule="exact"/>
        <w:rPr>
          <w:rFonts w:ascii="Times New Roman" w:cs="Times New Roman" w:eastAsia="Times New Roman" w:hAnsi="Times New Roman"/>
          <w:sz w:val="18"/>
          <w:szCs w:val="18"/>
          <w:color w:val="auto"/>
        </w:rPr>
      </w:pPr>
    </w:p>
    <w:p>
      <w:pPr>
        <w:ind w:left="1960" w:right="20" w:firstLine="640"/>
        <w:spacing w:after="0" w:line="282" w:lineRule="auto"/>
        <w:tabs>
          <w:tab w:leader="none" w:pos="29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WHICH HAS BECOME EFFECTIVE UNDER THE SECURITIES ACT, OR</w:t>
      </w:r>
    </w:p>
    <w:p>
      <w:pPr>
        <w:spacing w:after="0" w:line="161"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29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(C)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IS SUBJECT TO RESTRICTIONS ON TRANSFER AS SET FORTH IN AN INVESTMENT AGREEMENT DATED AS OF JANUARY 18, 2023 (AS IT MAY BE AMENDED FROM TIME TO TIME), BY AND AMONG THE COMPANY AND CERTAIN OTHER PARTIES THERETO, COPIES OF WHICH ARE PUBLICLY FILED OR ON FILE WITH THE SECRETARY OF THE COMPANY, AND THIS SECURITY MAY NOT BE OFFERED, SOLD, PLEDGED OR OTHERWISE TRANSFERRED EXCEPT IN COMPLIANCE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No transfer of any Note will be registered by the Note Registrar unless the applicable box on the Form of Assignment and Transfer has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be a clearing agency registered under the Exchange Act appointed by the Company and may be The Depository Trust Company. Each Global Note for which The Depository Trust Company is Depositary may be issued to the Depositary, registered in the name of Cede &amp; Co., as the nominee of the Depositary, and deposited with the Trustee as custodian for Cede &amp; Co.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such time as all interests in a Global Note have been converted, canceled, repurchased,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the Company, the Trustee or any agent of the Company or the Trustee shall have any responsibility or liability for any aspect of the records relating to or payments made on account of beneficial ownership interests of a Global Note or maintaining, supervising or reviewing any records relating to such beneficial ownership interests.</w:t>
      </w:r>
    </w:p>
    <w:p>
      <w:pPr>
        <w:spacing w:after="0" w:line="176" w:lineRule="exact"/>
        <w:rPr>
          <w:sz w:val="20"/>
          <w:szCs w:val="20"/>
          <w:color w:val="auto"/>
        </w:rPr>
      </w:pPr>
    </w:p>
    <w:p>
      <w:pPr>
        <w:jc w:val="both"/>
        <w:ind w:firstLine="1304"/>
        <w:spacing w:after="0" w:line="255" w:lineRule="auto"/>
        <w:tabs>
          <w:tab w:leader="none" w:pos="15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certificate or book-entry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 AGREES FOR THE BENEFIT OF EOS ENERGY ENTERPRISES,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NOT OFFER, SELL, PLEDGE OR OTHERWISE TRANSFER THIS SECURITY OR ANY BENEFICIAL INTEREST HEREIN EXCEPT:</w:t>
      </w:r>
    </w:p>
    <w:p>
      <w:pPr>
        <w:spacing w:after="0" w:line="183" w:lineRule="exact"/>
        <w:rPr>
          <w:sz w:val="20"/>
          <w:szCs w:val="20"/>
          <w:color w:val="auto"/>
        </w:rPr>
      </w:pPr>
    </w:p>
    <w:p>
      <w:pPr>
        <w:ind w:left="2900" w:hanging="300"/>
        <w:spacing w:after="0"/>
        <w:tabs>
          <w:tab w:leader="none" w:pos="2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225" w:lineRule="exact"/>
        <w:rPr>
          <w:rFonts w:ascii="Times New Roman" w:cs="Times New Roman" w:eastAsia="Times New Roman" w:hAnsi="Times New Roman"/>
          <w:sz w:val="18"/>
          <w:szCs w:val="18"/>
          <w:color w:val="auto"/>
        </w:rPr>
      </w:pPr>
    </w:p>
    <w:p>
      <w:pPr>
        <w:ind w:left="1960" w:right="20" w:firstLine="640"/>
        <w:spacing w:after="0" w:line="282" w:lineRule="auto"/>
        <w:tabs>
          <w:tab w:leader="none" w:pos="29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WHICH HAS BECOME EFFECTIVE UNDER THE SECURITIES ACT, OR</w:t>
      </w:r>
    </w:p>
    <w:p>
      <w:pPr>
        <w:spacing w:after="0" w:line="161"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29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(C) ABOVE, THE COMPANY AND THE TRANSFER AGENT FOR THE COMPANY’S COMMON STOCK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IS SUBJECT TO RESTRICTIONS ON TRANSFER AS SET FORTH IN AN INVESTMENT AGREEMENT DATED AS OF JANUARY 18, 2023 (AS IT MAY BE AMENDED FROM TIME TO TIME), BY AND AMONG THE COMPANY AND CERTAIN OTHER PARTIES THERETO, COPIES OF WHICH ARE PUBLICLY FILED OR ON FILE WITH THE SECRETARY OF THE COMPANY, AND THIS SECURITY MAY NOT BE OFFERED, SOLD, PLEDGED OR OTHERWISE TRANSFERRED EXCEPT IN COMPLIANCE THEREWITH.</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Mutilated, Destroyed, Lost or Stolen Notes</w:t>
      </w:r>
      <w:r>
        <w:rPr>
          <w:rFonts w:ascii="Times New Roman" w:cs="Times New Roman" w:eastAsia="Times New Roman" w:hAnsi="Times New Roman"/>
          <w:sz w:val="18"/>
          <w:szCs w:val="18"/>
          <w:color w:val="auto"/>
        </w:rPr>
        <w:t>.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Temporary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Pending the preparation of Physical Notes, the Company may execute and the Trustee or an authenticating agent appointed by the Trustee shall, upon written request of the Company, authenticate and deliver temporary Notes in registered form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Cancellation of Notes Paid, Converted, Etc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cause all Notes surrendered for the purpose of payment at maturity, repurchase upon a Fundamental Change, redemption, registration of transfer or exchange or conversion (other than any Notes exchanged pursuant to Section 14.11), if surrendered to the Company or any of the Company’s agents, Subsidiaries or Affiliates that the Company controls, to be surrendered to the Trustee for cancellation. All Notes delivered to the Trustee shall be canceled promptly by it.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in issuing the Notes may use “CUSIP” numbers (if then generally in use), and, if so, the Trustee shall use “CUSIP” numbers in all notices issued to Holders as a convenience to such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Additional Notes; Repurchases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may, without the consent of the Holders and notwithstanding Section 2.01, reopen this Indenture and issue additional Notes hereunder with the same terms as the Notes initially issued hereunder (other than differences in the issue date, the issue price and interest accrued prior to the issue date of such additional Notes) in an aggregate principal amount not to exceed $50,000,000 for all Notes issued hereunder; provided that if any such additional Notes are not fungible with the Notes initially issued hereunder for U.S. federal income tax purposes, such additional Notes shall have a separate CUSIP number (if any).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The Company may, to the extent permitted by law, and directly or indirectly (regardless of whether such Notes are surrendered to the Company), repurchase Notes in the open market or otherwise, whether by the Company or its Subsidiaries or through a private or public tender or exchange offer or through counterparties to private agreements, including by cash-settled swaps or other derivatives. The Company shall cause any Notes so repurchased (other than Notes repurchased pursuant to cash-settled swaps or other derivatives) to be surrendered to the Trustee for cancellation in accordance with Section 2.08 and such Notes shall no longer be considered outstanding under this Indenture upon their repurchase.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Satisfaction and Discharge</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Satisfaction and Discharge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Indenture shall upon request of the Company contained in an Officer’s Certificate cease to be of further effect, and the Trustee, at the expense of the Company, shall execute proper instruments acknowledging satisfaction and discharge of this Indenture, when (a) all Notes theretofore authenticated and delivered (other than Notes which have been destroyed, lost or stolen and which have been replaced, paid or converted as provided in Section 2.06) have been delivered to the Trustee for cancellation; or (b) the Company has deposited with the Trustee or delivered to Holders, as applicable, after the Notes have become due and payable, (i) on the Maturity Date, cash or (ii) any Redemption Date, any Fundamental Change Repurchase Date, upon conversion or otherwise, cash, shares of Common Stock or a combination thereof, as applicable, solely, as the case may be, to satisfy the Company’s Conversion Obligation, sufficient to pay all of the outstanding Notes and all other sums due and payable under this Indenture by the Company; and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Particular Covenants of the Company</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Principal and 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covenants and agrees that it will cause to be paid the principal (including the Redemption Price and the Fundamental Change Repurchase Price, if applicable) of, and capitalize accrued interest that has not been capitalized on, each of the Notes at the places, at the respective times and in the manner provided herein and in the Notes.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maintain in the continental United States of America an office or agency where the Notes may be surrendered for registration of transfer or exchange or for presentation for payment or repurchase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or for conversion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continental United States of America.</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designation or rescission shall in any manner relieve the Company of its obligation to maintain an office or agency in the continental United States of America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include any such additional or other offices or agencies, as applicable.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hereby initially designates the Trustee as the Paying Agent, Note Registrar, Custodian and Conversion Agent and the Corporate Trust Office as the office or agency in the continental United States of America where Notes may be surrendered for registration of transfer or exchange or for presentation for payment or repurchase or for conversion and where notices and demands to or upon the Company in respect of the Notes and this Indenture may be served.</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Appointments to Fill Vacancies in Trustee’s Office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Provisions as to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6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(including the Redemption Price and the Fundamental Change Repurchase Price, if applicable) of, and accrued and unpaid interest on, the Notes in trust for the benefit of the Holders of the Notes;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1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prompt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27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any time during the continuance of an Event of Default, upon request of the Trustee, it will forthwith pay to the Trustee all sums so held in trust.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Subject to Section 2.03(d), 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of any failure to take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deposit is made on the due date, such deposit must be received by the Paying Agent by 11:00 a.m., New York City time, on such date.</w:t>
      </w:r>
    </w:p>
    <w:p>
      <w:pPr>
        <w:spacing w:after="0" w:line="183" w:lineRule="exact"/>
        <w:rPr>
          <w:sz w:val="20"/>
          <w:szCs w:val="20"/>
          <w:color w:val="auto"/>
        </w:rPr>
      </w:pPr>
    </w:p>
    <w:p>
      <w:pPr>
        <w:jc w:val="both"/>
        <w:ind w:firstLine="1304"/>
        <w:spacing w:after="0" w:line="256" w:lineRule="auto"/>
        <w:tabs>
          <w:tab w:leader="none" w:pos="15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subject to Section 2.03(d), it will,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money and shares of Common Stock deposited with the Trustee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Rule 144A Information Requirement and Annual Reports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file with the Trustee, within 15 days after the same are required to be filed with the Commission (giving effect to any grace period provided by Rule 12b-25 (or any successor rule) under the Exchange Act), copies of any documents or reports that the Company is required to file with the Commission pursuant to Section 13 or 15(d) of the Exchange Act (excluding any such information, documents or reports, or portions thereof, subject to confidential treatment and any correspondence with the Commission). Any such document or report that the Company files with the Commission via the Commission’s EDGAR system (or any successor thereto) shall be deemed to be filed with the Trustee for purposes of this Section 4.06 at the time such documents are filed via the EDGAR system (or any successor thereto), it being understood that the Trustee shall not be responsible for determining whether such filings have been made. Delivery of the reports and documents described in this Section 4.06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82"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Compliance Certificate; Statements as to Defaults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deliver to the Trustee within 150 days after the end of each fiscal year of the Company (beginning with the fiscal year ending on December 31, 2022) an Officer’s Certificate stating whether the signers thereof have knowledge of any Event of Default that occurred during the previous year and, if so, specifying each such Event of Default and the nature thereof.</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shall deliver to the Trustee,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 required to deliver such notice if such Event of Default or Default has been cured or is no longer continuing.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Lists of Holders and Reports by the Company and the Trustee</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Lists of 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covenants and agrees that, upon written request, it will furnish or cause to be furnished to the Trustee, semi-annually, not more than 15 days after each June 15 and December 15 in each year,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5" w:name="page46"/>
    <w:bookmarkEnd w:id="45"/>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Preservation and Disclosure of Lists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Defaults and Remedies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229" w:lineRule="exact"/>
        <w:rPr>
          <w:sz w:val="20"/>
          <w:szCs w:val="20"/>
          <w:color w:val="auto"/>
        </w:rPr>
      </w:pPr>
    </w:p>
    <w:p>
      <w:pPr>
        <w:ind w:left="1540" w:hanging="236"/>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and the default continues for a period of 30 days;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on the Maturity Date, upon Optional Redemption, upon any required repurchase, upon declaration of acceleration or otherwise;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this Indenture upon exercise of a Holder’s conversion right and such failure continues for a period of five Business Days;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issue a Fundamental Change Company Notice in accordance with Section 15.02(c) when due and such failure continues for a period of five Business Days;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Article 11;</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written notice from the Trustee or the Holders of at least 25% in principal amount of the Notes then outstanding has been received by the Company to comply with any of its other agreements contained in the Notes or this Indenture;</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$25,000,000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30 days after written notice to the Company by the Trustee or to the Company and the Trustee by Holders of at least 25% in aggregate principal amount of Notes then outstanding in accordance with this Indenture;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6" w:name="page47"/>
    <w:bookmarkEnd w:id="46"/>
    <w:p>
      <w:pPr>
        <w:jc w:val="both"/>
        <w:ind w:firstLine="1304"/>
        <w:spacing w:after="0" w:line="258" w:lineRule="auto"/>
        <w:tabs>
          <w:tab w:leader="none" w:pos="15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non-appealable judgments or orders is rendered against the Company or any Significant Subsidiary, which requires the payment in money by the Company or any Significant Subsidiary, individually or in the aggregate, of an amount (net of amounts covered by insurance or bonded) in excess of $25,000,000, and such judgment or judgments have not been satisfied, stayed, paid, discharged, vacated, bonded, annulled or rescinded within 60 days after (i) the date on which the right to appeal thereof has expired if no such appeal has commenced, or (ii) the date on which all rights to appeal have been extinguished;</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commence a voluntary case or other proceeding seeking liquidation, reorganization or other relief with respect to the Company or its debts under any bankruptcy, insolvency or other similar law now or hereafter in effect or seeking the appointment of a trustee, receiver, liquidator, custodian or other similar official of the Company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case or other proceeding shall be commenced against the Company seeking liquidation, reorganization or other relief with respect to the Company or its debts under any bankruptcy, insolvency or other similar law now or hereafter in effect or seeking the appointment of a trustee, receiver, liquidator, custodian or other similar official of the Company or any substantial part of its property, and such involuntary case or other proceeding shall remain undismissed and unstayed for a period of 30 consecutive days.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Acceleration; Rescission and Annulment</w:t>
      </w:r>
      <w:r>
        <w:rPr>
          <w:rFonts w:ascii="Times New Roman" w:cs="Times New Roman" w:eastAsia="Times New Roman" w:hAnsi="Times New Roman"/>
          <w:sz w:val="18"/>
          <w:szCs w:val="18"/>
          <w:color w:val="auto"/>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6.01(i) or Section 6.01(j)),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(and the Trustee, at the written request of such Holders, shall) declare 100% of the Capitalized Principal Amount of, and accrued and unpaid interest on, all the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6.01(i) or Section 6.01(j) occurs and is continuing, 100% of the Capitalized Principal Amount of, and accrued and unpaid interest, if any, on, all Notes shall become and shall automatically be immediately due and payable.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interest upon all Notes and the principal of any and all Notes that shall have become due otherwise than by acceleration (with interest on overdue installments of accrued and unpaid interest to the extent that payment of such interest is enforceable under applicable law, and on such principal at the Interest Rate borne by the Notes at such time)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6.08,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or deliver, as the case may be, the consideration due upon conversion of the Notes.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Payments of Notes on Default; Suit Therefor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Interest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6.03,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the Trustee shall have proceeded to enforce any right under this Indenture and such proceedings shall have been discontinued or abandoned because of any waiver pursuant to Section 6.08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Application of Monies Collected by Trustee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monies collected by the Trustee pursuant to this Article 6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under Section 7.06;</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in case the principal of the outstanding Notes shall not have become due and be unpaid, to the payment of interest on, and any cash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conversion of, the Notes in default in the order of the date due of the payments of such interest and cash due upon conversion, as the case may be, with interest (to the extent that such interest has been collected by the Trustee) upon such overdue payments at the Interest Rate borne by the Notes at such time, such payments to be made ratably to the Persons entitled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in case the principal of the outstanding Notes shall have become due, by declaration or otherwise, and be unpaid to the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amount (including, if 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Interest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Fundamental Change Repurchase Price and any cash due upon conversion) and accrued and unpaid interest;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to the payment of the remainder, if any, to the Company.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Proceedings by 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such Holder previously shall have given to the Trustee written notice of an Event of Default and of the continuance thereof, as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w:t>
      </w:r>
    </w:p>
    <w:p>
      <w:pPr>
        <w:spacing w:after="0" w:line="207" w:lineRule="exact"/>
        <w:rPr>
          <w:sz w:val="20"/>
          <w:szCs w:val="20"/>
          <w:color w:val="auto"/>
        </w:rPr>
      </w:pPr>
    </w:p>
    <w:p>
      <w:pPr>
        <w:ind w:firstLine="1304"/>
        <w:spacing w:after="0" w:line="282" w:lineRule="auto"/>
        <w:tabs>
          <w:tab w:leader="none" w:pos="15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shall have offered to the Trustee such security or indemnity reasonably satisfactory to it against any loss, liability or expense to be incurred therein or thereby;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such security or indemnity, shall have neglected or refused to institute any such action, suit or proceeding;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6.08, 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6.05, each and every Holder and the Trustee shall be entitled to such relief as can be given either at law or in equity.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and any provision of any Note, each Holder shall have the right to receive payment or delivery, as the case may be, of (x) the principal (including Redemption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Proceedings by Trustee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Remedies Cumulative and Continuing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6.05, every power and remedy given by this Article 6 or by law to the Trustee or to the Holders may be exercised from time to time, and as often as shall be deemed expedient, by the Trustee or by the Holders.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Direction of Proceedings and Waiver of Defaults by Majority of 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direction shall not be in conflict with any rule of law or with this Indenture, and the Trustee may take any other action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 by the Trustee that is not inconsistent with such direction. The Trustee may refuse to follow any direction that it determines is unduly prejudicial to the rights of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except a default in the payment of accrued and unpaid interest, if any, on, or the principal (including any Redemption Price and Fundamental Change Repurchase Price) of, the Notes when due that has not been cured pursuant to the provisions of Section 6.01, a failure by the Company to pay or deliver, as the case may be, the consideration due upon conversion of the Notes or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6.08,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Trustee shall, within 90 days after the occurrence and continuance of a Default of which a Responsible Officer has actual knowledge, deliver to all Holders notice of all Defaults known to a Responsible Officer, unless such Defaults shall have been cured or waived before the giving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in the 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a committee of Responsible Officers of the Trustee in good faith determines that the withholding of such notice is in the interests of the Holders.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1" w:name="page52"/>
    <w:bookmarkEnd w:id="5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Undertaking to Pay Costs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 Section 6.10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Concerning the Trustee</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Duties and Responsibilities of Trustee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 Event of Default occurs and is continuing, the Trustee will be under no obligation to exercise any of the rights or powers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at the request or direction of any of the Holders unless such Holders have offered to the Trustee indemnity or security reasonably satisfactory to it against any loss, liability or expense that might be incurred by it in compliance with such request or direction.</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62" w:lineRule="exact"/>
        <w:rPr>
          <w:sz w:val="20"/>
          <w:szCs w:val="20"/>
          <w:color w:val="auto"/>
        </w:rPr>
      </w:pPr>
    </w:p>
    <w:p>
      <w:pPr>
        <w:ind w:left="1540" w:hanging="236"/>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Events of Default that may have occurred: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22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2" w:name="page53"/>
    <w:bookmarkEnd w:id="52"/>
    <w:p>
      <w:pPr>
        <w:ind w:firstLine="1304"/>
        <w:spacing w:after="0" w:line="282" w:lineRule="auto"/>
        <w:tabs>
          <w:tab w:leader="none" w:pos="15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82" w:lineRule="auto"/>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or transfer agent hereunder, the rights and protections afforded to the Trustee pursuant to this Article 7 shall also be afforded to such Custodian, Note Registrar, Paying Agent, Conversion Agent or transfer agent.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Reliance on Documents, Opinions, Etc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otherwise provided in Section 7.01:</w:t>
      </w:r>
    </w:p>
    <w:p>
      <w:pPr>
        <w:spacing w:after="0" w:line="227" w:lineRule="exact"/>
        <w:rPr>
          <w:sz w:val="20"/>
          <w:szCs w:val="20"/>
          <w:color w:val="auto"/>
        </w:rPr>
      </w:pPr>
    </w:p>
    <w:p>
      <w:pPr>
        <w:jc w:val="both"/>
        <w:ind w:firstLine="1304"/>
        <w:spacing w:after="0" w:line="266" w:lineRule="auto"/>
        <w:tabs>
          <w:tab w:leader="none" w:pos="15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304"/>
        <w:spacing w:after="0" w:line="266" w:lineRule="auto"/>
        <w:tabs>
          <w:tab w:leader="none" w:pos="15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 and</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liable for any consequential loss or damage of any kind whatsoever (including but not limited to lost profits), even if the Trustee has been advised of the likelihood of such loss or damage and regardless of the form of action other than any such loss or damage caused by the Trustee’s willful misconduct or gross negligence.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the Trustee by the Company or by any Holder of the Notes.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No Responsibility for Recitals, Etc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Trustee, Paying Agents, Conversion Agents or Note Registrar May Own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Trustee, any Paying Agent, any Conversion Agent or Note Registrar, in its individual or any other capacity, may become the owner or pledgee of Notes with the same rights it would have if it were not the Trustee, Paying Agent, Conversion Agent or Note Registrar.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Monies and Shares of Common Stock to Be Held in Trust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Compensation and Expenses of Trustee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covenants and agrees to pay to the Trustee from time to time, and the Trustee shall be entitled to, reasonable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willful misconduct or bad faith. The Company also covenants to indemnify the Trustee in any capacity under this Indenture and any other document or transaction entered into in connection herewith and its agents and any authenticating agent for, and to hold them harmless against, any loss, claim, damage, liability or expense incurred without gross negligence, willful misconduct or bad faith on the part of the Trustee, its officers, directors, agents or employees, or such agent or authenticating agent, as the case may be, and arising out of or in connection with the acceptance or administration of this Indenture or in any other capacity hereunder,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6.04,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 incur expenses or render services after an Event of Default specified in Section 6.01(i) or Section 6.01(j) occurs, the expenses and the compensation for the services are intended to constitute expenses of administration under any bankruptcy, insolvency or similar laws.</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Officer’s Certificate as Evidence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willful misconduct, recklessness and bad faith on the part of the Trustee, be deemed to be conclusively proved and established by an Officer’s Certificate delivered to the Trustee, and such Officer’s Certificate, in the absence of gross negligence, willful misconduct, recklessness and bad faith on the part of the Trustee, shall be full warrant to the Trustee for any action taken or omitted by it under the provisions of this Indenture upon the faith thereof.</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5" w:name="page56"/>
    <w:bookmarkEnd w:id="55"/>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Eligibility of Trustee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Resignation or Removal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60 days after the giving of such notice of resignation to the Holders, the resigning Trustee may, upon ten Business Days’ notice to the Company and the Holders, petition any court of competent jurisdiction for the appointment of a successor trustee, or any Holder who has been a bona fide holder of a Note or Notes for at least six months (or since the date of this Indenture) may, subject to the provisions of Section 6.10,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7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7.08 and shall fail to resign after written request therefor by the Company or by any such Holder, or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21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6.10,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6" w:name="page57"/>
    <w:bookmarkEnd w:id="56"/>
    <w:p>
      <w:pPr>
        <w:jc w:val="both"/>
        <w:ind w:firstLine="1304"/>
        <w:spacing w:after="0" w:line="261" w:lineRule="auto"/>
        <w:tabs>
          <w:tab w:leader="none" w:pos="15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Acceptance by Successor Trustee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Succession by Merger, Etc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Trustee’s Application for Instructions from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Concerning the Holders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Action by 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by any instrument or any number of instruments of similar tenor executed by Holders in person or by agent or proxy appointed in writing, or by the record of the Holders voting in favor thereof at any meeting of Holders duly called and held in accordance with the provisions of Article 9, or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Proof of Execution by 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Who Are Deemed Absolute Owners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Fundamental Change Repurchase Price) of and (subject to Section 2.03) accrued and unpaid interest on such Note, for conversion of such Note and for all other purposes; and neither the Company nor the Trustee nor any Paying Agent nor any Conversion Agent nor any Note Registrar shall be affected by any notice to the contrary.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Company-Owned Notes Disregarded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determining whether the Holders of the requisite aggregate principal amount of Notes have concurred in any direction, consent, waiver or other action under this Indenture, Notes that are owned by the Company or by any Subsidiary thereof shall be disregarded and deemed not to be outstanding for the purpose of any such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Revocation of Consents; Future Holders Bound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Holders’ Meetings</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Purpose of Meetings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meeting of Holders may be called at any time and from time to time pursuant to the provisions of this Article 9 for any of the following purposes:</w:t>
      </w:r>
    </w:p>
    <w:p>
      <w:pPr>
        <w:spacing w:after="0" w:line="160" w:lineRule="exact"/>
        <w:rPr>
          <w:sz w:val="20"/>
          <w:szCs w:val="20"/>
          <w:color w:val="auto"/>
        </w:rPr>
      </w:pPr>
    </w:p>
    <w:p>
      <w:pPr>
        <w:jc w:val="both"/>
        <w:ind w:firstLine="1304"/>
        <w:spacing w:after="0" w:line="266" w:lineRule="auto"/>
        <w:tabs>
          <w:tab w:leader="none" w:pos="15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7;</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 10.02; or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Call of Meetings by Trustee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Call of Meetings by Company or 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Qualifications for Voting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be entitled to vote at any meeting of Holders a Person shall be a Holder of one or more Notes on the record date pertaining to such meeting or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Notes represented at the meeting and entitled to vote at the meeting.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No Delay of Rights by Meeting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Supplemental Indentures</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Supplemental Indentures Without Consent of 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and the Trustee, at the Company’s expense, may from time to time and at any time amend the Notes or enter into an indenture or indentures supplemental hereto in each case for one or more of the following purposes:</w:t>
      </w:r>
    </w:p>
    <w:p>
      <w:pPr>
        <w:spacing w:after="0" w:line="160" w:lineRule="exact"/>
        <w:rPr>
          <w:sz w:val="20"/>
          <w:szCs w:val="20"/>
          <w:color w:val="auto"/>
        </w:rPr>
      </w:pPr>
    </w:p>
    <w:p>
      <w:pPr>
        <w:ind w:left="1540" w:hanging="236"/>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mistake, ambiguity, omission, defect or inconsistency;</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Corporation of the obligations of the Company under the Notes and this Indenture pursuant to Article 11;</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Notes;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or Events of Default of the Company for the benefit of the Holders or surrender any right or power conferred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individually or in the aggregate with all other such changes, materially adversely affect the rights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Merger Event, to provide that the Notes are convertible into Reference Property, subject to the provisions of Section 14.02, and make such related changes to the terms of the Notes to the extent expressly required by Section 14.06;</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Depositary, including The Depository Trust Company, so long as such amendment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Conversion Rate as provided in this Indenture (including, without limitation, as provided in Section 14.03(n));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Trustee or successor Trustee, security registrar, Paying Agent or Conversion Agent, or to facilitate the administration of the trusts under this Indenture by more than one trustee;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PIK Payments (including to issue PIK Notes) or facilitate the same; or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establish the Conversion Rate applicable to additional Notes issued pursuant this Indenture to the extent permitted by the terms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terms and conditions applicable to such additional Notes (other than the Conversion Rate) shall be identical to the terms and conditions of the Notes initially issued on the date 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the Trustee is hereby authorized to join with the Company in the execution of any such amendment or supplemental indenture, and to make any further appropriate agreements and stipulations that may be therein contained, but the Trustee shall not be obligated to, but may in its discretion, enter into any amendment or supplemental indenture that affects the Trustee’s own rights, duties or immunities under this Indenture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amendment or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Supplemental Indentures with Consent of 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amend the Notes and/or enter into an indenture or indentures supplemental hereto in each case for the purpose of adding any provisions to or changing in any manner or eliminating any of the provisions of this Indenture, the Notes or any supplemental indenture or of modifying in any manner the rights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without the consent of each Holder of an outstanding Note affected, no such amendment or supplemental indenture shall:</w:t>
      </w:r>
    </w:p>
    <w:p>
      <w:pPr>
        <w:spacing w:after="0" w:line="185" w:lineRule="exact"/>
        <w:rPr>
          <w:sz w:val="20"/>
          <w:szCs w:val="20"/>
          <w:color w:val="auto"/>
        </w:rPr>
      </w:pPr>
    </w:p>
    <w:p>
      <w:pPr>
        <w:ind w:left="1540" w:hanging="236"/>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any amendment, supplement, waiver or other modification;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stated time for payment of interest on any Note;</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Maturity Date of any Note;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required by this Indenture, make any change that adversely affects the conversion rights of any Notes;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Conversion Rate or the Fundamental Change Repurchase Price of any Note or change the times at which, or the circumstances under which, the Notes will be redeemed or repurchased by the Company;</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a currency, or at a place of payment, other than that stated in the Note;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direct or indirect change in this Article 10 that requires each Holder’s consent or in the waiver provisions in Section 6.02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6.08.</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and upon the filing with the Trustee of evidence of the consent of Holders as aforesaid and subject to Section 10.05, the Trustee shall join with the Company in the execution of such amendment or supplemental indenture unless such amendment or supplemental indenture affects the Trustee’s own rights, duties or immunities under this Indenture or otherwise, in which case the Trustee may in its discretion, but shall not be obligated to, enter into such amendment or supplemental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do not need under this Section 10.02 to approve the particular form of any proposed amendment or supplemental indenture. It shall be sufficient if such Holders approve the substance thereof. After any such amendment or supplemental indenture becomes effective, the Company shall deliver to the Holders a notice briefly describing such amendment or supplemental indenture. However, the failure to give such notice to all the Holders, or any defect in the notice, will not impair or affect the validity of the amendment or supplemental indenture.</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Upon the execution of any amendment or supplemental indenture pursuant to the provisions of this Article 10, the Notes and/or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amendment or supplemental indenture shall be and be deemed to be part of the terms and conditions of the Notes and/or this Indenture for any and all purposes.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3" w:name="page64"/>
    <w:bookmarkEnd w:id="6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Notation on Notes</w:t>
      </w:r>
      <w:r>
        <w:rPr>
          <w:rFonts w:ascii="Times New Roman" w:cs="Times New Roman" w:eastAsia="Times New Roman" w:hAnsi="Times New Roman"/>
          <w:sz w:val="18"/>
          <w:szCs w:val="18"/>
          <w:color w:val="auto"/>
        </w:rPr>
        <w:t>. Notes authenticated and delivered after the execution of any amendment or supplemental indenture pursuant to the provisions of this Article 10 may, at the Company’s expense, bear a notation in form approved by the Trustee as to any matter provided for in such amendment or supplemental indenture. If the Company or the Trustee shall so determine, new Notes so modified as to conform, in the opinion of the Trustee and the Company, to any modification of the Notes or this Indenture contained in any such amendment or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Evidence of Compliance of Supplemental Indenture to Be Furnished Trustee</w:t>
      </w:r>
      <w:r>
        <w:rPr>
          <w:rFonts w:ascii="Times New Roman" w:cs="Times New Roman" w:eastAsia="Times New Roman" w:hAnsi="Times New Roman"/>
          <w:sz w:val="18"/>
          <w:szCs w:val="18"/>
          <w:color w:val="auto"/>
        </w:rPr>
        <w:t>. In addition to the documents required by Section 17.05, the Trustee shall receive an Officer’s Certificate and an Opinion of Counsel as conclusive evidence that any amendment or supplemental indenture executed pursuant hereto complies with the requirements of this Article 10 and is permitted or authorized by this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Consolidation, Merger, Sale, Conveyance and Lease</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Company May Consolidate, Etc. on Certain Terms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provisions of Section 11.02, the Company shall not consolidate with, merge with or into, or sell, convey, transfer or lease all or substantially all of its properties and assets of the Company and its Subsidiaries, taken as a whole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to another Person, unless:</w:t>
      </w:r>
    </w:p>
    <w:p>
      <w:pPr>
        <w:spacing w:after="0" w:line="171" w:lineRule="exact"/>
        <w:rPr>
          <w:sz w:val="20"/>
          <w:szCs w:val="20"/>
          <w:color w:val="auto"/>
        </w:rPr>
      </w:pPr>
    </w:p>
    <w:p>
      <w:pPr>
        <w:jc w:val="both"/>
        <w:ind w:firstLine="1304"/>
        <w:spacing w:after="0" w:line="259" w:lineRule="auto"/>
        <w:tabs>
          <w:tab w:leader="none" w:pos="15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either (x) is the Company or (y) if not the Company, is a corporation (the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duly organized and existing under the laws of the United States of America, any State thereof or the District of Columbia that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assumes (by executing and delivering to the Trustee, at or before the effective time of such Business Combination Event, a supplemental indenture or amendment to the Notes, as the case may be (for purposes of this Article 11, a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pursuant to Section 11.02) all of the Company’s obligations under this Indenture and the Notes; and</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under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Successor Corporation to Be Substituted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case of any such consolidation, merger, sale, conveyance, transfer or lease and upon the assumption by the Successor Corporation,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Corporation (if not the Company) shall succeed to and, except in the case of a lease of all or substantially all of the Company’s properties and assets, shall be substituted for the Company, with the same effect as if it had been named herein as the party of the first part. Such Successor Corporation thereupon may cause to be signed, and may issue either in its own name or in the name of the Company any or all of the Notes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Corporation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of any such consolidation, merger, sale, conveyance, transfer or lease, such changes in phraseology and form (but not in substance) may be made in the Notes thereafter to be issued as may be appropriate.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Delivery of Officer’s Certificate and Opinion of Counsel to the Trustee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Before the effective time of any Business Combination Event, if at such time there is a Trustee, the Company shall deliver to the Trustee an Officer’s Certificate and Opinion of Counsel, each stating that (i) such Business Combination Event (and, if applicable, the related supplemental indenture) complies with Section 11.01 and Section 11.02; and (ii) all conditions precedent to such Business Combination Event provided in this Indenture, if any, have been satisfied.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Immunity of Incorporators, Stockholders, Officers and Directors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Indenture and Notes Solely Corporate Obligations</w:t>
      </w:r>
      <w:r>
        <w:rPr>
          <w:rFonts w:ascii="Times New Roman" w:cs="Times New Roman" w:eastAsia="Times New Roman" w:hAnsi="Times New Roman"/>
          <w:sz w:val="18"/>
          <w:szCs w:val="18"/>
          <w:color w:val="auto"/>
        </w:rPr>
        <w:t>.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[Intentionally Omitted]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Conversion of Notes</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Conversion Privilege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and upon compliance with the provisions of this Article 14, each Holder of a Note shall have the right, at such Holder’s option at any time and from time to time, to convert all or any portion (if the portion to be converted is $1,000 Capitalized Principal Amount or any integral multiple of $1.00 in excess thereof) of such Note prior to the close of business on the Business Day immediately preceding the Maturity Date, in each case, at an initial conversion rate of 598.8024 shares of Common Stock (subject to adjustment as provided in this Article 14,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per $1,000 Capitalized Principal Amount of Notes (subject to, and in accordance with, the settlement provisions of Section 14.02, 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At any time following any Holder of a Note’s receipt of a Redemption Notice (but prior to the Redemption Date as set forth in such Redemption Notice), such Holder shall have the right to elect, upon delivery of a Notice of Conversion pursuant to Section 14.02(b), to convert all or any portion of such Holder’s Note based on the Conversion Rate and a Capitalized Principal Amount equal to the Redemption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Conversion Procedure; Settlement Upon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Section 14.02 and Section 14.06(a), upon conversion of any Note, the Company shall deliver to the converting Holder, in respect of each $1,000 Capitalized Principal Amount of Notes being converted, shares of Common Stock, together with cash, if applicable, in lieu of delivering any fractional share of Common Stock in accordance with subsection (j) of this Section 14.02 (“</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The Company shall deliver to the converting Holder in respect of each $1,000 Capitalized Principal Amount of Notes being converted a number of shares of Common Stock equal to the Conversion Rate in effect on the Conversion Date. Notwithstanding anything to the contrary in the Notes or this Indenture, to the extent that settlement would require the Company or any Holder to obtain any regulatory approvals or consents from, or make any filing with, any Governmental Entity, then the Company, on the one hand, and the applicable Holder, on the other hand, shall, at the request of the Company or the Holder, as applicable,</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make, or cause to be made, all filings and submissions required under applicable law, and (ii) use their commercially reasonable efforts to obtain, or cause to be obtained, approval of the transaction or relevant consent associated with the filing or the termination or expiration of the applicable waiting period (“</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xml:space="preserve">”), and notwithstanding anything to the contrary in the Notes or this Indenture, the right to convert the relevant Notes and the obligation of the Company to deliver (or cause to be delivered) any related shares of Common Stock upon such conversion shall be contingent upon, and subject to, the receipt of any required Governmental Approval (as determined by the Holder or the Company, as applicable) and any such delivery shall be delayed until such Governmental Approval is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any filing or submission fees required under applicable laws shall be paid by such Holder.</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14.02(e), before any Holder of a Note shall be entitled to convert a Note as set forth above, such Holder shall in the case of a Global Note, comply with the procedures of the Depositary in effect at that time and, if required, pay funds equal to any interest that has not been capitalized and is payable on the next Interest Payment Date to which such Holder is not entitled as set forth in Section 14.02(h) and in the case of a Physical Note (1) complete, manually sign and deliver an irrevocable notice to the Conversion Agent as set forth in the Form of Notice of Conversion (or a facsimile, PDF or other electronic transmission thereof)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any accrued interest that has not been capitalized and is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Notice of Conversion with respect to any Notes may be surrendered by a Holder thereof if such Holder has also delivered a Fundamental Change Repurchase Notice to the Company in respect of such Notes and has not validly withdrawn such Fundamental Change Repurchase Notice in accordance with Section 15.03.</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304"/>
        <w:spacing w:after="0" w:line="257"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that the Holder has complied with the requirements set forth in subsection (b) above. Except as set forth in Section 14.06(a) and Section 14.02(a), the Company shall deliver the consideration due in respect of the Conversion Obligation on the third Business Day immediately following the relevant Conversion Date. If any shares of Common Stock are due to a converting Holder, the Company shall issue or cause to be issued, and deliver (if applicable) to the converting Holder, or such Holder’s nominee or nominees, the full number of shares of Common Stock to which such Holder shall be entitled, in certificate form or in book-entry format, in satisfaction of the Company’s Conversion Obligation.</w:t>
      </w:r>
    </w:p>
    <w:p>
      <w:pPr>
        <w:spacing w:after="0" w:line="18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14.03, no adjustment shall be made for dividends on any shares of Common Stock issued upon the conversion of any Note as provided in this Article 14.</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a Holder shall not receive any separate cash payment for any accrued interest that has not been paid or capitalized, except as set forth below. The Company’s settlement of the full Conversion Obligation shall be deemed to satisfy in full its obligation to pay the Capitalized Principal Amount of the Note and any accrued interest that has not been paid or capitalized, to, but not including, the relevant Conversion Date. As a result, any accrued interest that has not been paid or capitalized to, but not including, the relevant Conversion Date shall be deemed to be paid in full rather than cancelled, extinguished or forfeited. Notwithstanding the foregoing, if Notes are converted after the close of business on a Regular Record Date, Holders of such Notes as of the close of business on such Regular Record Date will receive the full amount of interest payable on such Notes in cash at the Interest Rate and the principal of such converted Notes shall not be increased by any Capitalization Amount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such interest payable on the Notes so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(1) for conversions following the Regular Record Date immediately preceding the Maturity Date; (2) if the Company has specified a Redemption Date that is after a Regular Record Date and on or prior to the Business Day immediately following the corresponding Interest Payment Date; (3) if the Company has specified a Fundamental Change Repurchase Date that is after a Regular Record Date and on or prior to the Business Day immediately following the corresponding Interest Payment Date; or (4) to the extent of any Defaulted Amounts, if any Defaulted Amounts exists at the time of conversion with respect to such Note. Therefore, for the avoidance of doubt, all Holders of record on the Regular Record Date immediately preceding the Maturity Date shall receive the full interest payment due on the Maturity Date in cash at the Interest Rate regardless of whether their Notes have been converted following such Regular Record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both"/>
        <w:ind w:firstLine="1304"/>
        <w:spacing w:after="0" w:line="266" w:lineRule="auto"/>
        <w:tabs>
          <w:tab w:leader="none" w:pos="15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14.02(a), the Person in whose name the shares of Common Stock shall be issuable upon conversion shall be treated as a stockholder of record as of the close of business on the relevant Conversion Date. Upon a conversion of Notes, such Person shall no longer be a Holder of such Notes surrendered for conversion.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share of Common Stock upon conversion of the Notes and shall instead pay cash in lieu of delivering any fractional share of Common Stock issuable upon conversion based on the Daily VWAP for the relevant Conversion Date.</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u w:val="single" w:color="auto"/>
          <w:color w:val="auto"/>
        </w:rPr>
        <w:t>Adjustment of Conversion Rate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Section 14.03(n),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Common Stock and solely as a result of holding the Notes, in any of the transactions described in this Section 14.03, without having to convert their Notes, as if they held a number of shares of Common Stock equal to the Conversion Rate for each $1,000 Capitalized Principal Amount of Notes held by such Holder.</w:t>
      </w:r>
    </w:p>
    <w:p>
      <w:pPr>
        <w:spacing w:after="0" w:line="184" w:lineRule="exact"/>
        <w:rPr>
          <w:sz w:val="20"/>
          <w:szCs w:val="20"/>
          <w:color w:val="auto"/>
        </w:rPr>
      </w:pPr>
    </w:p>
    <w:p>
      <w:pPr>
        <w:ind w:firstLine="1304"/>
        <w:spacing w:after="0" w:line="282"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36" w:lineRule="exact"/>
        <w:rPr>
          <w:sz w:val="20"/>
          <w:szCs w:val="20"/>
          <w:color w:val="auto"/>
        </w:rPr>
      </w:pPr>
    </w:p>
    <w:p>
      <w:pPr>
        <w:jc w:val="right"/>
        <w:ind w:right="7780"/>
        <w:spacing w:after="0"/>
        <w:tabs>
          <w:tab w:leader="none" w:pos="9080" w:val="left"/>
          <w:tab w:leader="none" w:pos="8780" w:val="left"/>
          <w:tab w:leader="none" w:pos="8060" w:val="left"/>
        </w:tabs>
        <w:rPr>
          <w:sz w:val="20"/>
          <w:szCs w:val="20"/>
          <w:color w:val="auto"/>
        </w:rPr>
      </w:pPr>
      <w:r>
        <w:rPr>
          <w:rFonts w:ascii="Times New Roman" w:cs="Times New Roman" w:eastAsia="Times New Roman" w:hAnsi="Times New Roman"/>
          <w:sz w:val="35"/>
          <w:szCs w:val="35"/>
          <w:color w:val="auto"/>
          <w:vertAlign w:val="subscript"/>
        </w:rPr>
        <w:t>CR</w:t>
      </w: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36"/>
          <w:szCs w:val="36"/>
          <w:color w:val="auto"/>
          <w:vertAlign w:val="subscript"/>
        </w:rPr>
        <w:t>=</w:t>
      </w:r>
      <w:r>
        <w:rPr>
          <w:rFonts w:ascii="Times New Roman" w:cs="Times New Roman" w:eastAsia="Times New Roman" w:hAnsi="Times New Roman"/>
          <w:sz w:val="36"/>
          <w:szCs w:val="36"/>
          <w:color w:val="auto"/>
        </w:rPr>
        <w:tab/>
      </w:r>
      <w:r>
        <w:rPr>
          <w:rFonts w:ascii="Times New Roman" w:cs="Times New Roman" w:eastAsia="Times New Roman" w:hAnsi="Times New Roman"/>
          <w:sz w:val="36"/>
          <w:szCs w:val="36"/>
          <w:color w:val="auto"/>
          <w:vertAlign w:val="subscript"/>
        </w:rPr>
        <w:t>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36"/>
          <w:szCs w:val="36"/>
          <w:color w:val="auto"/>
          <w:vertAlign w:val="subscript"/>
        </w:rPr>
        <w:t>×</w:t>
      </w:r>
      <w:r>
        <w:rPr>
          <w:sz w:val="20"/>
          <w:szCs w:val="20"/>
          <w:color w:val="auto"/>
        </w:rPr>
        <w:tab/>
      </w:r>
      <w:r>
        <w:rPr>
          <w:rFonts w:ascii="Times New Roman" w:cs="Times New Roman" w:eastAsia="Times New Roman" w:hAnsi="Times New Roman"/>
          <w:sz w:val="26"/>
          <w:szCs w:val="26"/>
          <w:color w:val="auto"/>
          <w:vertAlign w:val="superscript"/>
        </w:rPr>
        <w:t>OS</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-17780</wp:posOffset>
            </wp:positionV>
            <wp:extent cx="3517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1790" cy="17145"/>
                    </a:xfrm>
                    <a:prstGeom prst="rect">
                      <a:avLst/>
                    </a:prstGeom>
                    <a:noFill/>
                  </pic:spPr>
                </pic:pic>
              </a:graphicData>
            </a:graphic>
          </wp:anchor>
        </w:drawing>
      </w:r>
    </w:p>
    <w:p>
      <w:pPr>
        <w:jc w:val="right"/>
        <w:ind w:right="7780"/>
        <w:spacing w:after="0" w:line="182" w:lineRule="auto"/>
        <w:rPr>
          <w:sz w:val="20"/>
          <w:szCs w:val="20"/>
          <w:color w:val="auto"/>
        </w:rPr>
      </w:pPr>
      <w:r>
        <w:rPr>
          <w:rFonts w:ascii="Times New Roman" w:cs="Times New Roman" w:eastAsia="Times New Roman" w:hAnsi="Times New Roman"/>
          <w:sz w:val="17"/>
          <w:szCs w:val="17"/>
          <w:color w:val="auto"/>
        </w:rPr>
        <w:t>OS</w:t>
      </w:r>
      <w:r>
        <w:rPr>
          <w:rFonts w:ascii="Times New Roman" w:cs="Times New Roman" w:eastAsia="Times New Roman" w:hAnsi="Times New Roman"/>
          <w:sz w:val="28"/>
          <w:szCs w:val="28"/>
          <w:color w:val="auto"/>
          <w:vertAlign w:val="subscript"/>
        </w:rPr>
        <w:t>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the Conversion Rate in effect immediately after the open of business on such Ex-Dividend Date or Effective Date;</w:t>
      </w:r>
    </w:p>
    <w:p>
      <w:pPr>
        <w:spacing w:after="0" w:line="6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number of shares of Common Stock outstanding immediately prior to the open of business on such Ex-Dividend Date or Effective Date (before giving effect to any such dividend, distribution, split or combination); and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the number of shares of Common Stock outstanding immediately after giving effect to such dividend, distribution, share split or share combination.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adjustment made under this Section 14.03(a)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14.03(a)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304"/>
        <w:spacing w:after="0" w:line="258" w:lineRule="auto"/>
        <w:tabs>
          <w:tab w:leader="none" w:pos="15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to all or substantially all holders of the Common Stock any rights, options or warrants (other than in connection with a stockholder rights plan) entitling them, for a period of not more than 60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spacing w:after="0" w:line="54" w:lineRule="exact"/>
        <w:rPr>
          <w:sz w:val="20"/>
          <w:szCs w:val="20"/>
          <w:color w:val="auto"/>
        </w:rPr>
      </w:pPr>
    </w:p>
    <w:tbl>
      <w:tblPr>
        <w:tblLayout w:type="fixed"/>
        <w:tblInd w:w="1600" w:type="dxa"/>
        <w:tblCellMar>
          <w:top w:w="0" w:type="dxa"/>
          <w:left w:w="0" w:type="dxa"/>
          <w:bottom w:w="0" w:type="dxa"/>
          <w:right w:w="0" w:type="dxa"/>
        </w:tblCellMar>
      </w:tblPr>
      <w:tr>
        <w:trPr>
          <w:trHeight w:val="384"/>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 CR</w:t>
            </w:r>
            <w:r>
              <w:rPr>
                <w:rFonts w:ascii="Times New Roman" w:cs="Times New Roman" w:eastAsia="Times New Roman" w:hAnsi="Times New Roman"/>
                <w:sz w:val="29"/>
                <w:szCs w:val="29"/>
                <w:color w:val="auto"/>
                <w:w w:val="99"/>
                <w:vertAlign w:val="subscript"/>
              </w:rPr>
              <w:t>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X</w:t>
            </w:r>
          </w:p>
        </w:tc>
        <w:tc>
          <w:tcPr>
            <w:tcW w:w="0" w:type="dxa"/>
            <w:vAlign w:val="bottom"/>
          </w:tcPr>
          <w:p>
            <w:pPr>
              <w:spacing w:after="0"/>
              <w:rPr>
                <w:sz w:val="1"/>
                <w:szCs w:val="1"/>
                <w:color w:val="auto"/>
              </w:rPr>
            </w:pPr>
          </w:p>
        </w:tc>
      </w:tr>
      <w:tr>
        <w:trPr>
          <w:trHeight w:val="202"/>
        </w:trPr>
        <w:tc>
          <w:tcPr>
            <w:tcW w:w="38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w w:val="91"/>
              </w:rPr>
              <w:t>OS</w:t>
            </w:r>
            <w:r>
              <w:rPr>
                <w:rFonts w:ascii="Times New Roman" w:cs="Times New Roman" w:eastAsia="Times New Roman" w:hAnsi="Times New Roman"/>
                <w:sz w:val="29"/>
                <w:szCs w:val="29"/>
                <w:color w:val="auto"/>
                <w:w w:val="91"/>
                <w:vertAlign w:val="subscript"/>
              </w:rPr>
              <w:t>0</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Y</w:t>
            </w: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right="2400"/>
        <w:spacing w:after="0" w:line="349"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open of business on the Ex-Dividend Date for such issuance; CR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the Conversion Rate in effect immediately after the open of business on such Ex-Dividend Date;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number of shares of Common Stock outstanding immediately prior to the open of business on such Ex-Dividend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 the total number of shares of Common Stock issuable pursuant to such rights, options or warrants; and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Y = the number of shares of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increase made under this Section 14.03(b)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14.03(b), in determining whether any rights, options or warrants entitle the holders to subscribe for or purchase shares of the Common Stock at less than such average of the Last Reported Sale Prices of the Common Stock for the 10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304"/>
        <w:spacing w:after="0" w:line="254" w:lineRule="auto"/>
        <w:tabs>
          <w:tab w:leader="none" w:pos="15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dividends, distributions or issuances as to which an adjustment was effected pursuant to Section 14.03(a) or Section 14.03(b), except as otherwise provided in Section 14.09, rights issued pursuant to any stockholder rights plan of the Company then in effect, distributions of Reference Property in exchange for, or upon conversion of, Common Stock in a Merger Event, dividends or distributions paid exclusively in cash as to which the provisions set forth in Section 14.03(d) shall apply, and Spin-Offs as to which the provisions set forth below in this Section 14.03(c)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 Conversion Rate shall be increased based on the following formula:</w:t>
      </w:r>
    </w:p>
    <w:p>
      <w:pPr>
        <w:spacing w:after="0" w:line="62" w:lineRule="exact"/>
        <w:rPr>
          <w:sz w:val="20"/>
          <w:szCs w:val="20"/>
          <w:color w:val="auto"/>
        </w:rPr>
      </w:pPr>
    </w:p>
    <w:tbl>
      <w:tblPr>
        <w:tblLayout w:type="fixed"/>
        <w:tblInd w:w="1600" w:type="dxa"/>
        <w:tblCellMar>
          <w:top w:w="0" w:type="dxa"/>
          <w:left w:w="0" w:type="dxa"/>
          <w:bottom w:w="0" w:type="dxa"/>
          <w:right w:w="0" w:type="dxa"/>
        </w:tblCellMar>
      </w:tblPr>
      <w:tr>
        <w:trPr>
          <w:trHeight w:val="384"/>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 CR</w:t>
            </w:r>
            <w:r>
              <w:rPr>
                <w:rFonts w:ascii="Times New Roman" w:cs="Times New Roman" w:eastAsia="Times New Roman" w:hAnsi="Times New Roman"/>
                <w:sz w:val="29"/>
                <w:szCs w:val="29"/>
                <w:color w:val="auto"/>
                <w:w w:val="99"/>
                <w:vertAlign w:val="subscript"/>
              </w:rPr>
              <w:t>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87"/>
              </w:rPr>
              <w:t>SP</w:t>
            </w:r>
            <w:r>
              <w:rPr>
                <w:rFonts w:ascii="Times New Roman" w:cs="Times New Roman" w:eastAsia="Times New Roman" w:hAnsi="Times New Roman"/>
                <w:sz w:val="29"/>
                <w:szCs w:val="29"/>
                <w:color w:val="auto"/>
                <w:w w:val="87"/>
                <w:vertAlign w:val="subscript"/>
              </w:rPr>
              <w:t>0</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FMV</w:t>
            </w: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right="2180"/>
        <w:spacing w:after="0" w:line="349"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open of business on the Ex-Dividend Date for such distribution; CR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the Conversion Rate in effect immediately after the open of business on such Ex-Dividend Date;</w:t>
      </w:r>
    </w:p>
    <w:p>
      <w:pPr>
        <w:spacing w:after="0" w:line="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average of the Last Reported Sale Prices of the Common Stock over the 10 consecutive Trading Day period ending on, and including, the Trading Day immediately preceding the Ex-Dividend Date for such distribution; and</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FMV = the fair market value (as determined by the Company) of the Distributed Property with respect to each outstanding share of the Common Stock on the Ex-Dividend Date for such distribution.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increase made under the portion of this Section 14.03(c)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“SP0” (as defined above), in lieu of the foregoing increase, each Holder of a Note shall receive, in respect of each $1,000 Capitalized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 If the Company determines the “FMV” (as defined above) of any distribution for purposes of this Section 14.03(c) by reference to the actual or when-issued trading market for any securities, it shall in doing so consider the prices in such market over the same period used in computing the Last Reported Sale Prices of the Common Stock over the 10 consecutive Trading Day period ending on, and including, the Trading Day immediately preceding the Ex-Dividend Date for such distribution.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an adjustment pursuant to this Section 14.03(c)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50" w:lineRule="exact"/>
        <w:rPr>
          <w:sz w:val="20"/>
          <w:szCs w:val="20"/>
          <w:color w:val="auto"/>
        </w:rPr>
      </w:pPr>
    </w:p>
    <w:tbl>
      <w:tblPr>
        <w:tblLayout w:type="fixed"/>
        <w:tblInd w:w="1600" w:type="dxa"/>
        <w:tblCellMar>
          <w:top w:w="0" w:type="dxa"/>
          <w:left w:w="0" w:type="dxa"/>
          <w:bottom w:w="0" w:type="dxa"/>
          <w:right w:w="0" w:type="dxa"/>
        </w:tblCellMar>
      </w:tblPr>
      <w:tr>
        <w:trPr>
          <w:trHeight w:val="384"/>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 CR</w:t>
            </w:r>
            <w:r>
              <w:rPr>
                <w:rFonts w:ascii="Times New Roman" w:cs="Times New Roman" w:eastAsia="Times New Roman" w:hAnsi="Times New Roman"/>
                <w:sz w:val="29"/>
                <w:szCs w:val="29"/>
                <w:color w:val="auto"/>
                <w:w w:val="99"/>
                <w:vertAlign w:val="subscript"/>
              </w:rPr>
              <w:t>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FMV</w:t>
            </w:r>
            <w:r>
              <w:rPr>
                <w:rFonts w:ascii="Times New Roman" w:cs="Times New Roman" w:eastAsia="Times New Roman" w:hAnsi="Times New Roman"/>
                <w:sz w:val="29"/>
                <w:szCs w:val="29"/>
                <w:color w:val="auto"/>
                <w:w w:val="94"/>
                <w:vertAlign w:val="subscript"/>
              </w:rPr>
              <w:t>0</w:t>
            </w:r>
            <w:r>
              <w:rPr>
                <w:rFonts w:ascii="Times New Roman" w:cs="Times New Roman" w:eastAsia="Times New Roman" w:hAnsi="Times New Roman"/>
                <w:sz w:val="18"/>
                <w:szCs w:val="18"/>
                <w:color w:val="auto"/>
                <w:w w:val="94"/>
              </w:rPr>
              <w:t xml:space="preserve"> + MP</w:t>
            </w:r>
            <w:r>
              <w:rPr>
                <w:rFonts w:ascii="Times New Roman" w:cs="Times New Roman" w:eastAsia="Times New Roman" w:hAnsi="Times New Roman"/>
                <w:sz w:val="29"/>
                <w:szCs w:val="29"/>
                <w:color w:val="auto"/>
                <w:w w:val="94"/>
                <w:vertAlign w:val="subscript"/>
              </w:rPr>
              <w:t>0</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MP</w:t>
            </w:r>
            <w:r>
              <w:rPr>
                <w:rFonts w:ascii="Times New Roman" w:cs="Times New Roman" w:eastAsia="Times New Roman" w:hAnsi="Times New Roman"/>
                <w:sz w:val="29"/>
                <w:szCs w:val="29"/>
                <w:color w:val="auto"/>
                <w:w w:val="95"/>
                <w:vertAlign w:val="subscript"/>
              </w:rPr>
              <w:t>0</w:t>
            </w: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right="4760"/>
        <w:spacing w:after="0" w:line="362" w:lineRule="auto"/>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xml:space="preserve"> = the Conversion Rate in effect immediately prior to the end of the Valuation Period; CR</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 the Conversion Rate in effect immediately after the end of the Valuation Period;</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“Valuation Period”); and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average of the Last Reported Sale Prices of the Common Stock over the Valuation Period.</w:t>
      </w: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Conversion Date occurs during the Valuation Period, references to “10” in the preceding paragraph shall be deemed to be replaced with such lesser number of Trading Days as have elapsed from, and including, the Ex-Dividend Date of such Spin-Off to, and including, the Conversion Date in determining the Conversion Rate.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purposes of this Section 14.03(c) (and subject in all respect to Section 14.09),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(i) are deemed to be transferred with such shares of the Common Stock; (ii) are not exercisable; and (iii) are also issued in respect of future issuances of the Common Stock, shall be deemed not to have been distributed for purposes of this Section 14.03(c) (and no adjustment to the Conversion Rate under this Section 14.03(c) will be required) until the occurrence of the earliest Trigger Event, whereupon such rights, options or warrants shall be deemed to have been distributed and an appropriate adjustment (if any is required) to the Conversion Rate shall be made under this Section 14.03(c).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14.03(c)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Section 14.03(a), Section 14.03(b) and this Section 14.03(c), if any dividend or distribution to which this Section 14.03(c) is applicable also includes one or both of:</w:t>
      </w:r>
    </w:p>
    <w:p>
      <w:pPr>
        <w:spacing w:after="0" w:line="158" w:lineRule="exact"/>
        <w:rPr>
          <w:sz w:val="20"/>
          <w:szCs w:val="20"/>
          <w:color w:val="auto"/>
        </w:rPr>
      </w:pPr>
    </w:p>
    <w:p>
      <w:pPr>
        <w:ind w:left="1300" w:right="20" w:firstLine="652"/>
        <w:spacing w:after="0" w:line="286" w:lineRule="auto"/>
        <w:tabs>
          <w:tab w:leader="none" w:pos="22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shares of Common Stock to which Section 14.03(a) is applicable (the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or</w:t>
      </w:r>
    </w:p>
    <w:p>
      <w:pPr>
        <w:spacing w:after="0" w:line="154" w:lineRule="exact"/>
        <w:rPr>
          <w:rFonts w:ascii="Times New Roman" w:cs="Times New Roman" w:eastAsia="Times New Roman" w:hAnsi="Times New Roman"/>
          <w:sz w:val="18"/>
          <w:szCs w:val="18"/>
          <w:color w:val="auto"/>
        </w:rPr>
      </w:pPr>
    </w:p>
    <w:p>
      <w:pPr>
        <w:ind w:left="1300" w:firstLine="652"/>
        <w:spacing w:after="0" w:line="286" w:lineRule="auto"/>
        <w:tabs>
          <w:tab w:leader="none" w:pos="22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Section 14.03(b) is applicable (the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Section 14.03(c) 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 Section 14.03(c) with respect to such Clause C Distribution shall then be made, and (2) the Clause A Distribution and Clause B Distribution shall be deemed to immediately follow the Clause C Distribution and any Conversion Rate adjustment required by Section 14.03(a) and Section 14.03(b)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14.03(a) or “outstanding immediately prior to the open of business on such Ex-Dividend Date” within the meaning of Section 14.03(b).</w:t>
      </w:r>
    </w:p>
    <w:p>
      <w:pPr>
        <w:spacing w:after="0" w:line="188" w:lineRule="exact"/>
        <w:rPr>
          <w:sz w:val="20"/>
          <w:szCs w:val="20"/>
          <w:color w:val="auto"/>
        </w:rPr>
      </w:pPr>
    </w:p>
    <w:p>
      <w:pPr>
        <w:ind w:firstLine="1304"/>
        <w:spacing w:after="0" w:line="282" w:lineRule="auto"/>
        <w:tabs>
          <w:tab w:leader="none" w:pos="15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cash dividend or distribution is made to all or substantially all holders of the Common Stock, the Conversion Rate shall be adjusted based on the following formula:</w:t>
      </w:r>
    </w:p>
    <w:p>
      <w:pPr>
        <w:spacing w:after="0" w:line="32" w:lineRule="exact"/>
        <w:rPr>
          <w:sz w:val="20"/>
          <w:szCs w:val="20"/>
          <w:color w:val="auto"/>
        </w:rPr>
      </w:pPr>
    </w:p>
    <w:tbl>
      <w:tblPr>
        <w:tblLayout w:type="fixed"/>
        <w:tblInd w:w="1600" w:type="dxa"/>
        <w:tblCellMar>
          <w:top w:w="0" w:type="dxa"/>
          <w:left w:w="0" w:type="dxa"/>
          <w:bottom w:w="0" w:type="dxa"/>
          <w:right w:w="0" w:type="dxa"/>
        </w:tblCellMar>
      </w:tblPr>
      <w:tr>
        <w:trPr>
          <w:trHeight w:val="384"/>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 CR</w:t>
            </w:r>
            <w:r>
              <w:rPr>
                <w:rFonts w:ascii="Times New Roman" w:cs="Times New Roman" w:eastAsia="Times New Roman" w:hAnsi="Times New Roman"/>
                <w:sz w:val="29"/>
                <w:szCs w:val="29"/>
                <w:color w:val="auto"/>
                <w:w w:val="99"/>
                <w:vertAlign w:val="subscript"/>
              </w:rPr>
              <w:t>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w:t>
            </w:r>
          </w:p>
        </w:tc>
        <w:tc>
          <w:tcPr>
            <w:tcW w:w="146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w w:val="87"/>
              </w:rPr>
              <w:t>SP</w:t>
            </w:r>
            <w:r>
              <w:rPr>
                <w:rFonts w:ascii="Times New Roman" w:cs="Times New Roman" w:eastAsia="Times New Roman" w:hAnsi="Times New Roman"/>
                <w:sz w:val="29"/>
                <w:szCs w:val="29"/>
                <w:color w:val="auto"/>
                <w:w w:val="87"/>
                <w:vertAlign w:val="subscript"/>
              </w:rPr>
              <w:t>0</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C</w:t>
            </w: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right="1320"/>
        <w:spacing w:after="0" w:line="451" w:lineRule="auto"/>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xml:space="preserve"> = the Conversion Rate in effect immediately prior to the open of business on the Ex-Dividend Date for such dividend or distribution; CR</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 the Conversion Rate in effect immediately after the open of business on the Ex-Dividend Date for such dividend or distribution;</w:t>
      </w:r>
    </w:p>
    <w:p>
      <w:pPr>
        <w:jc w:val="both"/>
        <w:spacing w:after="0" w:line="239" w:lineRule="auto"/>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Last Reported Sale Price of the Common Stock on the Trading Day immediately preceding the Ex-Dividend Date for such dividend or distribution; and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 the amount in cash per share the Company distributes to all or substantially all holders of the Common Stock.</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increase pursuant to this Section 14.03(d)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Capitalized Principal Amount of Notes,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304"/>
        <w:spacing w:after="0" w:line="258" w:lineRule="auto"/>
        <w:tabs>
          <w:tab w:leader="none" w:pos="15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 a payment in respect of a tender or exchange offer for the Common Stock that is subject to the then 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125" w:lineRule="exact"/>
        <w:rPr>
          <w:sz w:val="20"/>
          <w:szCs w:val="20"/>
          <w:color w:val="auto"/>
        </w:rPr>
      </w:pPr>
    </w:p>
    <w:tbl>
      <w:tblPr>
        <w:tblLayout w:type="fixed"/>
        <w:tblInd w:w="1600" w:type="dxa"/>
        <w:tblCellMar>
          <w:top w:w="0" w:type="dxa"/>
          <w:left w:w="0" w:type="dxa"/>
          <w:bottom w:w="0" w:type="dxa"/>
          <w:right w:w="0" w:type="dxa"/>
        </w:tblCellMar>
      </w:tblPr>
      <w:tr>
        <w:trPr>
          <w:trHeight w:val="340"/>
        </w:trPr>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CR ×</w:t>
            </w:r>
          </w:p>
        </w:tc>
        <w:tc>
          <w:tcPr>
            <w:tcW w:w="18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AC + (SP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OS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3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80" w:type="dxa"/>
            <w:vAlign w:val="bottom"/>
          </w:tcPr>
          <w:p>
            <w:pPr>
              <w:jc w:val="right"/>
              <w:ind w:right="58"/>
              <w:spacing w:after="0" w:line="202" w:lineRule="exact"/>
              <w:rPr>
                <w:sz w:val="20"/>
                <w:szCs w:val="20"/>
                <w:color w:val="auto"/>
              </w:rPr>
            </w:pPr>
            <w:r>
              <w:rPr>
                <w:rFonts w:ascii="Times New Roman" w:cs="Times New Roman" w:eastAsia="Times New Roman" w:hAnsi="Times New Roman"/>
                <w:sz w:val="18"/>
                <w:szCs w:val="18"/>
                <w:color w:val="auto"/>
                <w:w w:val="91"/>
              </w:rPr>
              <w:t>CR</w:t>
            </w:r>
          </w:p>
        </w:tc>
        <w:tc>
          <w:tcPr>
            <w:tcW w:w="720" w:type="dxa"/>
            <w:vAlign w:val="bottom"/>
          </w:tcPr>
          <w:p>
            <w:pPr>
              <w:jc w:val="right"/>
              <w:ind w:right="98"/>
              <w:spacing w:after="0"/>
              <w:rPr>
                <w:sz w:val="20"/>
                <w:szCs w:val="20"/>
                <w:color w:val="auto"/>
              </w:rPr>
            </w:pPr>
            <w:r>
              <w:rPr>
                <w:rFonts w:ascii="Times New Roman" w:cs="Times New Roman" w:eastAsia="Times New Roman" w:hAnsi="Times New Roman"/>
                <w:sz w:val="15"/>
                <w:szCs w:val="15"/>
                <w:color w:val="auto"/>
              </w:rPr>
              <w:t>0</w:t>
            </w:r>
          </w:p>
        </w:tc>
        <w:tc>
          <w:tcPr>
            <w:tcW w:w="8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w w:val="91"/>
              </w:rPr>
              <w:t>OS</w:t>
            </w:r>
            <w:r>
              <w:rPr>
                <w:rFonts w:ascii="Times New Roman" w:cs="Times New Roman" w:eastAsia="Times New Roman" w:hAnsi="Times New Roman"/>
                <w:sz w:val="29"/>
                <w:szCs w:val="29"/>
                <w:color w:val="auto"/>
                <w:w w:val="91"/>
                <w:vertAlign w:val="subscript"/>
              </w:rPr>
              <w:t>0</w:t>
            </w: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SP</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close of business on the 10th Trading Day immediately following, and including, the Trading Day next succeeding the date such tender or exchange offer expires;</w:t>
      </w:r>
    </w:p>
    <w:p>
      <w:pPr>
        <w:spacing w:after="0" w:line="117"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the Conversion Rate in effect immediately after the close of business on the 10th Trading Day immediately following, and including, the Trading Day next succeeding the date such tender or exchange offer expires;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 = the aggregate value of all cash and any other consideration (as determined by the Company) paid or payable for shares of Common Stock purchased in such tender or exchange offer;</w:t>
      </w:r>
    </w:p>
    <w:p>
      <w:pPr>
        <w:spacing w:after="0" w:line="32"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 the average of the Last Reported Sale Prices of the Common Stock over the 10 consecutive Trading Day period commencing on, and including, the Trading Day next succeeding the date such tender or exchange offer expires.</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this Section 14.03(e)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or one of its Subsidiaries is obligated to purchase shares of Common Stock pursuant to any such tender or exchange offer described in this Section 14.03(e)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spacing w:after="0" w:line="180" w:lineRule="exact"/>
        <w:rPr>
          <w:sz w:val="20"/>
          <w:szCs w:val="20"/>
          <w:color w:val="auto"/>
        </w:rPr>
      </w:pPr>
    </w:p>
    <w:p>
      <w:pPr>
        <w:jc w:val="both"/>
        <w:ind w:firstLine="1304"/>
        <w:spacing w:after="0" w:line="255" w:lineRule="auto"/>
        <w:tabs>
          <w:tab w:leader="none" w:pos="15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this Section 14.03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Section 14.02(i) based on an adjusted Conversion Rate for such Ex-Dividend Date, then, notwithstanding the Conversion Rate adjustment provisions in this Section 14.03,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those adjustments required by clauses (a), (b), (c), (d) and (e) of this Section 14.03,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Company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deliver to the Holder of each Note a notice of the increase at least 15 days prior to the date the increased Conversion Rate takes effect, and such notice shall state the increased Conversion Rate and the period during which it will be in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1520" w:hanging="216"/>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14, the Conversion Rate shall not be adjusted: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7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2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or options or rights to purchase those shares pursuant to any present or future employee, director or consultant benefit or incentive plan or program of or assumed by the Company or any of the Company’s Subsidiaries;</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2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the Common Stock pursuant to any option, warrant, right or exercisable, exchangeable or convertible security not described in clause (ii) of this subsection and outstanding as of the date the Notes were first issued;</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8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third-party tender offer by any party other than a tender offer by one or more of the Company’s Subsidiaries as described in clause (e) of this Section 14.03;</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0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repurchase of any shares of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Section 14.03;</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of the Common Stock; or</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interest, if any.</w:t>
      </w:r>
    </w:p>
    <w:p>
      <w:pPr>
        <w:spacing w:after="0" w:line="225" w:lineRule="exact"/>
        <w:rPr>
          <w:sz w:val="20"/>
          <w:szCs w:val="20"/>
          <w:color w:val="auto"/>
        </w:rPr>
      </w:pPr>
    </w:p>
    <w:p>
      <w:pPr>
        <w:ind w:firstLine="1304"/>
        <w:spacing w:after="0" w:line="282" w:lineRule="auto"/>
        <w:tabs>
          <w:tab w:leader="none" w:pos="15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other determinations under this Article 14 shall be made by the Company and shall be made to the nearest one-ten thousandth (1/10,000th) of a share.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adjustment to the Conversion Rate otherwise required by this Section 14.03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the Conversion Date for any Notes, (iii) the Cut-off Date, (iv) on any date on which the Company delivers a Redemption Notice, and (v) on the effective date of any Fundamental Change, in each case, unless the adjustment has already been made.</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304"/>
        <w:spacing w:after="0" w:line="261" w:lineRule="auto"/>
        <w:tabs>
          <w:tab w:leader="none" w:pos="16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14.03,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Prior to June 30, 2023,the Company shall not distribute or issue any evidences of indebtedness, shares or other securities directly or indirectly convertible into or exchangeable for Common Stock, including any subsequent issuance pursuant to this Indenture, at a price per share less than $1.35 (subject to adjustment with respect to stock splits and consolidations, stock dividends, stock combinations and similar transactions), without the consent of Holders of a majority in principal amount of the outstanding Notes, other than with respect to any Permitted SEPA Indebtedness, securities issued to employees or consultants pursuant to an equity compensation plan or direct issuances of Common Stock.</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Adjustments of Prices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Whenever any provision of this Indenture requires the Company to calculate the Last Reported Sale Prices or the Daily VWAPs over a span of multiple days (including, without limitation, an Observation Period), the Company shall make any adjustments to each that the Company reasonably determines to be appropriate to account for any adjustment to the Conversion Rate that becomes effective, or any event requiring an adjustment to the Conversion Rate where the Record Date, Ex-Dividend Date, Effective Date or expiration date, as the case may be, of the event occurs, at any time during the period when the Last Reported Sale Prices or the Daily VWAPs are to be calculated.</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u w:val="single" w:color="auto"/>
          <w:color w:val="auto"/>
        </w:rPr>
        <w:t>Shares to Be Fully Paid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provide, free from preemptive rights, out of its authorized but unissued shares or shares held in treasury, sufficient shares of Common Stock to provide for conversion of the Notes from time to time as such Notes are presented for conversion (assuming that at the time of computation of such number of shares, all such Notes would be converted by a single Holder).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u w:val="single" w:color="auto"/>
          <w:color w:val="auto"/>
        </w:rPr>
        <w:t>Effect of Recapitalizations, Reclassifications and Changes of the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8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Common Stock (other than changes resulting from a subdivision or combination),</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combination or similar transaction involving the Company,</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7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and the Company’s Subsidiaries substantially as an entirety or</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7"/>
          <w:szCs w:val="17"/>
          <w:b w:val="1"/>
          <w:bCs w:val="1"/>
          <w:color w:val="auto"/>
        </w:rPr>
        <w:t>Merger Event</w:t>
      </w:r>
      <w:r>
        <w:rPr>
          <w:rFonts w:ascii="Times New Roman" w:cs="Times New Roman" w:eastAsia="Times New Roman" w:hAnsi="Times New Roman"/>
          <w:sz w:val="17"/>
          <w:szCs w:val="17"/>
          <w:color w:val="auto"/>
        </w:rPr>
        <w:t>”), then, at and after the effective time of such Merger Event, the right to convert each $1,000 Capitalized Principal Amount of Notes shall be changed into a right to convert such Capitalized Principal Amount of Notes into the kind and amount of shares of stock, other securities or other property or assets (including cash or any combination thereof) that a holder of a number of shares of Common Stock equal to the Conversion Rate immediately prior to such Merger Event would have owned or been entitled to receive (the “</w:t>
      </w:r>
      <w:r>
        <w:rPr>
          <w:rFonts w:ascii="Times New Roman" w:cs="Times New Roman" w:eastAsia="Times New Roman" w:hAnsi="Times New Roman"/>
          <w:sz w:val="17"/>
          <w:szCs w:val="17"/>
          <w:b w:val="1"/>
          <w:bCs w:val="1"/>
          <w:color w:val="auto"/>
        </w:rPr>
        <w:t>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with each “</w:t>
      </w:r>
      <w:r>
        <w:rPr>
          <w:rFonts w:ascii="Times New Roman" w:cs="Times New Roman" w:eastAsia="Times New Roman" w:hAnsi="Times New Roman"/>
          <w:sz w:val="17"/>
          <w:szCs w:val="17"/>
          <w:b w:val="1"/>
          <w:bCs w:val="1"/>
          <w:color w:val="auto"/>
        </w:rPr>
        <w:t>unit of Reference Property</w:t>
      </w:r>
      <w:r>
        <w:rPr>
          <w:rFonts w:ascii="Times New Roman" w:cs="Times New Roman" w:eastAsia="Times New Roman" w:hAnsi="Times New Roman"/>
          <w:sz w:val="17"/>
          <w:szCs w:val="17"/>
          <w:color w:val="auto"/>
        </w:rPr>
        <w:t>” meaning the kind and amount of Reference Property that a holder of one share of Common Stock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entitled to receive) upon such Merger Event and, prior to or at the effective time of such Merger Event, the Company or the successor or purchasing Person, as the case may be, shall amend the Notes and/or execute with the Trustee a supplemental indenture (in each case permitted under Section 10.01(g)) providing for such change in the right to convert each $1,000 Capitalized Principal Amount of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at and after the effective time of the Merger Event (A) any amount payable in cash upon conversion of the Notes in accordance with Section 14.02 shall continue to be payable in cash,</w:t>
      </w:r>
    </w:p>
    <w:p>
      <w:pPr>
        <w:spacing w:after="0" w:line="4" w:lineRule="exact"/>
        <w:rPr>
          <w:sz w:val="20"/>
          <w:szCs w:val="20"/>
          <w:color w:val="auto"/>
        </w:rPr>
      </w:pPr>
    </w:p>
    <w:p>
      <w:pPr>
        <w:jc w:val="both"/>
        <w:ind w:firstLine="8"/>
        <w:spacing w:after="0" w:line="255" w:lineRule="auto"/>
        <w:tabs>
          <w:tab w:leader="none" w:pos="2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been entitled to receive in such Merger Event and (C) the Daily VWAP shall be calculated based on the value of a unit of Reference Property.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the Merger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the Common Stock receive only cash in such Merger Event, then for all conversions for which the relevant Conversion Date occurs after the effective date of such Merger Event (A) the consideration due upon conversion of each $1,000 Capitalized Principal Amount of Notes shall be solely cash in an amount equal to the Conversion Rate in effect on the Conversion Date,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price paid per share of Common Stock in such Merger Event and (B) the Company shall satisfy the Conversion Obligation by paying cash to converting Holders on or prior to the tenth Business Day immediately following the relevant Conversion Date. The Company shall notify Holders, the Trustee and the Conversion Agent (if other than the Trustee) of such weighted average as soon as practicable after such determination is made.</w:t>
      </w:r>
    </w:p>
    <w:p>
      <w:pPr>
        <w:spacing w:after="0" w:line="194" w:lineRule="exact"/>
        <w:rPr>
          <w:sz w:val="20"/>
          <w:szCs w:val="20"/>
          <w:color w:val="auto"/>
        </w:rPr>
      </w:pPr>
    </w:p>
    <w:p>
      <w:pPr>
        <w:jc w:val="both"/>
        <w:ind w:firstLine="1304"/>
        <w:spacing w:after="0" w:line="256" w:lineRule="auto"/>
        <w:tabs>
          <w:tab w:leader="none" w:pos="15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executes a supplemental indenture pursuant to subsection (a) of this Section 14.06, the Company shall promptly file with the Trustee an Officer’s Certificate briefly stating the reasons therefor, the kind or amount of cash, securities or property or asset that will comprise a unit of Reference Property after any such Merger Event, any adjustment to be made with respect thereto and that all conditions precedent have been complied with, and shall promptly deliver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become a party to any Merger Event unless its terms are consistent with this Section 14.06. None of the foregoing provisions shall affect the right of a holder of Notes to convert its Notes into shares of Common Stock as set forth in Section 14.01 and Section 14.02 prior to the effective date of such Merger Event.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shall similarly apply to successive Merger Events.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14.07 </w:t>
      </w:r>
      <w:r>
        <w:rPr>
          <w:rFonts w:ascii="Times New Roman" w:cs="Times New Roman" w:eastAsia="Times New Roman" w:hAnsi="Times New Roman"/>
          <w:sz w:val="18"/>
          <w:szCs w:val="18"/>
          <w:u w:val="single" w:color="auto"/>
          <w:color w:val="auto"/>
        </w:rPr>
        <w:t>Certain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all shares of Common Stock issued upon conversion of Notes will be fully paid and non-assessable by the Company and free from all taxes, liens and charges with respect to the issue thereof, subject to the satisfaction of any obligation of any Applicable Withholding Agent in respect of withholding taxes in accordance with Section 17.17.</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at any time the Common Stock shall be listed on any national securities exchange or automated quotation system the Company will use its commercially reasonable efforts to list and keep listed, so long as the Common Stock shall be so listed on such exchange or automated quotation system, any Common Stock issuable upon conversion of the Notes.</w:t>
      </w:r>
    </w:p>
    <w:p>
      <w:pPr>
        <w:spacing w:after="0" w:line="175" w:lineRule="exact"/>
        <w:rPr>
          <w:rFonts w:ascii="Times New Roman" w:cs="Times New Roman" w:eastAsia="Times New Roman" w:hAnsi="Times New Roman"/>
          <w:sz w:val="18"/>
          <w:szCs w:val="18"/>
          <w:color w:val="auto"/>
        </w:rPr>
      </w:pPr>
    </w:p>
    <w:p>
      <w:pPr>
        <w:ind w:right="20" w:firstLine="1304"/>
        <w:spacing w:after="0" w:line="312" w:lineRule="auto"/>
        <w:tabs>
          <w:tab w:leader="none" w:pos="155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necessary to satisfy its obligations under this Indenture, prior to issuing any shares of Common Stock, the Company will reserve out of its authorized but unissued shares of Common Stock a sufficient number of shares of Common Stock to permit the conversion of the Notes.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14.08 </w:t>
      </w:r>
      <w:r>
        <w:rPr>
          <w:rFonts w:ascii="Times New Roman" w:cs="Times New Roman" w:eastAsia="Times New Roman" w:hAnsi="Times New Roman"/>
          <w:sz w:val="18"/>
          <w:szCs w:val="18"/>
          <w:u w:val="single" w:color="auto"/>
          <w:color w:val="auto"/>
        </w:rPr>
        <w:t>Responsibility of Trustee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14.06 relating either to the kind or amount of shares of stock or securities or property (including cash) receivable by Holders upon the conversion of their Notes after any event referred to in such Section 14.06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14.09 </w:t>
      </w:r>
      <w:r>
        <w:rPr>
          <w:rFonts w:ascii="Times New Roman" w:cs="Times New Roman" w:eastAsia="Times New Roman" w:hAnsi="Times New Roman"/>
          <w:sz w:val="18"/>
          <w:szCs w:val="18"/>
          <w:u w:val="single" w:color="auto"/>
          <w:color w:val="auto"/>
        </w:rPr>
        <w:t>Stockholder Rights Plans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14.03(c), subject to readjustment in the event of the expiration, termination or redemption of such rights.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14.10 </w:t>
      </w:r>
      <w:r>
        <w:rPr>
          <w:rFonts w:ascii="Times New Roman" w:cs="Times New Roman" w:eastAsia="Times New Roman" w:hAnsi="Times New Roman"/>
          <w:sz w:val="18"/>
          <w:szCs w:val="18"/>
          <w:u w:val="single" w:color="auto"/>
          <w:color w:val="auto"/>
        </w:rPr>
        <w:t>Limit on Issuance of Shares of Common Stock Upon Conversion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to the contrary in this Indenture and other than as set forth in the last sentence of this Section 14.10, if an event occurs that would result in an increase in the Conversion Rate by an amount in excess of limitations imposed by any shareholder approval rules or listing standards of any national or regional securities exchange that are applicable to the Company, the Company will obtain stockholder approval of any issuance of Common Stock upon conversion of the Notes in excess of such limitations. If such approval is not obtained following commercially reasonable efforts to solicit such approval, the Company shall pay cash in lieu of delivering any shares of Common Stock otherwise deliverable upon conversions in excess of such limitations based on the Daily VWAP for each Trading Day of the relevant Observation Period in respect of which, in lieu of delivering shares of Common Stock, the Company pays cash pursuant to this Section 14.10. Notwithstanding the foregoing, the Company shall not be obligated to obtain stockholder approval with respect to payment of cash and/or the issuance of Common Stock upon any exercise of the Optional Redemption, unless and until such Optional Redemption is exercised by the Company and the Company determines in its reasonable discretion that such stockholder approval is necessary to consummate such Optional Redemption.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 xml:space="preserve">Section 14.11 </w:t>
      </w:r>
      <w:r>
        <w:rPr>
          <w:rFonts w:ascii="Times New Roman" w:cs="Times New Roman" w:eastAsia="Times New Roman" w:hAnsi="Times New Roman"/>
          <w:sz w:val="18"/>
          <w:szCs w:val="18"/>
          <w:u w:val="single" w:color="auto"/>
          <w:color w:val="auto"/>
        </w:rPr>
        <w:t>Exchange in Lieu of Conversion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304"/>
        <w:spacing w:after="0" w:line="254" w:lineRule="auto"/>
        <w:tabs>
          <w:tab w:leader="none" w:pos="15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Holder surrenders its Notes for conversion, the Company may, at its election (an “</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direct the Conversion Agent to deliver, on or prior to the second Trading Day immediately following the Conversion Date, such Notes to one or more financial institutions designated by the Company (each, a “</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for exchange in lieu of conversion. In order to accept any Notes surrendered for conversion, the Designated Financial Institution(s) must agree to timely pay and/or deliver, as the case may be, in exchange for such Notes, the shares of Common Stock that would otherwise be due upon conversion pursuant to Section 14.02 or such other amount agreed to by the Holder and the Designated Financial Institution(s)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If the Company makes an Exchange Election, the Company shall, by the close of business on the second Trading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Conversion Consideration to be delivered. For the avoidance of doubt, no failure of the Designated Financial Institution to deliver the Conversion Consideration shall limit the Holders’ right to convert the Notes pursuant to this Article 14.</w:t>
      </w:r>
    </w:p>
    <w:p>
      <w:pPr>
        <w:spacing w:after="0" w:line="18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delivered to the Designated Financial Institution(s) shall remain outstanding, subject to the applicable procedures of the Depositary in the case of Global Notes. If the Designated Financial Institution(s) agree(s) to accept any Notes for exchange but does not timely deliver the related Conversion Consideration, or if such Designated Financial Institution(s) does not accept the Notes for exchange, the Company shall deliver the relevant Conversion Consideration, as, and at the time, required pursuant to this Indenture as if the Company had not made the Exchange Election.</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designation of any Designated Financial Institution(s) to which the Notes may be submitted for exchange does not require such Designated Financial Institution(s) to accept any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Repurchase of Notes at Option of Holders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Repurchase at Option of Holders Upon a Fundamental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Fundamental Change occurs at any time, each Holder shall have the right, at such Holder’s option, to require the Company to repurchase for cash all of such Holder’s Notes, or any portion of the principal amount thereof that is equal to $1,000 or any integral multiple of $1.00 in excess thereof, on the date (the “</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xml:space="preserve">”) specified by the Company that is not less than 20 calendar days or more than 35 Business Days following the date of the Fundamental Change Company Notice at a repurchase price equal to 100% of the Capitalized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interest thereon that has not been paid or capitalized to, but excluding, the Fundamental Change Repurchase Date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unless the Fundamental Change Repurchase Date falls after a Regular Record Date but on or prior to the Interest Payment Date to which such Regular Record Date relates, in which case the Company shall instead pay in cash at the Interest Rate the full amount of accrued and unpaid interest to Holders of record as of such Regular Record Date (notwithstanding any prior election (or deemed election) by the Company to pay such interest pursuant to the Capitalization Method), and the Fundamental Change Repurchase Price shall be equal to 100% of the Capitalized Principal Amount of Notes to be repurchased pursuant to this Article 15.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1560" w:hanging="256"/>
        <w:spacing w:after="0"/>
        <w:tabs>
          <w:tab w:leader="none" w:pos="15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Notes under this Section 15.02 shall be made, at the option of the Holder thereof, upon:</w:t>
      </w:r>
    </w:p>
    <w:p>
      <w:pPr>
        <w:spacing w:after="0" w:line="221" w:lineRule="exact"/>
        <w:rPr>
          <w:rFonts w:ascii="Times New Roman" w:cs="Times New Roman" w:eastAsia="Times New Roman" w:hAnsi="Times New Roman"/>
          <w:sz w:val="18"/>
          <w:szCs w:val="18"/>
          <w:color w:val="auto"/>
        </w:rPr>
      </w:pPr>
    </w:p>
    <w:p>
      <w:pPr>
        <w:jc w:val="both"/>
        <w:ind w:left="1300" w:firstLine="652"/>
        <w:spacing w:after="0" w:line="262" w:lineRule="auto"/>
        <w:tabs>
          <w:tab w:leader="none" w:pos="21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Paying Agent by a Holder of a duly completed notice (the “</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180"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2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being a condition to receipt by the Holder of the Fundamental Change Repurchase Price therefor.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Fundamental Change Repurchase Notice in respect of any Notes to be repurchased shall state:</w:t>
      </w:r>
    </w:p>
    <w:p>
      <w:pPr>
        <w:spacing w:after="0" w:line="225" w:lineRule="exact"/>
        <w:rPr>
          <w:sz w:val="20"/>
          <w:szCs w:val="20"/>
          <w:color w:val="auto"/>
        </w:rPr>
      </w:pPr>
    </w:p>
    <w:p>
      <w:pPr>
        <w:ind w:left="2260" w:hanging="308"/>
        <w:spacing w:after="0"/>
        <w:tabs>
          <w:tab w:leader="none" w:pos="2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Physical Notes, the certificate numbers of the Notes to be delivered for repurchase;</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$1,000 or any integral multiple of $1.00 in excess thereof; and</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the Fundamental Change Repurchase Notice must comply with appropriate Depositary procedures.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Paying Agent shall promptly notify the Company of the receipt by it of any Fundamental Change Repurchase Notice or written notice of withdrawal thereof.</w:t>
      </w:r>
    </w:p>
    <w:p>
      <w:pPr>
        <w:spacing w:after="0" w:line="162" w:lineRule="exact"/>
        <w:rPr>
          <w:sz w:val="20"/>
          <w:szCs w:val="20"/>
          <w:color w:val="auto"/>
        </w:rPr>
      </w:pPr>
    </w:p>
    <w:p>
      <w:pPr>
        <w:jc w:val="both"/>
        <w:ind w:firstLine="1304"/>
        <w:spacing w:after="0" w:line="258" w:lineRule="auto"/>
        <w:tabs>
          <w:tab w:leader="none" w:pos="154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20th Business Day after the occurrence of the effective date of a Fundamental Change, the Company shall provide to all Holders of Notes and the Trustee and the Paying Agent (in the case of a Paying Agent other than the Trustee) a notice (the “</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Notice</w:t>
      </w:r>
      <w:r>
        <w:rPr>
          <w:rFonts w:ascii="Times New Roman" w:cs="Times New Roman" w:eastAsia="Times New Roman" w:hAnsi="Times New Roman"/>
          <w:sz w:val="18"/>
          <w:szCs w:val="18"/>
          <w:color w:val="auto"/>
        </w:rPr>
        <w:t>”) of the occurrence of the effective date of the Fundamental Change and of the repurchase right at the option of the Holders arising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thereof. In the case of Physical Notes, such notice shall be by first class mail or, in the case of Global Notes, such notice shall be delivered in accordance with the applicable procedures of the Depositary. Each Fundamental Change Company Notice shall specify:</w:t>
      </w:r>
    </w:p>
    <w:p>
      <w:pPr>
        <w:spacing w:after="0" w:line="183"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2220" w:hanging="268"/>
        <w:spacing w:after="0"/>
        <w:tabs>
          <w:tab w:leader="none" w:pos="22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Fundamental Change;</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exercise the repurchase right pursuant to this Article 15;</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 if applicable;</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Conversion Rate and any adjustments to the Conversion Rate;</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3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repurchase their Notes.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At the Company’s request, the Trustee shall give such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Fundamental Change Company Notice shall be prepared by the Company.</w:t>
      </w:r>
    </w:p>
    <w:p>
      <w:pPr>
        <w:spacing w:after="0" w:line="160" w:lineRule="exact"/>
        <w:rPr>
          <w:sz w:val="20"/>
          <w:szCs w:val="20"/>
          <w:color w:val="auto"/>
        </w:rPr>
      </w:pPr>
    </w:p>
    <w:p>
      <w:pPr>
        <w:jc w:val="both"/>
        <w:ind w:firstLine="1304"/>
        <w:spacing w:after="0" w:line="256" w:lineRule="auto"/>
        <w:tabs>
          <w:tab w:leader="none" w:pos="15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 For the avoidance of doubt, no failure of such third party to repurchase the Notes shall limit the Holders’ repurchase rights or affect the validity of the proceedings for the repurchase of the Notes pursuant to this Section 15.02.</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cancelled, and, upon such return or cancellation, as the case may be, the Fundamental Change Repurchase Notice with respect thereto shall be deemed to have been withdrawn.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u w:val="single" w:color="auto"/>
          <w:color w:val="auto"/>
        </w:rPr>
        <w:t>Withdrawal of Fundamental Change Repurchase Notice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Fundamental Change Repurchase Notice may be withdrawn (in whole or in part) by means of a written notice of withdrawal delivered to the Corporate Trust Office of the Paying Agent in accordance with this Section 15.03 at any time prior to the close of business on the Business Day immediately preceding the Fundamental Change Repurchase Date, specifying:</w:t>
      </w:r>
    </w:p>
    <w:p>
      <w:pPr>
        <w:spacing w:after="0" w:line="175" w:lineRule="exact"/>
        <w:rPr>
          <w:sz w:val="20"/>
          <w:szCs w:val="20"/>
          <w:color w:val="auto"/>
        </w:rPr>
      </w:pPr>
    </w:p>
    <w:p>
      <w:pPr>
        <w:ind w:left="2160" w:hanging="208"/>
        <w:spacing w:after="0"/>
        <w:tabs>
          <w:tab w:leader="none" w:pos="2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with respect to which such notice of withdrawal is being submitted,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Physical Notes have been issued, the certificate number of the Note in respect of which such notice of withdrawal is being submitted, and</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such Note that remains subject to the original Fundamental Change Repurchase Notice, which portion must be in principal amounts of $1,000 or any integral multiple of $1.00 in excess thereof;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the notice must comply with appropriate procedures of the Depositary.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u w:val="single" w:color="auto"/>
          <w:color w:val="auto"/>
        </w:rPr>
        <w:t>Deposit of Fundamental Change Repurchase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withdrawn prior to the close of business on the Business Day immediately preceding the Fundamental Change Repurchase Date) will be made on the later of (i) the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payments to the Depositary shall be made by wire transfer of immediately available funds to the account of the Depositary or its nominee.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Trustee shall, promptly after such payment and upon written demand by the Company, return to the Company any funds in excess of the Fundamental Change Repurchase Price.</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11:00 a.m. New York City time, on the Fundamental Change Repurchase Date, the Trustee (or other Paying Agent appointed by the Company) holds money sufficient to make payment on all the Notes or portions thereof that are to be repurchased on such Fundamental Change Repurchase Date, then, with respect to the Notes that have been properly surrendered for repurchase and have not been validly withdrawn, such Notes will cease to be outstanding, interest will cease to accrue on such Notes (whether or not book-entry transfer of the Notes has been made or the Notes have been delivered to the Trustee or Paying Agent) and all other rights of the Holders of such Notes will terminate (other than the right to receive the Fundamental Change Repurchase Price and, if applicable, accrued interest that has not been paid or capitalized).</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u w:val="single" w:color="auto"/>
          <w:color w:val="auto"/>
        </w:rPr>
        <w:t>Compliance with Applicable Laws Upon Repurchase of Notes</w:t>
      </w:r>
      <w:r>
        <w:rPr>
          <w:rFonts w:ascii="Times New Roman" w:cs="Times New Roman" w:eastAsia="Times New Roman" w:hAnsi="Times New Roman"/>
          <w:sz w:val="18"/>
          <w:szCs w:val="18"/>
          <w:color w:val="auto"/>
        </w:rPr>
        <w:t>. Notwithstanding anything to the contrary herein, to the extent that compliance with this Article 15 relating to the Company’s obligations to repurchase the Notes upon a Fundamental Change would result in a violation of any federal or state securities laws or other applicable laws or regulations, the Company will comply with the applicable securities laws and regulations and will not be deemed to have breached its obligations under this Article 15 by virtue of such conflict. Without limiting the generality of the foregoing, the Fundamental Change Repurchase Date shall be subject to postponement in order to allow the Company to comply with applicable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ARTICLE 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Optional Redemption</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sinking fund is provided for the Notes. The Notes shall not be redeemable by the Company prior to June 30, 2024. On or after June 30, 2024, provided that the Company has obtained stockholder approval pursuant to Nasdaq Marketplace Rule 5635(d) or the shareholder approval rules or listing standards of any other national or regional securities exchange that are applicable to the Company (the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Approval Requirement</w:t>
      </w:r>
      <w:r>
        <w:rPr>
          <w:rFonts w:ascii="Times New Roman" w:cs="Times New Roman" w:eastAsia="Times New Roman" w:hAnsi="Times New Roman"/>
          <w:sz w:val="18"/>
          <w:szCs w:val="18"/>
          <w:color w:val="auto"/>
        </w:rPr>
        <w:t>”), the Company may redeem the Notes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(x) in cash, (y) through the issuance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(z) a combination thereof, in whole or in part, at the Redemption Price, if the Last Reported Sale Price of the Common Stock has been at least 130% of the Conversion Price then in effect for at least 20 Trading Days (whether or not consecutive) during any 30 consecutive Trading Day period ending on, and including, the Trading Day immediately preceding the date on which the Company provides the Redemption in accordance with Section 16.02. For purposes hereof,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equals the then-current Capitalized Principal Amount of the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of all interest payments on the Capitalized Principal Amount of the Notes that the Holders of the Notes to be redeemed would have been entitled to receive had the Notes remained outstanding to the Maturity Date (for the avoidance of doubt, including interest on capitalized interest which would have been added to the Principal Amount during the period from the Redemption Date to the Maturity Date).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u w:val="single" w:color="auto"/>
          <w:color w:val="auto"/>
        </w:rPr>
        <w:t>Notice of Optional Redemption, Selection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exercises its Optional Redemption right to redeem all or, as the case may be, any part of the Notes pursuant to Section 16.01, it shall fix a date for redemption (each, a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and it or, at its written request received by the Trustee not less than five calendar days prior to the date such Redemption Notice is to be sent (or such shorter period of time as may be acceptable to the Trustee), the Trustee, in the name of and at the expense of the Company, shall deliver or cause to be delivered a notice of such Optional Redemption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xml:space="preserve">”) not less than 50 nor more than 70 Scheduled Trading Days prior to the Redemption Date to each Holder of Notes so to be redeemed as a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shall give such notice, it shall also give written notice of the Redemption Date to the Trustee;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in accordance with the provisions described in Section 14.02(a)(iii), the Company elects through delivery of a Settlement Notice to settle all conversions of Notes with a Conversion Date that occurs on or after the date of issuance of a Redemption Notice with respect to the Notes and prior to the related Redemption Date by Physical Settlement, then the Company may instead elect to choose a Redemption Date that is a Business Day not less than 15 nor more than 60 calendar days after the date the Company sends such Redemption Notice to each Holder so to be redeemed as a whole or in part. The Redemption Date must be a Business Day.</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Notice, if delivered in the manner herein provided, shall be conclusively presumed to have been duly given, whether or not the Holder receives such notice. In any case, failure to give such Redemption Notice by mail or any defect in the Redemption Notice to the Holder of any Note designated for redemption as a whole or in part shall not affect the validity of the proceedings for the redemption of any other Note. A Redemption Notice may be delivered to Holders prior to the satisfaction the Stockholder Approval Requirement, provided that any redemptions described therein be conditioned upon the satisfaction of the Stockholder Approval Requirement on or prior to the applicable Redemption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1540" w:hanging="236"/>
        <w:spacing w:after="0"/>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Redemption Notice shall specify:</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6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Note to be redeemed, and that interest thereon, if any, shall cease to accrue on and after the Redemption Date;</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1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may surrender their Notes for conversion at any time prior to the close of business on the Scheduled Trading Day immediately preceding the Redemption Date;</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Notes;</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w:t>
      </w:r>
    </w:p>
    <w:p>
      <w:pPr>
        <w:spacing w:after="0" w:line="225"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2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Notes will be redeemed in cash, through the issuance of shares of Common Stock, or a combination thereof;</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7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Optional Redemption and payment of the Redemption Price is conditioned upon the receipt of stockholder approval to consummate the Optional Redemption, as determined in the Company’s reasonable discretion (in which case, the Redemption Notice shall further state that the Redemption Date may be delayed until such time as such stockholder approval is received, or such redemption may not occur and such notice may be rescinded in the event that such stockholder approval is not received); and</w:t>
      </w:r>
    </w:p>
    <w:p>
      <w:pPr>
        <w:spacing w:after="0" w:line="177" w:lineRule="exact"/>
        <w:rPr>
          <w:rFonts w:ascii="Times New Roman" w:cs="Times New Roman" w:eastAsia="Times New Roman" w:hAnsi="Times New Roman"/>
          <w:sz w:val="18"/>
          <w:szCs w:val="18"/>
          <w:color w:val="auto"/>
        </w:rPr>
      </w:pPr>
    </w:p>
    <w:p>
      <w:pPr>
        <w:ind w:left="1300" w:firstLine="652"/>
        <w:spacing w:after="0" w:line="284" w:lineRule="auto"/>
        <w:tabs>
          <w:tab w:leader="none" w:pos="233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Redemption Notice shall be irrevocable </w:t>
      </w:r>
      <w:r>
        <w:rPr>
          <w:rFonts w:ascii="Times New Roman" w:cs="Times New Roman" w:eastAsia="Times New Roman" w:hAnsi="Times New Roman"/>
          <w:sz w:val="18"/>
          <w:szCs w:val="18"/>
          <w:i w:val="1"/>
          <w:iCs w:val="1"/>
          <w:color w:val="auto"/>
        </w:rPr>
        <w:t>other than</w:t>
      </w:r>
      <w:r>
        <w:rPr>
          <w:rFonts w:ascii="Times New Roman" w:cs="Times New Roman" w:eastAsia="Times New Roman" w:hAnsi="Times New Roman"/>
          <w:sz w:val="18"/>
          <w:szCs w:val="18"/>
          <w:color w:val="auto"/>
        </w:rPr>
        <w:t xml:space="preserve"> with respect to the receipt of any required stockholder approval described in clause (c)(xi) above.</w:t>
      </w:r>
    </w:p>
    <w:p>
      <w:pPr>
        <w:spacing w:after="0" w:line="160"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fewer than all of the outstanding Notes are to be redeemed and the Notes to be redeemed are Global Notes, the Notes to be redeemed shall be selected by the Depositary in accordance with the applicable procedures of the Depositary. If fewer than all of the outstanding Notes are to be redeemed and the Notes to be redeemed are not Global Notes, the Trustee shall select the Notes or portions thereof to be redeemed (in principal amounts of $1,000 or integral multiples of $1.00 in excess thereof) by lot,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by another method the Trustee considers to be fair and appropriate.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u w:val="single" w:color="auto"/>
          <w:color w:val="auto"/>
        </w:rPr>
        <w:t>Payment of Notes Called for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Redemption Notice has been given in respect of the Notes in accordance with Section 16.02, the Notes shall become due and payable on the Redemption Date at the place or places stated in the Redemption Notice and at the applicable Redemption Price. On presentation and surrender of the Notes at the place or places stated in the Redemption Notice, the Notes shall be paid and redeemed by the Company at the applicable Redemption Price.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open of business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a Note that is to be redeemed in part pursuant to Section 16.02, the Company shall execute and the Trustee shall authenticate and deliver to the Holder a new Note in an authorized denomination equal in principal amount to the unredeemed portion of the Note surrendered.</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u w:val="single" w:color="auto"/>
          <w:color w:val="auto"/>
        </w:rPr>
        <w:t>Restrictions on Redemption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17.01 </w:t>
      </w:r>
      <w:r>
        <w:rPr>
          <w:rFonts w:ascii="Times New Roman" w:cs="Times New Roman" w:eastAsia="Times New Roman" w:hAnsi="Times New Roman"/>
          <w:sz w:val="18"/>
          <w:szCs w:val="18"/>
          <w:u w:val="single" w:color="auto"/>
          <w:color w:val="auto"/>
        </w:rPr>
        <w:t>Provisions Binding on Company’s Successors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the covenants, stipulations, promises and agreements of the Company contained in this Indenture shall bind its successors and assigns whether so expressed or not.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17.02 </w:t>
      </w:r>
      <w:r>
        <w:rPr>
          <w:rFonts w:ascii="Times New Roman" w:cs="Times New Roman" w:eastAsia="Times New Roman" w:hAnsi="Times New Roman"/>
          <w:sz w:val="18"/>
          <w:szCs w:val="18"/>
          <w:u w:val="single" w:color="auto"/>
          <w:color w:val="auto"/>
        </w:rPr>
        <w:t>Official Acts by Successor Corporation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17.03 </w:t>
      </w:r>
      <w:r>
        <w:rPr>
          <w:rFonts w:ascii="Times New Roman" w:cs="Times New Roman" w:eastAsia="Times New Roman" w:hAnsi="Times New Roman"/>
          <w:sz w:val="18"/>
          <w:szCs w:val="18"/>
          <w:u w:val="single" w:color="auto"/>
          <w:color w:val="auto"/>
        </w:rPr>
        <w:t>Addresses for Notices, Etc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Eos Energy Enterprises, Inc., 3920 Park Avenue, Edison, New Jersey 08820, Attention: General Counsel, or sent electronically to an email address specified by the Company to the Trustee and the Holders.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notice or communication delivered or to be delivered to a Holder of Physical Notes shall be mailed to it by first class mail, postage prepaid, at its address as it appears on the Note Register, or sent electronically to an email address specified by such Holder to the Trustee and the Company, and shall be sufficiently given to it if so mailed or sent within the time prescribed. Any notice or communication delivered or to be delivered to a Holder of Global Notes shall be delivered in accordance with the applicable procedures of the Depositary and shall be sufficiently given to it if so delivered within the time prescribed.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60"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17"/>
          <w:szCs w:val="17"/>
          <w:color w:val="auto"/>
        </w:rPr>
        <w:t xml:space="preserve">Section 17.04 </w:t>
      </w:r>
      <w:r>
        <w:rPr>
          <w:rFonts w:ascii="Times New Roman" w:cs="Times New Roman" w:eastAsia="Times New Roman" w:hAnsi="Times New Roman"/>
          <w:sz w:val="17"/>
          <w:szCs w:val="17"/>
          <w:u w:val="single" w:color="auto"/>
          <w:color w:val="auto"/>
        </w:rPr>
        <w:t>Governing Law; Jurisdiction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THIS INDENTURE AND EACH NOTE, AND ANY CLAIM, CONTROVERSY OR DISPUTE ARISING UNDER OR RELATED TO THIS INDENTURE AND EACH NOTE, SHALL BE GOVERNED BY, AND CONSTRUED IN ACCORDANCE WITH, THE LAWS OF THE STATE OF NEW YORK (WITHOUT REGARD TO THE CONFLICTS OF LAWS PROVISIONS THEREOF).</w:t>
      </w:r>
    </w:p>
    <w:p>
      <w:pPr>
        <w:spacing w:after="0" w:line="1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generally and unconditionally with respect to any action, suit or proceeding for itself in respect of its properties, assets and revenues.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17.05 </w:t>
      </w:r>
      <w:r>
        <w:rPr>
          <w:rFonts w:ascii="Times New Roman" w:cs="Times New Roman" w:eastAsia="Times New Roman" w:hAnsi="Times New Roman"/>
          <w:sz w:val="18"/>
          <w:szCs w:val="18"/>
          <w:u w:val="single" w:color="auto"/>
          <w:color w:val="auto"/>
        </w:rPr>
        <w:t>Evidence of Compliance with Conditions Precedent; Certificates and Opinions of Counsel to Trustee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Officer’s Certificate provided for, by or on behalf of the Company in this Indenture and delivered to the Trustee with respect to compliance with this Indenture (other than the Officer’s Certificates provided for in Section 4.08) shall include a statement that the person signing such certificate is familiar with the requested action and this Indenture; a brief statement as to the nature and scope of the examination or investigation upon which the statement contained in such certificate is based; a statement that, in the judgment of such person, he or she has made such examination or investigation as is necessary to enable him or her to express an informed judgment as to whether or not such action is permitted by this Indenture; and a statement as to whether or not, in the judgment of such person, such action is permitted by this Indenture.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17.06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any case where any Interest Payment Date, any Redemption Date, any Fundamental Change Repurchase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17.07 </w:t>
      </w:r>
      <w:r>
        <w:rPr>
          <w:rFonts w:ascii="Times New Roman" w:cs="Times New Roman" w:eastAsia="Times New Roman" w:hAnsi="Times New Roman"/>
          <w:sz w:val="18"/>
          <w:szCs w:val="18"/>
          <w:u w:val="single" w:color="auto"/>
          <w:color w:val="auto"/>
        </w:rPr>
        <w:t>No Security Interest Created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17.08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17.09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17.10 </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Section 15.04, and Section 16.03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7" w:name="page88"/>
    <w:bookmarkEnd w:id="8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Section 7.02, Section 7.03, Section 7.04, Section 8.03 and this Section 17.10 shall be applicable to any authenticating agent.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17.11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17.12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OF THE COMPANY, EACH HOLDER OF THE NOTES BY ACCEPTANCE HEREOF,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17.14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17.15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Except as otherwise provided herein, the Company shall be responsible for making all calculations called for under the Notes. These calculations include, but are not limited to, determinations of the Capitalization Amounts, the Last Reported Sale Prices of the Common Stock or the Daily VWAPs, accrued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17.17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Each Holder of a Note agrees that, notwithstanding anything herein to the contrary, the Company, the Paying Agent, the Conversion Agent or the Trustee (an “</w:t>
      </w:r>
      <w:r>
        <w:rPr>
          <w:rFonts w:ascii="Times New Roman" w:cs="Times New Roman" w:eastAsia="Times New Roman" w:hAnsi="Times New Roman"/>
          <w:sz w:val="18"/>
          <w:szCs w:val="18"/>
          <w:b w:val="1"/>
          <w:bCs w:val="1"/>
          <w:color w:val="auto"/>
        </w:rPr>
        <w:t>Applicable Withholding Agent</w:t>
      </w:r>
      <w:r>
        <w:rPr>
          <w:rFonts w:ascii="Times New Roman" w:cs="Times New Roman" w:eastAsia="Times New Roman" w:hAnsi="Times New Roman"/>
          <w:sz w:val="18"/>
          <w:szCs w:val="18"/>
          <w:color w:val="auto"/>
        </w:rPr>
        <w:t>”) shall have the right to deduct and withhold from any payment or distribution made with respect to the Notes (or the issuance of shares of Common Stock upon conversion of the Notes) such amounts as are required to be deducted or withheld with respect to the making of such payment or distribution (or issuance) under any applicable tax law. In the case of any withholding obligation that is not accompanied by a corresponding payment, distribution or issuance, including deemed dividends or amounts treated as original issue discount for tax purposes, any such withholding tax may be withheld from subsequent payments on the Notes (or the issuance of shares of Common Stock upon conversion of the Notes, or dividends or any other amounts payable with respect to such shares). If an Applicable Withholding Agent is required to remit any withholding tax payments to the applicable Governmental Entity in respect of such an item of income prior to any such subsequent payment or issuance, the Holder shall promptly upon notice reimburse the Applicable Withholding Agent for the required withholding tax payment. To the extent that any amounts are deducted or withheld as described in this Section 17.17, such deducted or withheld amounts shall be treated for all purposes of this Agreement as having been paid to the person in respect of which such deduction or withholding was made. Each Holder agrees to provide to the Company, with a copy to the Trustee, a fully completed Internal Revenue Service Form W-9 or W-8 (or applicable successor form), with any required attachments, as well as any other information determined by the Company or the Trustee to be reasonably necessary for an Applicable Withholding Agent to determine its withholding responsibilities with respect to such Holder, (i) prior to, and as a condition to, becoming a Holder hereunder, (ii) upon reasonable demand by the Company or the Trustee and (iii) promptly upon learning that any such tax form previously provided by it has become obsolete or incorrect.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25628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as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25628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 FOLLOWING LEGEND IF A RESTRICTED SECURITY]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 AGREES FOR THE BENEFIT OF EOS ENERGY ENTERPRISES,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IT WILL NOT OFFER, SELL, PLEDGE OR OTHERWISE TRANSFER THIS SECURITY OR ANY BENEFICIAL INTEREST HEREIN EXCEPT:</w:t>
      </w:r>
    </w:p>
    <w:p>
      <w:pPr>
        <w:spacing w:after="0" w:line="187" w:lineRule="exact"/>
        <w:rPr>
          <w:sz w:val="20"/>
          <w:szCs w:val="20"/>
          <w:color w:val="auto"/>
        </w:rPr>
      </w:pPr>
    </w:p>
    <w:p>
      <w:pPr>
        <w:ind w:left="1600" w:hanging="296"/>
        <w:spacing w:after="0"/>
        <w:tabs>
          <w:tab w:leader="none" w:pos="1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WHICH HAS BECOME EFFECTIVE UNDER THE SECURITIES ACT, OR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0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(C) ABOVE, THE COMPANY AND THE TRUSTEE RESERVE THE RIGHT TO REQUIRE THE DELIVERY OF SUCH LEGAL OPINIONS, CERTIFICATIONS OR OTHER EVIDENCE AS MAY REASONABLY BE REQUIRED IN ORDER TO DETERMINE THAT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TRANSFER IS BEING MADE IN COMPLIANCE WITH THE SECURITIES ACT AND APPLICABLE STATE SECURITIES LAWS. NO REPRESENTATION IS MADE AS TO THE AVAILABILITY OF ANY EXEMPTION FROM THE REGISTRATION REQUIREMENTS OF THE SECURITIES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IS SUBJECT TO RESTRICTIONS ON TRANSFER AS SET FORTH IN AN INVESTMENT AGREEMENT DATED AS OF JANUARY 18, 2023 (AS IT MAY BE AMENDED FROM TIME TO TIME), BY AND AMONG THE COMPANY AND CERTAIN OTHER PARTIES THERETO, COPIES OF WHICH ARE PUBLICLY FILED OR ON FILE WITH THE SECRETARY OF THE COMPANY, AND THIS SECURITY MAY NOT BE OFFERED, SOLD, PLEDGED OR OTHERWISE TRANSFERRED EXCEPT IN COMPLIANCE THEREWITH.]</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NOTE HAS BEEN ISSUED WITH “ORIGINAL ISSUE DISCOUNT” (WITHIN THE MEANING OF SECTION 1272 OF THE INTERNAL REVENUE CODE OF 1986, AS AMENDED). UPON WRITTEN REQUEST, THE ISSUER OF THIS NOTE WILL PROMPTLY MAKE AVAILABLE TO ANY HOLDER OF THIS NOTE THE INFORMATION REQUIRED TO BE FURNISHED BY TREASURY REGULATIONS SECTION 1.1275-3. IN ORDER TO REQUEST SUCH INFORMATION, A HOLDER OF THIS NOTE SHOULD CONTACT THE CHIEF ACCOUNTING OFFICER AT 3920 PARK AVENUE, EDISON, NJ, 08820, PHONE NUMBER 732-225-8400.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 due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[_____] Initially $[_________]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[_________]]</w:t>
      </w:r>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Eos Energy Enterprises, Inc., a corporation duly organized and validly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corporation or other entity under the Indenture referred to on the reverse hereof), for value received hereby promises to pay to</w:t>
      </w:r>
    </w:p>
    <w:p>
      <w:pPr>
        <w:spacing w:after="0" w:line="186" w:lineRule="auto"/>
        <w:rPr>
          <w:sz w:val="20"/>
          <w:szCs w:val="20"/>
          <w:color w:val="auto"/>
        </w:rPr>
      </w:pPr>
      <w:r>
        <w:rPr>
          <w:rFonts w:ascii="Times New Roman" w:cs="Times New Roman" w:eastAsia="Times New Roman" w:hAnsi="Times New Roman"/>
          <w:sz w:val="18"/>
          <w:szCs w:val="18"/>
          <w:color w:val="auto"/>
        </w:rPr>
        <w:t>[CEDE &amp; CO.]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[_______]</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or registered assigns, the principal sum [as set forth in the “Schedule of Exchanges of Notes” attached hereto]</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the</w:t>
      </w:r>
    </w:p>
    <w:p>
      <w:pPr>
        <w:spacing w:after="0"/>
        <w:rPr>
          <w:sz w:val="20"/>
          <w:szCs w:val="20"/>
          <w:color w:val="auto"/>
        </w:rPr>
      </w:pPr>
      <w:r>
        <w:rPr>
          <w:rFonts w:ascii="Times New Roman" w:cs="Times New Roman" w:eastAsia="Times New Roman" w:hAnsi="Times New Roman"/>
          <w:sz w:val="18"/>
          <w:szCs w:val="18"/>
          <w:color w:val="auto"/>
        </w:rPr>
        <w:t>Capitalized Principal Amount corresponding to the Initial Principal Amount of $[_____]]</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on June 30, 2026, and interest thereon as set forth below.</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bear interest at the Interest Rate from [________], 20[__], or from the most recent date to which interest had been paid or provided</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to, but excluding, the next scheduled Interest Payment Date until June 30, 2026. Interest is payable semi-annually in arrears by PIK Payments at the Interest Rate, pursuant to Section 2.03(d) of the Indenture, on each June 30 and December 30, commencing on [________], 20[__], to Holders of record at the close of business on the preceding June 15 and December 15 (whether or not such day is a Business Day), respectively.</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make payments on the Notes in the manner set forth in the Indenture. The Company has initially designated [the Trustee]</w:t>
      </w:r>
      <w:r>
        <w:rPr>
          <w:rFonts w:ascii="Times New Roman" w:cs="Times New Roman" w:eastAsia="Times New Roman" w:hAnsi="Times New Roman"/>
          <w:sz w:val="29"/>
          <w:szCs w:val="29"/>
          <w:color w:val="auto"/>
          <w:vertAlign w:val="superscript"/>
        </w:rPr>
        <w:t>5</w:t>
      </w:r>
    </w:p>
    <w:p>
      <w:pPr>
        <w:spacing w:after="0" w:line="184" w:lineRule="auto"/>
        <w:rPr>
          <w:sz w:val="20"/>
          <w:szCs w:val="20"/>
          <w:color w:val="auto"/>
        </w:rPr>
      </w:pPr>
      <w:r>
        <w:rPr>
          <w:rFonts w:ascii="Times New Roman" w:cs="Times New Roman" w:eastAsia="Times New Roman" w:hAnsi="Times New Roman"/>
          <w:sz w:val="18"/>
          <w:szCs w:val="18"/>
          <w:color w:val="auto"/>
        </w:rPr>
        <w:t>[itself]</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as the Paying Agent, Conversion Agent and Note Registrar in respect of the Notes and its office in [_____] as a place where Notes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for payment or for registration of transfer and exchange.</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 of this Note the right to convert this Note into shares of Common Stock on the terms and subject to the limitations set forth in the Indenture. Such further provisions shall for all purposes have the same effect as though fully set forth at this place.</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 (without regard to the conflicts of laws provisions thereof).</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this Note shall control and govern.</w:t>
      </w:r>
    </w:p>
    <w:p>
      <w:pPr>
        <w:spacing w:after="0" w:line="225"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electronically or by facsimile by the Trustee or a duly authorized authenticating agent under the Indenture.]</w:t>
      </w:r>
      <w:r>
        <w:rPr>
          <w:rFonts w:ascii="Times New Roman" w:cs="Times New Roman" w:eastAsia="Times New Roman" w:hAnsi="Times New Roman"/>
          <w:sz w:val="29"/>
          <w:szCs w:val="29"/>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7830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340" w:hanging="332"/>
        <w:spacing w:after="0" w:line="212" w:lineRule="auto"/>
        <w:tabs>
          <w:tab w:leader="none" w:pos="34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ind w:left="340" w:hanging="332"/>
        <w:spacing w:after="0" w:line="181" w:lineRule="auto"/>
        <w:tabs>
          <w:tab w:leader="none" w:pos="340" w:val="left"/>
        </w:tabs>
        <w:numPr>
          <w:ilvl w:val="0"/>
          <w:numId w:val="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physical note.</w:t>
      </w:r>
    </w:p>
    <w:p>
      <w:pPr>
        <w:ind w:left="340" w:hanging="332"/>
        <w:spacing w:after="0" w:line="180" w:lineRule="auto"/>
        <w:tabs>
          <w:tab w:leader="none" w:pos="340" w:val="left"/>
        </w:tabs>
        <w:numPr>
          <w:ilvl w:val="0"/>
          <w:numId w:val="6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global note.</w:t>
      </w:r>
    </w:p>
    <w:p>
      <w:pPr>
        <w:ind w:left="340" w:hanging="332"/>
        <w:spacing w:after="0" w:line="180" w:lineRule="auto"/>
        <w:tabs>
          <w:tab w:leader="none" w:pos="340" w:val="left"/>
        </w:tabs>
        <w:numPr>
          <w:ilvl w:val="0"/>
          <w:numId w:val="6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physical note.</w:t>
      </w:r>
    </w:p>
    <w:p>
      <w:pPr>
        <w:ind w:left="340" w:hanging="332"/>
        <w:spacing w:after="0" w:line="181" w:lineRule="auto"/>
        <w:tabs>
          <w:tab w:leader="none" w:pos="340" w:val="left"/>
        </w:tabs>
        <w:numPr>
          <w:ilvl w:val="0"/>
          <w:numId w:val="6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for notes executed following Indenture execution.</w:t>
      </w:r>
    </w:p>
    <w:p>
      <w:pPr>
        <w:ind w:left="340" w:hanging="332"/>
        <w:spacing w:after="0" w:line="180" w:lineRule="auto"/>
        <w:tabs>
          <w:tab w:leader="none" w:pos="340" w:val="left"/>
        </w:tabs>
        <w:numPr>
          <w:ilvl w:val="0"/>
          <w:numId w:val="6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for notes issued prior to Indenture execution.</w:t>
      </w:r>
    </w:p>
    <w:p>
      <w:pPr>
        <w:ind w:left="340" w:hanging="332"/>
        <w:spacing w:after="0" w:line="180" w:lineRule="auto"/>
        <w:tabs>
          <w:tab w:leader="none" w:pos="340" w:val="left"/>
        </w:tabs>
        <w:numPr>
          <w:ilvl w:val="0"/>
          <w:numId w:val="7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for notes executed following Indenture execution.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Note to be duly executed.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25628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w:t>
      </w:r>
      <w:r>
        <w:rPr>
          <w:rFonts w:ascii="Times New Roman" w:cs="Times New Roman" w:eastAsia="Times New Roman" w:hAnsi="Times New Roman"/>
          <w:sz w:val="29"/>
          <w:szCs w:val="29"/>
          <w:color w:val="auto"/>
          <w:vertAlign w:val="superscript"/>
        </w:rPr>
        <w:t>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 as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w:t>
      </w:r>
      <w:r>
        <w:rPr>
          <w:rFonts w:ascii="Times New Roman" w:cs="Times New Roman" w:eastAsia="Times New Roman" w:hAnsi="Times New Roman"/>
          <w:sz w:val="29"/>
          <w:szCs w:val="2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7830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1"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for notes executed following Indenture execution.</w:t>
      </w:r>
    </w:p>
    <w:p>
      <w:pPr>
        <w:ind w:left="340" w:hanging="332"/>
        <w:spacing w:after="0" w:line="180" w:lineRule="auto"/>
        <w:tabs>
          <w:tab w:leader="none" w:pos="340" w:val="left"/>
        </w:tabs>
        <w:numPr>
          <w:ilvl w:val="0"/>
          <w:numId w:val="7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for notes issued prior to Indenture execution.</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t>[FORM OF 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 due 2026</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26.5% Convertible Senior PIK Notes due 2026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in the aggregate principal amount of $[_______] (as increased by any PIK Payments). Additional Notes may be issued in an unlimited</w:t>
      </w:r>
    </w:p>
    <w:p>
      <w:pPr>
        <w:jc w:val="both"/>
        <w:spacing w:after="0" w:line="250" w:lineRule="auto"/>
        <w:rPr>
          <w:sz w:val="20"/>
          <w:szCs w:val="20"/>
          <w:color w:val="auto"/>
        </w:rPr>
      </w:pPr>
      <w:r>
        <w:rPr>
          <w:rFonts w:ascii="Times New Roman" w:cs="Times New Roman" w:eastAsia="Times New Roman" w:hAnsi="Times New Roman"/>
          <w:sz w:val="18"/>
          <w:szCs w:val="18"/>
          <w:color w:val="auto"/>
        </w:rPr>
        <w:t>aggregate principal amount, subject to certain conditions specified in the Indenture. Capitalized terms used in this Note and not defined in this Note shall have the respective meanings set forth in the Indenture (as amended in accordance herewith,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[____] between the Company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and [___]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[attached hereto as Exhibit A]</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The originally issued Notes, all PIK Notes, and any additional Notes issued as set forth in the Indenture or this Note shall constitute a single class.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Incorporation by Reference of Provisions of the Indenture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At all times during which the Indenture has not been executed and delivered, to the extent not inconsistent with any other terms of the Notes set forth herein, all of the terms and conditions of the Indenture shall be and are hereby incorporated by reference in the Notes as if fully set forth herein, and shall be binding upon the Company and, by accepting a Note, each Holder and inure to the benefit of the Holders of the Notes, except that (a) to the extent that the Indenture requires (i) any notices, certificates or other items to be delivered by the Company to the Trustee, Paying Agent or Conversion Agent, such notices, certificates or other items shall be delivered instead to each Holder, (ii) any Opinions of Counsel to be delivered by the Company to the Trustee, Paying Agent or Conversion Agent, such opinions shall instead be delivered to the Holders, (iii) any notices, certificates or other items to be delivered by the Holders to the Trustee, Paying Agent or Conversion Agent, such notices, certificates or other items shall be delivered instead by the Holders to the Company, (iv) any notices, certificates or other items to be delivered by the Trustee to the Holders, such notices, certificates or other items shall be delivered instead by the Company to the Holders (with any references to one or more Responsible Officers being deemed to refer to any Officer of the Company), (v) any payments or deliveries to be made by the Company to the Trustee, Paying Agent or Conversion Agent for payment or delivery, as the case may be, to Holders, such payments or deliveries shall instead be made directly by the Company to the applicable Holder in the same manner as set forth in Article 2 and Article 14 of the Indenture, (vi) any Note to be authenticated by the Trustee or an Authenticating Agent or to bear a certificate of authentication or require any Opinion of Counsel, Officer’s Certificate or Company Order for such authentication, the Notes shall instead by authenticated by the Company (the execution and delivery of any Note by manual, electronic or facsimile signature of the Company to be deemed to constitute such authentication for all purposes) without any requirement for any such Opinion of Counsel, Officer’s Certificate or Company Order, (vii)</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Notes to be canceled by the Trustee, such Notes shall instead be cancelled by the Company, (viii) any Notes to be surrendered to the Trustee or any Paying Agent, Conversion Agent or Note Registrar, such Notes shall be surrendered instead to the Company, (ix) Notes to be redeemed upon a partial redemption to be selected by the Trustee, such Notes shall be selected instead by the Company, (x) any amounts to be held in trust with the Trustee, Paying Agent or Conversion Agent, such amounts shall instead be set aside, segregated and held in trust by the Company for the benefit of the Holders of the Notes, (xi) the Trustee to execute any amendment or supplement pursuant to Article 10 of the Indenture, any such amendment or supplement shall be executed solely by the Company (for the avoidance of doubt, in the case of Section 10.02 of the Indenture, upon receipt of the requisite consent from Holders), or (xii) a supplemental indenture to evidence the succession of a Successor Corporation, such succession shall instead be evidenced by an amendment to this Note which shall be permitted without Holder consent pursuant to Section 10.01(b) of the Indenture; (b) any appointment or designation of the Trustee as Note Registrar, Paying Agent or Conversion Agent or agent for service of demands and notices in connection with the Notes, or of the Corporate Trust Office or any other office of the Trustee for the taking of any relevant action, shall hereby be deemed to instead refer to the Company instead and its office at 3920 Park Avenue, Edison, New Jersey 08820 (and/or such other or additional address as notified by the Company in writing to the Holders from time to time);</w:t>
      </w:r>
    </w:p>
    <w:p>
      <w:pPr>
        <w:spacing w:after="0" w:line="4" w:lineRule="exact"/>
        <w:rPr>
          <w:sz w:val="20"/>
          <w:szCs w:val="20"/>
          <w:color w:val="auto"/>
        </w:rPr>
      </w:pPr>
    </w:p>
    <w:p>
      <w:pPr>
        <w:jc w:val="both"/>
        <w:ind w:firstLine="8"/>
        <w:spacing w:after="0" w:line="255" w:lineRule="auto"/>
        <w:tabs>
          <w:tab w:leader="none" w:pos="2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Section 4.03, Section 4.04(a), Article 7, Section 10.05, Section 14.08 and Section 17.16 of the Indenture shall not apply; and (d) any and all rights granted to the Trustee under Article 6 and Article 9 of the Indenture shall be granted to and may be exercised by the Holders of a majority in principal amount of the outstanding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830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6"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for notes executed following Indenture execution.</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for notes issued prior to Indenture execution.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i w:val="1"/>
          <w:iCs w:val="1"/>
          <w:color w:val="auto"/>
        </w:rPr>
        <w:t>Indenture.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any time, in the Company’s sole discretion, the Company may appoint a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who satisfies the eligibility requirements of Article 7 of the Indenture and, in any such event, the Company shall take whatever actions are necessary to cause an Indenture substantially in the form of Exhibit A attached hereto to be executed and delivered by the Company and the Trustee. In such event, (i) this Note shall be cancelled and reissued, executed and authenticated in a like principal amount as set forth in the Indenture in the form of the applicable Form of Note as set forth in Exhibit A of the Indenture as executed and (ii) the Notes shall be subject to all of the terms stated in the Indenture. In such event, the Company may require Holders of the Notes, and each Holder by his or her acceptance hereof agrees upon the Company’s request, to surrender to the Trustee all Notes in the form hereof in exchange for replacement Notes substantially in the form of the applicable Form of Note as set forth in Exhibit A of the Indenture as executed.]</w:t>
      </w:r>
      <w:r>
        <w:rPr>
          <w:rFonts w:ascii="Times New Roman" w:cs="Times New Roman" w:eastAsia="Times New Roman" w:hAnsi="Times New Roman"/>
          <w:sz w:val="29"/>
          <w:szCs w:val="29"/>
          <w:color w:val="auto"/>
          <w:vertAlign w:val="superscript"/>
        </w:rPr>
        <w:t>12</w:t>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the Redemption Price on any Redemption Date, and the Capitalized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Amendments and Waivers.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Indenture contains provisions permitting in certain circumstances, without the consent of the Holders of the Notes, and in certain other circumstances, with the consent of the Holders of not less than a majority in aggregate principal amount of the Notes at the time outstanding, evidenced as in the Indenture provided, the amendment of the Notes and/or execution of supplemental indentures modifying the terms of the Notes and/or the Indenture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7"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for notes issued prior to Indenture execution.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i w:val="1"/>
          <w:iCs w:val="1"/>
          <w:color w:val="auto"/>
        </w:rPr>
        <w:t>Right to Payments.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Registered Form; Denominations; Transfer and Exchange.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Notes are issuable in registered form without coupons in denominations of $1.00 principal amount and integral multiples thereof. At the office or agency of the Company referred to herein,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Notes shall be redeemable at the Company’s option on or after June 30, 2024 in accordance with the terms and subject to the conditions specified in the Indenture. No sinking fund is provided for the Notes.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Fundamental Change Repurchase Right.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the Holder has the right, at such Holder’s option, to require the Company to repurchase for cash all of such Holder’s Notes or any portion thereof (in principal amounts of $1,000 or integral multiples of $1.00 in excess thereof) on the Fundamental Change Repurchase Date at a price equal to the Fundamental Change Repurchase Price.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prior to the close of business on the Business Day immediately preceding the Maturity Date, to convert any Notes or portion thereof that is $1,000 or an integral multiple of $1.00 in excess thereof, into shares of Common Stock at the Conversion Rate specified in the Indenture, as adjusted from time to time as provided in the Indenture.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color w:val="auto"/>
        </w:rPr>
        <w:t>ABBREVIATIONS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 Additional abbreviations may also be used though not in the above list.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29"/>
          <w:szCs w:val="29"/>
          <w:b w:val="1"/>
          <w:bCs w:val="1"/>
          <w:color w:val="auto"/>
          <w:vertAlign w:val="superscript"/>
        </w:rPr>
        <w:t>13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Notes due 2026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initial principal amount of this Global Note is _______ DOLLARS ($[_________]). The following increases or decreases in this Global Note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have been made:</w:t>
            </w: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5"/>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Amount of decrease in</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principal amount of this</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Amount of increase in principal</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amount of this Global Note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authorized signatory of</w:t>
            </w:r>
          </w:p>
        </w:tc>
      </w:tr>
      <w:tr>
        <w:trPr>
          <w:trHeight w:val="241"/>
        </w:trPr>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Date of exchange</w:t>
            </w:r>
          </w:p>
        </w:tc>
        <w:tc>
          <w:tcPr>
            <w:tcW w:w="23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Global Note</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amount of this Global Note</w:t>
            </w:r>
          </w:p>
        </w:tc>
        <w:tc>
          <w:tcPr>
            <w:tcW w:w="2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following such decrease or increase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Trustee or Custodian</w:t>
            </w:r>
          </w:p>
        </w:tc>
      </w:tr>
      <w:tr>
        <w:trPr>
          <w:trHeight w:val="216"/>
        </w:trPr>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ind w:left="340" w:hanging="332"/>
        <w:spacing w:after="0" w:line="184" w:lineRule="auto"/>
        <w:tabs>
          <w:tab w:leader="none" w:pos="340" w:val="left"/>
        </w:tabs>
        <w:numPr>
          <w:ilvl w:val="0"/>
          <w:numId w:val="7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 if a global note.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9820"/>
        <w:spacing w:after="0"/>
        <w:rPr>
          <w:sz w:val="20"/>
          <w:szCs w:val="20"/>
          <w:color w:val="auto"/>
        </w:rPr>
      </w:pPr>
      <w:r>
        <w:rPr>
          <w:rFonts w:ascii="Times New Roman" w:cs="Times New Roman" w:eastAsia="Times New Roman" w:hAnsi="Times New Roman"/>
          <w:sz w:val="17"/>
          <w:szCs w:val="17"/>
          <w:b w:val="1"/>
          <w:bCs w:val="1"/>
          <w:color w:val="auto"/>
        </w:rPr>
        <w:t>ATTACHMENT 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Notes due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Eos Energy Enterprises,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3920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Edison, New Jersey 08820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i w:val="1"/>
          <w:iCs w:val="1"/>
          <w:color w:val="auto"/>
        </w:rPr>
        <w:t>Trustee Name</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 Address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of $1.00 in excess thereof) below designated, into shares of Common Stock in accordance with the terms of the Indenture referred to in this Note, and directs that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 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 eligible Guarantor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associations and credit unions)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Rule 17Ad-15 if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are to be issued,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in the name of the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Fill in for registration of shares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issued, and Notes if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delivered, other than to and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amount to be converted (if less than all): $______,000</w:t>
      </w:r>
    </w:p>
    <w:p>
      <w:pPr>
        <w:spacing w:after="0" w:line="225" w:lineRule="exact"/>
        <w:rPr>
          <w:sz w:val="20"/>
          <w:szCs w:val="20"/>
          <w:color w:val="auto"/>
        </w:rPr>
      </w:pPr>
    </w:p>
    <w:p>
      <w:pPr>
        <w:ind w:left="3240"/>
        <w:spacing w:after="0" w:line="282"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1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99" w:name="page100"/>
    <w:bookmarkEnd w:id="99"/>
    <w:p>
      <w:pPr>
        <w:ind w:left="9820"/>
        <w:spacing w:after="0"/>
        <w:rPr>
          <w:sz w:val="20"/>
          <w:szCs w:val="20"/>
          <w:color w:val="auto"/>
        </w:rPr>
      </w:pPr>
      <w:r>
        <w:rPr>
          <w:rFonts w:ascii="Times New Roman" w:cs="Times New Roman" w:eastAsia="Times New Roman" w:hAnsi="Times New Roman"/>
          <w:sz w:val="17"/>
          <w:szCs w:val="17"/>
          <w:b w:val="1"/>
          <w:bCs w:val="1"/>
          <w:color w:val="auto"/>
        </w:rPr>
        <w:t>ATTACHMENT 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Notes due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Eos Energy Enterprises,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3920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Edison, New Jersey 08820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i w:val="1"/>
          <w:iCs w:val="1"/>
          <w:color w:val="auto"/>
        </w:rPr>
        <w:t>Trustee Name</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 Address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Eos Energy Enterprises,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the applicable Fundamental Change Repurchase Price. Capitalized terms used herein but not defined shall have the meanings ascribed to such terms in the Indenture.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amount to be repaid (if less than all): $______,000</w:t>
      </w:r>
    </w:p>
    <w:p>
      <w:pPr>
        <w:spacing w:after="0" w:line="225" w:lineRule="exact"/>
        <w:rPr>
          <w:sz w:val="20"/>
          <w:szCs w:val="20"/>
          <w:color w:val="auto"/>
        </w:rPr>
      </w:pPr>
    </w:p>
    <w:p>
      <w:pPr>
        <w:ind w:left="3240"/>
        <w:spacing w:after="0" w:line="282"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ind w:left="9820"/>
        <w:spacing w:after="0"/>
        <w:rPr>
          <w:sz w:val="20"/>
          <w:szCs w:val="20"/>
          <w:color w:val="auto"/>
        </w:rPr>
      </w:pPr>
      <w:r>
        <w:rPr>
          <w:rFonts w:ascii="Times New Roman" w:cs="Times New Roman" w:eastAsia="Times New Roman" w:hAnsi="Times New Roman"/>
          <w:sz w:val="17"/>
          <w:szCs w:val="17"/>
          <w:b w:val="1"/>
          <w:bCs w:val="1"/>
          <w:color w:val="auto"/>
        </w:rPr>
        <w:t>ATTACHMENT 3</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Notes due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any transfer of the within Note, the undersigned confirms that such Note is being transferred:</w:t>
      </w:r>
    </w:p>
    <w:p>
      <w:pPr>
        <w:spacing w:after="0" w:line="225" w:lineRule="exact"/>
        <w:rPr>
          <w:sz w:val="20"/>
          <w:szCs w:val="20"/>
          <w:color w:val="auto"/>
        </w:rPr>
      </w:pPr>
    </w:p>
    <w:p>
      <w:pPr>
        <w:ind w:left="220" w:hanging="212"/>
        <w:spacing w:after="0"/>
        <w:tabs>
          <w:tab w:leader="none" w:pos="220" w:val="left"/>
        </w:tabs>
        <w:numPr>
          <w:ilvl w:val="0"/>
          <w:numId w:val="7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Eos Energy Enterprises, Inc. or a subsidiary thereof; or</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7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 registration statement that has become or been declared effective under the Securities Act of 1933, as amended; or</w:t>
      </w:r>
    </w:p>
    <w:p>
      <w:pPr>
        <w:spacing w:after="0" w:line="225" w:lineRule="exact"/>
        <w:rPr>
          <w:rFonts w:ascii="MS PGothic" w:cs="MS PGothic" w:eastAsia="MS PGothic" w:hAnsi="MS PGothic"/>
          <w:sz w:val="18"/>
          <w:szCs w:val="18"/>
          <w:color w:val="auto"/>
        </w:rPr>
      </w:pPr>
    </w:p>
    <w:p>
      <w:pPr>
        <w:ind w:firstLine="8"/>
        <w:spacing w:after="0" w:line="282" w:lineRule="auto"/>
        <w:tabs>
          <w:tab w:leader="none" w:pos="227" w:val="left"/>
        </w:tabs>
        <w:numPr>
          <w:ilvl w:val="0"/>
          <w:numId w:val="7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 under the Securities Act of 1933, as amended, or any other available exemption from the registration requirements of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Guarantor Institution (banks,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savings and loan associations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unions) 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17Ad-15 if Notes are to be delivered,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to and in the name of the registered holder.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right"/>
        <w:ind w:right="2839"/>
        <w:spacing w:after="0"/>
        <w:rPr>
          <w:sz w:val="20"/>
          <w:szCs w:val="20"/>
          <w:color w:val="auto"/>
        </w:rPr>
      </w:pPr>
      <w:r>
        <w:rPr>
          <w:rFonts w:ascii="Times New Roman" w:cs="Times New Roman" w:eastAsia="Times New Roman" w:hAnsi="Times New Roman"/>
          <w:sz w:val="18"/>
          <w:szCs w:val="18"/>
          <w:b w:val="1"/>
          <w:bCs w:val="1"/>
          <w:color w:val="auto"/>
        </w:rPr>
        <w:t>[EXHIBIT A - FORM OF INDENTURE]</w:t>
      </w:r>
      <w:r>
        <w:rPr>
          <w:rFonts w:ascii="Times New Roman" w:cs="Times New Roman" w:eastAsia="Times New Roman" w:hAnsi="Times New Roman"/>
          <w:sz w:val="29"/>
          <w:szCs w:val="29"/>
          <w:b w:val="1"/>
          <w:bCs w:val="1"/>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1471930</wp:posOffset>
            </wp:positionV>
            <wp:extent cx="178308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for notes issued prior to Indenture execution.</w:t>
      </w:r>
    </w:p>
    <w:p>
      <w:pPr>
        <w:spacing w:after="0" w:line="200" w:lineRule="exact"/>
        <w:rPr>
          <w:sz w:val="20"/>
          <w:szCs w:val="20"/>
          <w:color w:val="auto"/>
        </w:rPr>
      </w:pPr>
    </w:p>
    <w:p>
      <w:pPr>
        <w:spacing w:after="0" w:line="21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INVESTMENT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22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THE PURCHASERS LISTED ON SCHEDULE A</w:t>
      </w:r>
    </w:p>
    <w:p>
      <w:pPr>
        <w:spacing w:after="0" w:line="22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and the other parties named herein</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Dated as of January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98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0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Interpretive Principles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Sale and Purchase of the Notes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and Purchase of the Notes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3.01</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3.02</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Representations and Warranties of the Purchasers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Additional Agreements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4.01</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Taking of Necessary Action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4.02</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Period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4.03</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Standstill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4.04</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Laws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4.05</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Lost, Stolen, Destroyed or Mutilated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4.06</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Antitrust Approval</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4.07</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Tax Matters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4.08</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Confidentiality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4.09 NASDAQ Approval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Authorized and Reserved Company Common Stock</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 Registration Rights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5.01</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Registration Statement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5.02</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Limitations and Obligations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5.03</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Registration Procedures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5.04</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5.05</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Registration Indemnification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5.06</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Facilitation of Sales Pursuant to Rule 144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Miscellaneous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6.01</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6.02</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6.03</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Entire Agreement; Third Party Beneficiaries; Amendment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6.04</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6.05</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Announcements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6.06</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6.07</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Successors and Assigns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6.08</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Governing Law; Jurisdiction; Waiver of Jury Trial</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6.09</w:t>
            </w: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6.10</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Specific Performance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6.11 Headings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6.12</w:t>
            </w:r>
          </w:p>
        </w:tc>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Non-Recourse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Exhibit A:</w:t>
            </w:r>
          </w:p>
        </w:tc>
        <w:tc>
          <w:tcPr>
            <w:tcW w:w="360" w:type="dxa"/>
            <w:vAlign w:val="bottom"/>
            <w:shd w:val="clear" w:color="auto" w:fill="CCEEFF"/>
          </w:tcPr>
          <w:p>
            <w:pPr>
              <w:spacing w:after="0"/>
              <w:rPr>
                <w:sz w:val="18"/>
                <w:szCs w:val="18"/>
                <w:color w:val="auto"/>
              </w:rPr>
            </w:pPr>
          </w:p>
        </w:tc>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of Note</w:t>
            </w:r>
          </w:p>
        </w:tc>
        <w:tc>
          <w:tcPr>
            <w:tcW w:w="1120" w:type="dxa"/>
            <w:vAlign w:val="bottom"/>
            <w:shd w:val="clear" w:color="auto" w:fill="CCEEFF"/>
          </w:tcPr>
          <w:p>
            <w:pPr>
              <w:spacing w:after="0"/>
              <w:rPr>
                <w:sz w:val="18"/>
                <w:szCs w:val="18"/>
                <w:color w:val="auto"/>
              </w:rPr>
            </w:pP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Exhibit B:</w:t>
            </w:r>
          </w:p>
        </w:tc>
        <w:tc>
          <w:tcPr>
            <w:tcW w:w="36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Joinder</w:t>
            </w:r>
          </w:p>
        </w:tc>
        <w:tc>
          <w:tcPr>
            <w:tcW w:w="1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A:</w:t>
            </w:r>
          </w:p>
        </w:tc>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 Schedule</w:t>
            </w:r>
          </w:p>
        </w:tc>
        <w:tc>
          <w:tcPr>
            <w:tcW w:w="1120" w:type="dxa"/>
            <w:vAlign w:val="bottom"/>
            <w:shd w:val="clear" w:color="auto" w:fill="CCEEFF"/>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B:</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Purchaser Notice Information</w:t>
            </w:r>
          </w:p>
        </w:tc>
        <w:tc>
          <w:tcPr>
            <w:tcW w:w="1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C:</w:t>
            </w:r>
          </w:p>
        </w:tc>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List of Competitors</w:t>
            </w:r>
          </w:p>
        </w:tc>
        <w:tc>
          <w:tcPr>
            <w:tcW w:w="1120" w:type="dxa"/>
            <w:vAlign w:val="bottom"/>
            <w:shd w:val="clear" w:color="auto" w:fill="CCEEFF"/>
          </w:tcPr>
          <w:p>
            <w:pPr>
              <w:spacing w:after="0"/>
              <w:rPr>
                <w:sz w:val="18"/>
                <w:szCs w:val="18"/>
                <w:color w:val="auto"/>
              </w:rPr>
            </w:pPr>
          </w:p>
        </w:tc>
      </w:t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D:</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List of Activist Investors</w:t>
            </w:r>
          </w:p>
        </w:tc>
        <w:tc>
          <w:tcPr>
            <w:tcW w:w="1120" w:type="dxa"/>
            <w:vAlign w:val="bottom"/>
          </w:tcPr>
          <w:p>
            <w:pPr>
              <w:spacing w:after="0"/>
              <w:rPr>
                <w:sz w:val="20"/>
                <w:szCs w:val="20"/>
                <w:color w:val="auto"/>
              </w:rPr>
            </w:pP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INVESTMENT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INVESTMENT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dated as of January 18, 2023, is by and among Eos Energy Enterprises, Inc., a Delaware corporation (together with any successor or assign pursuant to Section 6.07,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the parties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collectively, together with their successors and any permitted transferees that becomes a Purchaser party hereto in accordance with Section 4.02 and Section 6.07,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Capitalized terms not otherwise defined where used shall have the meanings ascribed thereto in Article I.</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Purchasers desire to purchase from the Company, and the Company desires to issue and sell to the Purchasers, the number of the Company’s 26.5% Convertible Senior PIK Notes due June 30, 2026 (referred to herein as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xml:space="preserv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specified opposite such Purchaser’s name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to be issued in accordance with the terms and conditions of the form of Indenture attached as an exhibit thereto and this Agreement;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Purchasers desire to set forth certain agreements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and agreements herein contained and intending to be legally bound hereby, the parties hereby agree as follows:</w:t>
      </w:r>
    </w:p>
    <w:p>
      <w:pPr>
        <w:spacing w:after="0" w:line="1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Activist Investor</w:t>
      </w:r>
      <w:r>
        <w:rPr>
          <w:rFonts w:ascii="Times New Roman" w:cs="Times New Roman" w:eastAsia="Times New Roman" w:hAnsi="Times New Roman"/>
          <w:sz w:val="18"/>
          <w:szCs w:val="18"/>
          <w:color w:val="auto"/>
        </w:rPr>
        <w:t>” means, as of any date of determination, a Person (other than Purchasers and Purchasers’ Affiliates) that has, directly or indirectly through its Affiliates, whether individually or as a member of a “group” (as defined in Section 13(d)(3) of the Exchange Act), within the three-year period immediately preceding such date of determination (i) called or publicly sought to call a meeting of the stockholders or other equityholders of any Person not publicly approved (at the time of the first such action) by the board of directors or similar governing body of such Person, (ii) publicly initiated any proposal for action by stockholders or other equityholders of any Person initially publicly opposed by the board of directors or similar governing body of such Person, (iii) publicly sought election to, or to place a director or representative on, the board of directors or similar governing body of a Person, or publicly sought the removal of a director or other representative from such board of directors or similar governing body, in each case which election or removal was not recommended or approved publicly (at the time such election or removal is first sought) by the board of directors or (iv) publicly disclosed any intention, plan or arrangement to do any of the foregoing.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any other Person which directly or indirectly controls or is controlled by or is under common control with such Person. Notwithstanding the foregoing, (i) the Company and the Company’s Subsidiaries shall not be considered Affiliates of the Purchasers or any of the Purchasers’ Affiliates and (ii) for purposes of the definitions of “Beneficially Own”, “Purchaser Group” and “Third Party” and Sections 3.02(D), 3.02(F) and 4.02, no portfolio company of a Purchaser or its respective Affiliates shall be deemed an Affiliate of such Purchaser and its other Affiliates so long as such portfolio company (x) has not been directed, encouraged, instructed, assisted, advised or supported by, or coordinated with, such Purchaser or any of its Affiliates in carrying out any act prohibited by this Agreement, (y) is not a member of a group (as such term is defined in Section 13(d)(3) of the Exchange Act) with either such Purchaser or any of its Affiliates with respect to any securities of the Company, and (z) has not received from such Purchaser or any Affiliate of such Purchaser, directly or indirectly, any Confidential Information. As used in this definition, “control” (including its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w:t>
      </w:r>
      <w:r>
        <w:rPr>
          <w:rFonts w:ascii="Times New Roman" w:cs="Times New Roman" w:eastAsia="Times New Roman" w:hAnsi="Times New Roman"/>
          <w:sz w:val="18"/>
          <w:szCs w:val="18"/>
          <w:color w:val="auto"/>
        </w:rPr>
        <w:t>” means, with respect to a Registration Statement, that such Registration Statement is effective and there is no stop order with respect thereto and such Registration Statement does not contain an untrue statement of a material fact or omit to state a material fact required to be stated therein, such that such Registration Statement will be available for the resale of Registrable Securities.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 set forth in Rule 13d-3 of the rules and regulations promulgated under the Exchange Act, as in effect on the date hereof. Solely for purposes of determining the number of shares of Company Common Stock issuable upon conversion of the Notes Beneficially Owned by a Purchaser and its Affiliates, the Notes shall be treated as if upon conversion the only settlement option under the Notes and Indenture were solely Physical Settlement (as defined in the Indenture). For the avoidance of doubt, for purposes of this Agreement, the Purchasers (or any other Person) shall at all times be deemed to have Beneficial Ownership of shares of Company Common Stock issuable upon conversion of the Notes directly or indirectly held by them irrespective of any restrictions on transfer or other terms contained in this Agreement or the other Transaction Documents.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means in the event that the Company determines in good faith that filing a Registration Statement or making it Available could reasonably be expected to adversely affect or interfere with any financing of the Company or any transaction under consideration by the Company or would require disclosure of information that has not been, and is not otherwise then required to be, disclosed to the public, the premature disclosure of which would adversely affect the Company or the Registration Statement is otherwise not available for use, a period of up to ninety (90) days; provided that a Blackout Period may not be called by the Company more than twice in any period of twelve (12) consecutive months and the aggregate length of Blackout Periods in any period of twelve (12) consecutive months may not exceed one hundred and twenty (120) days.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the board of directors of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 day on which banking institutions in The City of New York, New York are authorized or obligated by law or executive order to remain 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mean a “Fundamental Change” as defined in the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have the meaning set forth in Section 2.02(A).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set forth in Section 2.02(A).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shall mean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Reports</w:t>
      </w:r>
      <w:r>
        <w:rPr>
          <w:rFonts w:ascii="Times New Roman" w:cs="Times New Roman" w:eastAsia="Times New Roman" w:hAnsi="Times New Roman"/>
          <w:sz w:val="18"/>
          <w:szCs w:val="18"/>
          <w:color w:val="auto"/>
        </w:rPr>
        <w:t>” shall have the meaning set forth in Section 3.01(G)(1).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shall mean (i) the Company Common Stock, (ii) securities convertible into or exchangeable for Company Common Stock, including the Notes, (iii) any other equity or equity-linked securities issued by the Company and (iv) any options, warrants or other rights to acquire Company Common Stock or any other equity or equity-linked securities issued by the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shall have the meaning set forth in Section 4.08(B).</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shall mean the Mutual Confidentiality and Non-Disclosure Agreement entered into between the Company and American Money Management Corporation, dated as of November 14, 2022.</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shall mean the Delaware General Corporation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shall have the meaning set forth in Section 3.02(D)(3).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shall have the meaning set forth in Section 3.01(C).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Extraordinary Transaction</w:t>
      </w:r>
      <w:r>
        <w:rPr>
          <w:rFonts w:ascii="Times New Roman" w:cs="Times New Roman" w:eastAsia="Times New Roman" w:hAnsi="Times New Roman"/>
          <w:sz w:val="18"/>
          <w:szCs w:val="18"/>
          <w:color w:val="auto"/>
        </w:rPr>
        <w:t>” shall have the meaning set forth in Section 4.03(A)(5).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shall have the meaning set forth in Section 3.01(J)(2).</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shall mean, with respect to a party, an actual and intentional misrepresentation of a material existing fact with respect to the making of any representation or warranty in Article III with knowledge of its falsity for the purpose of inducing the other party to act upon it, and upon which the other party justifiably relies .</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U.S. generally accepted accounting principles.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shall mean any court, administrative agency or commission or other governmental authority or instrumentality, whether federal, state, local or foreign, and any applicable industry self-regulatory organization.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shall mean the Hart-Scott-Rodino Antitrust Improvements Act of 1976.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shall have the meaning set forth in Section 5.05(A).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xml:space="preserve">” shall mean an indenture in the form attached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trademarks, service marks, trade names, trade dress, domain names and other indications of origin, and the goodwill associated with the foregoing, mask works, inventions, patents, trade secrets, copyrights, know-how, rights in computer software and code (including any registrations or applications for registration of any of the foregoing) or any other similar type of proprietary intellectual property rights, in each case anywhere in the world.</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 Form</w:t>
      </w:r>
      <w:r>
        <w:rPr>
          <w:rFonts w:ascii="Times New Roman" w:cs="Times New Roman" w:eastAsia="Times New Roman" w:hAnsi="Times New Roman"/>
          <w:sz w:val="18"/>
          <w:szCs w:val="18"/>
          <w:color w:val="auto"/>
        </w:rPr>
        <w:t>” shall mean the properly executed and completed Internal Revenue Service Form W-9 or the appropriate IRS Form W-8, as applicable.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xml:space="preserve">” shall mean, with respect to any Person permitted to sign such document in accordance with the terms hereof, a joinder executed and delivered by such Person, providing such Person to have all the rights and obligations of a Purchaser under this Agreement, in the form and substance substantially as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may be agreed to by the Company and the Purchasers.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shall mean, when referring to the “knowledge” of the Company or the Purchasers, or any similar phrase or qualification based on knowledge of the Company or the Purchasers, the actual knowledge of such Company or such Purchaser.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shall have the meaning set forth in Section 5.05(A).</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shall mean any events, changes or developments that, individually or in the aggregate, have a material adverse effect on the business, financial condition or results of operations of the Company and its Subsidiaries, taken as a whole, other than any event, change or development resulting from or arising out of the following: (a) events, changes or developments generally affecting the economy, the financial or securities markets, or political, legislative or regulatory conditions, in each case in the United States or elsewhere in the world, (b) events, changes or developments in the industries in which the Company or any of its Subsidiaries conducts its business, (c) any adoption, implementation, promulgation, repeal, modification, reinterpretation or proposal of any rule, regulation, ordinance, order, protocol or any other law of or by any national, regional, state or local Governmental Entity, or market administrator, (d) any changes in GAAP or accounting standards or interpretations thereof, (e) earthquakes, any weather-related or other force majeure event or natural disasters, pandemics or outbreak or escalation of hostilities or acts of war or terrorism, (f) the announcement or the existence of, compliance with or performance under, this Agreement or the transactions contemplated hereby (it being understood and agreed that the exception in this clause (f) shall not apply with respect to any representation or warranty that is intended to address the consequences of the execution, delivery or performance of this Agreement or the consummation of the transactions contemplated hereby), (g) any taking of any action at the request of the Purchasers, (h) any failure by the Company to meet any financial projections or forecasts or estimates of revenues, earnings or other financial metrics for any period (provided that the exception in this clause (h) shall not prevent or otherwise affect a determination that any event, change, effect or development underlying such failure has resulted in a Material Adverse Effect so long as it is not otherwise excluded by this definition) or (i) any changes in the share price or trading volume of the Company Common Stock or in the Company’s credit rating (provided that the exception in this clause (i) shall not prevent or otherwise affect a determination that any event, change, effect or development underlying such change has resulted in a Material Adverse Effect so long as it is not otherwise excluded by this definition); except, in each case with respect to subclauses (a) through (e), to the extent that such event, change or development disproportionately affects the Company and its Subsidiaries, taken as a whole, relative to other similarly situated companies in the industries in which the Company and its Subsidiaries operate.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shall mean the Nasdaq Capital Market.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“Owned Intellectual Property” </w:t>
      </w:r>
      <w:r>
        <w:rPr>
          <w:rFonts w:ascii="Times New Roman" w:cs="Times New Roman" w:eastAsia="Times New Roman" w:hAnsi="Times New Roman"/>
          <w:sz w:val="18"/>
          <w:szCs w:val="18"/>
          <w:color w:val="auto"/>
        </w:rPr>
        <w:t>means any and all Intellectual Property owned by either the Company or any of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“Permitted Transfers” </w:t>
      </w:r>
      <w:r>
        <w:rPr>
          <w:rFonts w:ascii="Times New Roman" w:cs="Times New Roman" w:eastAsia="Times New Roman" w:hAnsi="Times New Roman"/>
          <w:sz w:val="18"/>
          <w:szCs w:val="18"/>
          <w:color w:val="auto"/>
        </w:rPr>
        <w:t>has the meaning set forth in Section 4.02(A).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“person” </w:t>
      </w:r>
      <w:r>
        <w:rPr>
          <w:rFonts w:ascii="Times New Roman" w:cs="Times New Roman" w:eastAsia="Times New Roman" w:hAnsi="Times New Roman"/>
          <w:sz w:val="18"/>
          <w:szCs w:val="18"/>
          <w:color w:val="auto"/>
        </w:rPr>
        <w:t>shall mean an individual, corporation, limited liability or unlimited liability company, association, partnership, trust, 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venture, business trust or unincorporated organization, or a government or any agency or political subdivision thereof, or other entity of any kind or nature.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“Prohibited Transfers” </w:t>
      </w:r>
      <w:r>
        <w:rPr>
          <w:rFonts w:ascii="Times New Roman" w:cs="Times New Roman" w:eastAsia="Times New Roman" w:hAnsi="Times New Roman"/>
          <w:sz w:val="18"/>
          <w:szCs w:val="18"/>
          <w:color w:val="auto"/>
        </w:rPr>
        <w:t>shall have the meaning set forth in Section 4.02(A).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“Purchase Price” </w:t>
      </w:r>
      <w:r>
        <w:rPr>
          <w:rFonts w:ascii="Times New Roman" w:cs="Times New Roman" w:eastAsia="Times New Roman" w:hAnsi="Times New Roman"/>
          <w:sz w:val="18"/>
          <w:szCs w:val="18"/>
          <w:color w:val="auto"/>
        </w:rPr>
        <w:t>shall have the meaning set forth in Section 2.01.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“Purchaser” </w:t>
      </w:r>
      <w:r>
        <w:rPr>
          <w:rFonts w:ascii="Times New Roman" w:cs="Times New Roman" w:eastAsia="Times New Roman" w:hAnsi="Times New Roman"/>
          <w:sz w:val="18"/>
          <w:szCs w:val="18"/>
          <w:color w:val="auto"/>
        </w:rPr>
        <w:t>shall have the meaning set forth in the preamble 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“Purchasers’ Affiliates” </w:t>
      </w:r>
      <w:r>
        <w:rPr>
          <w:rFonts w:ascii="Times New Roman" w:cs="Times New Roman" w:eastAsia="Times New Roman" w:hAnsi="Times New Roman"/>
          <w:sz w:val="18"/>
          <w:szCs w:val="18"/>
          <w:color w:val="auto"/>
        </w:rPr>
        <w:t>means each Purchaser’s Affiliates and their respective principals, directors, general partners, officers, employees,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and representatives acting on their behalf.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Group</w:t>
      </w:r>
      <w:r>
        <w:rPr>
          <w:rFonts w:ascii="Times New Roman" w:cs="Times New Roman" w:eastAsia="Times New Roman" w:hAnsi="Times New Roman"/>
          <w:sz w:val="18"/>
          <w:szCs w:val="18"/>
          <w:color w:val="auto"/>
        </w:rPr>
        <w:t>” means each Purchaser together with its Affiliates, including Purchasers’ Affiliates.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shall mean the Subject Securities; provided that any Subject Securities will cease to be Registrable Securities upon the earliest of (a) when such Subject Securities have been sold or otherwise disposed of by the Purchaser and its Affiliates pursuant to an effective Registration Statement or in compliance with Rule 144 of the Securities Act, (b) when such Subject Securities cease to be outstanding or (c) the Subject Securities represent less than one percent (1%) of the outstanding shares of Company Common Stock; provided, further, that any securities that have ceased to be Registrable Securities in accordance with the foregoing definition shall not thereafter become Registrable Securities and any securities that are issued or distributed in respect of securities that, at the time of such issuance or distribution, have ceased to be Registrable Securities are not Registrable Securities.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shall mean all expenses incurred by the Company in complying with Article V, including all registration, filing and listing fees, printing expenses, fees and disbursements of counsel and independent public accountants for the Company, fees and expenses incurred by the Company in connection with complying with state securities or “blue sky” laws, fees of the Financial Industry Regulatory Authority, Inc., all the Company’s internal expenses, transfer taxes, and fees of transfer agents and registrars, but excluding any underwriting discounts and commissions, agency fees, brokers’ commissions and transfer taxes, in each case to the extent applicable to the Registrable Securities of the selling holders.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mean any registration statement of the Company filed or to be filed with the SEC under the rules and regulations promulgated under the Securities Act, including the related prospectus, amendments and supplements to such registration statement, and including pre- and post-effective amendments, and all exhibits and all material incorporated by reference in such registration statement.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Termination Date</w:t>
      </w:r>
      <w:r>
        <w:rPr>
          <w:rFonts w:ascii="Times New Roman" w:cs="Times New Roman" w:eastAsia="Times New Roman" w:hAnsi="Times New Roman"/>
          <w:sz w:val="18"/>
          <w:szCs w:val="18"/>
          <w:color w:val="auto"/>
        </w:rPr>
        <w:t>” shall have the meaning set forth in Section 5.01(B).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shall have the meaning set forth in Section 4.08(A).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shall mean the period commencing on the Closing Date and ending six (6) months following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U.S.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Holder Information</w:t>
      </w:r>
      <w:r>
        <w:rPr>
          <w:rFonts w:ascii="Times New Roman" w:cs="Times New Roman" w:eastAsia="Times New Roman" w:hAnsi="Times New Roman"/>
          <w:sz w:val="18"/>
          <w:szCs w:val="18"/>
          <w:color w:val="auto"/>
        </w:rPr>
        <w:t>” shall have the meaning set forth in Section 5.05(A).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Holders</w:t>
      </w:r>
      <w:r>
        <w:rPr>
          <w:rFonts w:ascii="Times New Roman" w:cs="Times New Roman" w:eastAsia="Times New Roman" w:hAnsi="Times New Roman"/>
          <w:sz w:val="18"/>
          <w:szCs w:val="18"/>
          <w:color w:val="auto"/>
        </w:rPr>
        <w:t>” shall have the meaning set forth in Section 5.03(A)(1).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Persons</w:t>
      </w:r>
      <w:r>
        <w:rPr>
          <w:rFonts w:ascii="Times New Roman" w:cs="Times New Roman" w:eastAsia="Times New Roman" w:hAnsi="Times New Roman"/>
          <w:sz w:val="18"/>
          <w:szCs w:val="18"/>
          <w:color w:val="auto"/>
        </w:rPr>
        <w:t>” shall have the meaning set forth in Section 6.12.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Standstill Period</w:t>
      </w:r>
      <w:r>
        <w:rPr>
          <w:rFonts w:ascii="Times New Roman" w:cs="Times New Roman" w:eastAsia="Times New Roman" w:hAnsi="Times New Roman"/>
          <w:sz w:val="18"/>
          <w:szCs w:val="18"/>
          <w:color w:val="auto"/>
        </w:rPr>
        <w:t>” shall mean the period commencing on the Closing Date and ending on the six (6) month anniversary of the Closing Date.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Securities</w:t>
      </w:r>
      <w:r>
        <w:rPr>
          <w:rFonts w:ascii="Times New Roman" w:cs="Times New Roman" w:eastAsia="Times New Roman" w:hAnsi="Times New Roman"/>
          <w:sz w:val="18"/>
          <w:szCs w:val="18"/>
          <w:color w:val="auto"/>
        </w:rPr>
        <w:t>” shall mean (i) the Notes; (ii) shares of Company Common Stock issuable or issued upon conversion of the Notes; and (iii) any securities issued (or issuable upon the conversion, exercise or exchange of any warrant, right or other security that is issued) as a dividend, stock split, combination or in any reclassification, recapitalization, merger, consolidation, exchange or any other distribution or reorganization with respect to, or in exchange for, or in replacement of, the securities referenced in clause (i) or (ii) (without giving effect to any election by the Company regarding settlement options upon conversion) above or this clause (iii).</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Registration Date</w:t>
      </w:r>
      <w:r>
        <w:rPr>
          <w:rFonts w:ascii="Times New Roman" w:cs="Times New Roman" w:eastAsia="Times New Roman" w:hAnsi="Times New Roman"/>
          <w:sz w:val="18"/>
          <w:szCs w:val="18"/>
          <w:color w:val="auto"/>
        </w:rPr>
        <w:t>” shall have the meaning set forth in Section 5.01(A).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federal, state, local, and foreign income, excise, gross receipts, gross income, ad valorem, profits, gains, property, capital, sales, transfer, use, payroll, employment, severance, withholding, duties, intangibles, franchise, backup withholding, value-added, and other taxes imposed by a Governmental Entity, together with all interest, penalties and additions to tax imposed with respect thereto.</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shall mean a report, return or other document (including any amendments thereto) required to be supplied to a Governmental Entity with respect to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shall mean a Person other than any member of the Purchaser Group or any of their respective Affiliates.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Tender/Exchange Offer</w:t>
      </w:r>
      <w:r>
        <w:rPr>
          <w:rFonts w:ascii="Times New Roman" w:cs="Times New Roman" w:eastAsia="Times New Roman" w:hAnsi="Times New Roman"/>
          <w:sz w:val="18"/>
          <w:szCs w:val="18"/>
          <w:color w:val="auto"/>
        </w:rPr>
        <w:t>” shall have the meaning set forth in Section 4.02(A).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shall have the meaning set forth in Section 3.01(C).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shall have the meaning set forth in Section 3.01(C).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set forth in Section 4.02(A).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shall mean securities of any class or kind having the power to vote generally for the election of directors, managers or other voting members of the governing body of the Company or any successor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WKSI</w:t>
      </w:r>
      <w:r>
        <w:rPr>
          <w:rFonts w:ascii="Times New Roman" w:cs="Times New Roman" w:eastAsia="Times New Roman" w:hAnsi="Times New Roman"/>
          <w:sz w:val="18"/>
          <w:szCs w:val="18"/>
          <w:color w:val="auto"/>
        </w:rPr>
        <w:t>” means a “well known seasoned issuer” as defined under Rule 405.</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The name assigned to this Agreement and the section captions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and annexes hereto), and references herein to Articles or Sections refer to Articles or Sections of this Agreement. For the avoidance of doubt, notwithstanding anything in this Agreement to the contrary, none of the Notes will have any right to vote or any right to receive any dividends or other distributions that are made or paid to the holders of the shares of Company Common Stock. References to any law or statute shall be deemed to refer to such law or statute as amended from time to time and, if applicable, to any rules or regulations promulgated thereunder. References to any agreement or contract are to that agreement or contract as amended, modified or supplemented from time to time in accordance with the terms hereof and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Sale and Purchase of the Notes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Sale and Purchase of the Notes</w:t>
      </w:r>
      <w:r>
        <w:rPr>
          <w:rFonts w:ascii="Times New Roman" w:cs="Times New Roman" w:eastAsia="Times New Roman" w:hAnsi="Times New Roman"/>
          <w:sz w:val="18"/>
          <w:szCs w:val="18"/>
          <w:color w:val="auto"/>
        </w:rPr>
        <w:t xml:space="preserve">. Subject to the terms and conditions of this Agreement, at the Closing the Company shall issue and sell to each Purchaser, and each Purchaser shall purchase and acquire from the Company, the Notes in the amount specified opposite such Purchaser’s name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for a purchase price equal to the principal amount of the Notes set forth opposite such Purchaser’s name (such amount, as applicable to a Purchaser,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Each Purchaser shall, severally and not jointly, be liable for only the purchase of the Notes that appear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that relate to such Purchaser. The Company’s agreement with each Purchaser is a separate agreement, and the sale of the Notes to be purchased by each Purchaser is a separate sale. The obligations of each Purchaser hereunder are expressly not conditioned on the purchase by the other Purchasers of the Notes such other Purchaser has agreed to purchase.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660" w:firstLine="648"/>
        <w:spacing w:after="0" w:line="233" w:lineRule="auto"/>
        <w:rPr>
          <w:sz w:val="20"/>
          <w:szCs w:val="20"/>
          <w:color w:val="auto"/>
        </w:rPr>
      </w:pPr>
      <w:r>
        <w:rPr>
          <w:rFonts w:ascii="Times New Roman" w:cs="Times New Roman" w:eastAsia="Times New Roman" w:hAnsi="Times New Roman"/>
          <w:sz w:val="18"/>
          <w:szCs w:val="18"/>
          <w:color w:val="auto"/>
        </w:rPr>
        <w:t>(A) Subject to the satisfaction or waiver of the conditions precedent set forth in Sections 2.02(C) and (D), 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purchase and sale of the Notes hereunder shall take place at the offices of Haynes and Boone, LLP located at 30 Rockefeller Plaza,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10112, on January 18, 2023 at 9:30 AM ET, or at such other place, time or date as may be mutually agreed upon in writing by the Company and the Purchasers (the date on which the Closing actually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98" w:lineRule="exact"/>
        <w:rPr>
          <w:sz w:val="20"/>
          <w:szCs w:val="20"/>
          <w:color w:val="auto"/>
        </w:rPr>
      </w:pPr>
    </w:p>
    <w:p>
      <w:pPr>
        <w:ind w:left="1580" w:hanging="276"/>
        <w:spacing w:after="0"/>
        <w:tabs>
          <w:tab w:leader="none" w:pos="15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purchase and sale of Notes, upon the terms and subject to the conditions set forth in this Agreement, at the Closing:</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0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execute and deliver the Notes to the Purchasers at the Closing, against payment in full by or on behalf of the Purchasers of the Purchase Price for the Notes.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0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cause a wire transfer to be made in same day funds to an account of the Company designated in writing by the Company to the Purchasers at least two (2) Business Days prior to the date hereof in an amount equal to the Purchase Price for the Notes.</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deliver to the Company a duly completed and executed applicable IRS Form.</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Purchaser to purchase the Notes are subject to the satisfaction or waiver of the following conditions as of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Closing:</w:t>
      </w:r>
    </w:p>
    <w:p>
      <w:pPr>
        <w:spacing w:after="0" w:line="207" w:lineRule="exact"/>
        <w:rPr>
          <w:sz w:val="20"/>
          <w:szCs w:val="20"/>
          <w:color w:val="auto"/>
        </w:rPr>
      </w:pPr>
    </w:p>
    <w:p>
      <w:pPr>
        <w:ind w:left="2200" w:hanging="248"/>
        <w:spacing w:after="0"/>
        <w:tabs>
          <w:tab w:leader="none" w:pos="2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sale of the Notes hereunder shall not be prohibited or enjoined by any court of competent jurisdiction;</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and delivered the Notes to each Purchaser at the Closing;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2" w:name="page113"/>
    <w:bookmarkEnd w:id="112"/>
    <w:p>
      <w:pPr>
        <w:jc w:val="both"/>
        <w:ind w:left="1300" w:firstLine="652"/>
        <w:spacing w:after="0" w:line="261" w:lineRule="auto"/>
        <w:tabs>
          <w:tab w:leader="none" w:pos="220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representations and warranties of the Company set forth in Sections 3.01(A), (C) and (E) shall be true and correct in all material respects at and as of the Closing, (B) the representations and warranties of the Company set forth in Sections 3.01(B) and (H)</w:t>
      </w:r>
    </w:p>
    <w:p>
      <w:pPr>
        <w:jc w:val="both"/>
        <w:ind w:left="1300" w:firstLine="4"/>
        <w:spacing w:after="0" w:line="253" w:lineRule="auto"/>
        <w:tabs>
          <w:tab w:leader="none" w:pos="157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true and correct in all respects at and as of the Closing and (C) the other representations and warranties of the Company set forth in Section 3.01 (other than Sections 3.01(A), (B), (C), (E) and (H)(ii)) shall be true and correct at and as of the Closing (without giving effect to any materiality, Material Adverse Effect, or similar phrases in such representations and warranties), except where the failure of such representations and warranties referenced in this (C) to be so true and correct, individually or in the aggregate, has not had and would not have a Material Adverse Effect;</w:t>
      </w:r>
    </w:p>
    <w:p>
      <w:pPr>
        <w:spacing w:after="0" w:line="186"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0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all agreements and obligations required by this Agreement to be performed or complied with by it at or prior to the Closing; and</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3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have received a certificate, dated the Closing Date, duly executed by an executive officer of the Company on behalf of the Company, certifying that the conditions specified in, Sections 2.02(C)(3) and (4) have been satisfied.</w:t>
      </w:r>
    </w:p>
    <w:p>
      <w:pPr>
        <w:spacing w:after="0" w:line="162" w:lineRule="exact"/>
        <w:rPr>
          <w:sz w:val="20"/>
          <w:szCs w:val="20"/>
          <w:color w:val="auto"/>
        </w:rPr>
      </w:pPr>
    </w:p>
    <w:p>
      <w:pPr>
        <w:ind w:left="660" w:firstLine="644"/>
        <w:spacing w:after="0" w:line="282" w:lineRule="auto"/>
        <w:tabs>
          <w:tab w:leader="none" w:pos="163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to sell the Notes to the Purchasers are subject to the satisfaction or waiver of the following conditions as of the Closing:</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sale of the Notes hereunder shall not be prohibited or enjoined by any court of competent jurisdiction;</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0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Purchaser set forth in Section 3.02 shall be true and correct in all material respects at and as of the Closing;</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3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have delivered to the Company the Purchase Price for the Notes, in accordance with the written instructions of the Company, and shall have executed and delivered the Notes to the Company, in each case at the Closing;</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0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have performed and complied in all material respects with all agreements and obligations required by this Agreement to be performed or complied with by it at or prior to the Closing; and</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0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received a certificate, dated the Closing Date, duly executed by the Chief Executive Officer of each Purchaser on behalf of such Purchaser, certifying that the conditions specified in Section 2.02(D)(2) and (4) have been satisfied.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Unless otherwise mutually agreed upon in writing by the Company and the Purchasers, if the Closing does not occur on or prior to January 31, 2023, this Agreement shall automatically terminate and each of the parties hereto shall be relieved of its duties and obligations arising under this Agreement as of the date of such termination; provided, that no such termination shall relieve any party hereto of liability for any breach or default under this Agreement prior to such termination.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(i) for any item disclosed to the Purchasers in writing prior to the date hereof, in each case to the extent specifically qualifying any representation or warranty herein, or (ii) as disclosed in the Company Reports filed with or furnished to the SEC and publicly available since December 31, 2021 (excluding in each case any disclosures set forth in the risk factors or “forward-looking statements” sections of such reports, and any other disclosures included therein to the extent they are predictive or forward-looking in nature), the Company represents and warrants to the Purchasers, as of the date hereof and as of the Closing Date, as follows:</w:t>
      </w:r>
    </w:p>
    <w:p>
      <w:pPr>
        <w:spacing w:after="0" w:line="183" w:lineRule="exact"/>
        <w:rPr>
          <w:sz w:val="20"/>
          <w:szCs w:val="20"/>
          <w:color w:val="auto"/>
        </w:rPr>
      </w:pPr>
    </w:p>
    <w:p>
      <w:pPr>
        <w:jc w:val="both"/>
        <w:ind w:left="660" w:firstLine="644"/>
        <w:spacing w:after="0" w:line="272" w:lineRule="auto"/>
        <w:tabs>
          <w:tab w:leader="none" w:pos="1603"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Existence and Power</w:t>
      </w:r>
      <w:r>
        <w:rPr>
          <w:rFonts w:ascii="Times New Roman" w:cs="Times New Roman" w:eastAsia="Times New Roman" w:hAnsi="Times New Roman"/>
          <w:sz w:val="17"/>
          <w:szCs w:val="17"/>
          <w:color w:val="auto"/>
        </w:rPr>
        <w:t>. The Company is duly organized, validly existing and in good standing under the laws of the State of Delaware and has all requisite corporate power and authority to own, operate and lease its properties, rights and assets and to carry on its business as it is being conducted on the date of this Agreement, and, except as would not, individually or in the aggregate, reasonably be expected to have a Material Adverse Effect, has been duly qualified as a foreign corporation for the transaction of business and is in good standing under the laws of each other jurisdiction in which it owns or leases properties, rights and assets or conducts any business so as to require such qualification. Except as would not, individually or in the aggregate, reasonably be expected to have a Material Adverse Effect, each Subsidiary of the Company that is a “significant subsidiary” (as defined in Rule 1.02(w) of the SEC’s Regulation S-X) has been duly organized and is validly existing in good standing (to the extent that the concept of “good standing” is recognized by the applicable jurisdiction) under the laws of its jurisdiction of organization.</w:t>
      </w:r>
    </w:p>
    <w:p>
      <w:pPr>
        <w:spacing w:after="0" w:line="171" w:lineRule="exact"/>
        <w:rPr>
          <w:rFonts w:ascii="Times New Roman" w:cs="Times New Roman" w:eastAsia="Times New Roman" w:hAnsi="Times New Roman"/>
          <w:sz w:val="17"/>
          <w:szCs w:val="17"/>
          <w:color w:val="auto"/>
        </w:rPr>
      </w:pPr>
    </w:p>
    <w:p>
      <w:pPr>
        <w:jc w:val="both"/>
        <w:ind w:left="660" w:firstLine="644"/>
        <w:spacing w:after="0" w:line="251" w:lineRule="auto"/>
        <w:tabs>
          <w:tab w:leader="none" w:pos="159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share capital of the Company consists of 300,000,000 shares of Company Common Stock, par value $0.0001 per share and 1,000,000 shares of preferred stock, par value $0.0001 per share. As of December 23, 2022, there were (i) 82,587,573 shares of Company Common Stock issued and outstanding and no shares of preferred stock of the Company issued and outstanding, (ii) options to purchase an aggregate of 4,555,307 shares of Company Common Stock outstanding, (iii) 3,110,799 shares of Company Common Stock underlying the Company’s outstanding restricted, performance and deferred stock unit awards (assuming maximum achievement of performance-based awards), (iv) 0 shares of Company Common Stock held in any employee benefit plan or trust funding any such plan, and (v) warrants to purchase 7,326,654 shares of Company Common Stock issued and outstanding. Since January 1, 2022, (A) the Company has only issued options, restricted, performance and deferred stock unit awards or other rights to acquire shares of Company Common Stock in the ordinary course of business consistent with past practice and (B) the only shares of capital stock issued by the Company were pursuant to exercise of outstanding warrants, outstanding options, restricted, performance and deferred stock unit awards and other compensatory rights to purchase shares of Company Common Stock granted to employees, directors or other service providers or pursuant to or in accordance with a Standby Equity Purchase Agreement with YA II PN, LTD or a Sales Agreement with Cowen and Company LLC. All outstanding shares of Company Common Stock are duly authorized, validly issued, fully paid and nonassessable, and are not subject to and were not issued in violation of any preemptive or similar right, purchase option, call or right of first refusal or similar right. Except as set forth above, the Company has not issued any securities, the holders of which have the right to vote with the stockholders of the Company on any matter. Except as disclosed in the Company Reports filed with or furnished to the SEC and publicly available since December 31, 2021 and as provided in this Agreement and the Notes, there are no existing options, warrants, calls, preemptive (or similar) rights, subscriptions or other rights, agreements or commitments obligating the Company to issue, transfer or sell, or cause to be issued, transferred or sold, any capital stock of the Company or any securities convertible into or exchangeable for such capital stock and there are no current outstanding contractual obligations of the Company to repurchase, redeem or otherwise acquire any of its shares of capital stock, except with respect to the acquisition of shares of Company Common Stock by the Company to satisfy the payment of the applicable exercise price or withholding taxes for equity awards. Since December 31, 2021, the Company has not declared or paid any dividends.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left="-460" w:firstLine="644"/>
        <w:spacing w:after="0" w:line="254" w:lineRule="auto"/>
        <w:tabs>
          <w:tab w:leader="none" w:pos="4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of this Agreement and the Notes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consummation of the transactions contemplated herein and therein (collectively,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have been duly authorized by the Board of Directors and all other necessary corporate action on the part of the Company has been taken. Assuming this Agreement constitutes the valid and binding obligation of the Purchaser, this Agreement is a valid and binding obligation of the Company, enforceable against the Company in accordance with its terms, subject to the limitation of such enforcement by (A) the effect of bankruptcy, insolvency, reorganization, receivership, conservatorship, arrangement, moratorium or other laws affecting or relating to creditors’ rights generally or (B)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At the Closing, the Notes will be duly executed and delivered by the Company and will be a valid and binding obligation of the Company enforceable against the Company in accordance with its terms, subject to the Enforceability Exceptions.</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9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 No Integration</w:t>
      </w:r>
      <w:r>
        <w:rPr>
          <w:rFonts w:ascii="Times New Roman" w:cs="Times New Roman" w:eastAsia="Times New Roman" w:hAnsi="Times New Roman"/>
          <w:sz w:val="18"/>
          <w:szCs w:val="18"/>
          <w:color w:val="auto"/>
        </w:rPr>
        <w:t>. Neither the Company nor any other Person or entity authorized by the Company to act on its behalf has engaged in a general solicitation or general advertising (within the meaning of Regulation D of the Securities Act) of investors with respect to offers or sales of the Notes. The Company has not, directly or indirectly, sold, offered for sale, solicited offers to buy or otherwise negotiated in respect of, any security (as defined in the Securities Act) which, to its knowledge, is or will be integrated with the Notes sold pursuant to this Agreement.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Notes have been duly authorized by all necessary corporate action of the Company. When issued and sold against receipt of the consideration therefor, the Notes will be valid and legally binding obligations of the Company, enforceable in accordance with their terms, subject to the limitation of such enforcement by the Enforceability Exceptions. The Company has available and has reserved for issuance the maximum number of shares of Company Common Stock initially issuable upon conversion of the Notes if such conversion were to occur immediately following Closing (assuming fully physical share settlement). The Company Common Stock to be issued upon conversion of the Notes in accordance with the terms of the Notes has been duly authorized and reserved for issuance, and when issued upon conversion of the Notes, all such Company Common Stock will be validly issued, fully paid and nonassessable and free of pre-emptive or similar rights.</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15" w:name="page116"/>
    <w:bookmarkEnd w:id="115"/>
    <w:p>
      <w:pPr>
        <w:jc w:val="both"/>
        <w:ind w:left="-460" w:firstLine="644"/>
        <w:spacing w:after="0" w:line="252" w:lineRule="auto"/>
        <w:tabs>
          <w:tab w:leader="none" w:pos="45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Non-Contravention/No Consents</w:t>
      </w:r>
      <w:r>
        <w:rPr>
          <w:rFonts w:ascii="Times New Roman" w:cs="Times New Roman" w:eastAsia="Times New Roman" w:hAnsi="Times New Roman"/>
          <w:sz w:val="18"/>
          <w:szCs w:val="18"/>
          <w:color w:val="auto"/>
        </w:rPr>
        <w:t>. The execution, delivery and performance of the Transaction Documents, the issuance of the shares of Company Common Stock upon conversion of the Notes in accordance with their terms and the consummation by the Company of the Transactions, does not conflict with, violate or result in a breach of any provision of, or constitute a default under, or result in the termination of or accelerate the performance required by, or result in a right of termination or acceleration under, (i) the certificate of incorporation or bylaws of the Company, (ii) any “material contract” (as such term is defined in Item 601(b)(10) of Regulation S-K of the SEC) to which the Company or any of its Subsidiaries is a party and was filed or was required to be filed with the Company Reports or (iii) any permit, government license, judgment, order, decree, ruling, injunction, statute, law, ordinance, rule or regulation applicable to the Company or any of its Subsidiaries, other than in the cases of clauses (ii) and (iii) as would not, individually or in the aggregate, reasonably be expected to have a Material Adverse Effect and would not materially affect the Company’s ability to comply with its obligations under the Notes or this Agreement. The Company will file a Shares Outstanding Form and/or Listing of Additional Shares Notification Form with the NASDAQ with respect to the shares of the Company Common Stock issuable upon conversion of the Notes. Assuming the accuracy of the representations of the Purchaser set forth herein, other than (A) any required filings or approvals under the HSR Act or any foreign antitrust or competition laws, requirements or regulations in connection with the issuance of shares of Company Common Stock upon the conversion of the Notes or (B) any required filings pursuant to the Exchange Act or the rules of the SEC or the NASDAQ, no consent, approval, order or authorization of, or registration, declaration or filing with, any Governmental Entity is required on the part of the Company or any of its Subsidiaries in connection with the execution, delivery and performance by the Company of the Transaction Documents and the consummation by the Company of the Transactions, except for any consent, approval, order, authorization, registration, declaration, filing, exemption or review, the failure of which to be obtained or made, individually or in the aggregate, would not reasonably be expected to have a Material Adverse Effect and would not materially affect the Company’s ability to comply with its obligations under the Notes or this Agreement. No vote or approval of the Company’s stockholders is or will be required under NASDAQ rules with respect to the issuance of Company Common Stock upon conversion of the Notes.</w:t>
      </w:r>
    </w:p>
    <w:p>
      <w:pPr>
        <w:spacing w:after="0" w:line="189"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Financial Statements.</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09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filed or furnished with the SEC, as applicable, (A) its annual report on Form 10-K for the fiscal year ended December 31, 2021, (B) its quarterly report on Form 10-Q for its fiscal quarter ended September 30, 2022, (C) its definitive proxy statement relating to the annual meeting of the stockholders of the Company held in 2022 and (D) all other forms, reports, schedules and other statements required to be filed or furnished by it with the SEC under the Exchange Act or the Securities Act since December 31, 2021 (collectively, the </w:t>
      </w:r>
      <w:r>
        <w:rPr>
          <w:rFonts w:ascii="Times New Roman" w:cs="Times New Roman" w:eastAsia="Times New Roman" w:hAnsi="Times New Roman"/>
          <w:sz w:val="18"/>
          <w:szCs w:val="18"/>
          <w:b w:val="1"/>
          <w:bCs w:val="1"/>
          <w:color w:val="auto"/>
        </w:rPr>
        <w:t>“Company Reports”)</w:t>
      </w:r>
      <w:r>
        <w:rPr>
          <w:rFonts w:ascii="Times New Roman" w:cs="Times New Roman" w:eastAsia="Times New Roman" w:hAnsi="Times New Roman"/>
          <w:sz w:val="18"/>
          <w:szCs w:val="18"/>
          <w:color w:val="auto"/>
        </w:rPr>
        <w:t>. As of its respective date, and, if amended, as of the date of the last such amendment, each Company Report complied in all material respects as to form with the applicable requirements of the Securities Act and the Exchange Act, and any rules and regulations promulgated thereunder applicable to such Company Report. As of its respective date, and, if amended, as of the date of the last such amendment, no Company Report contained any untrue statement of a material fact or omitted to state a material fact required to be stated therein or necessary to make the statements made therein, in the light of the circumstances in which they were made, not misleading.</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6" w:name="page117"/>
    <w:bookmarkEnd w:id="116"/>
    <w:p>
      <w:pPr>
        <w:jc w:val="both"/>
        <w:ind w:left="180" w:firstLine="652"/>
        <w:spacing w:after="0" w:line="254" w:lineRule="auto"/>
        <w:tabs>
          <w:tab w:leader="none" w:pos="108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balance sheets, and the related consolidated statements of operations, shareholders’ equity (deficit) and consolidated statement of cash flows, included in the Company Reports filed with the SEC under the Exchange Act (A) have been prepared from, and are in accordance with, the books and records of the Company and its Subsidiaries, (B) fairly present in all material respects the consolidated financial position of the Company and its consolidated Subsidiaries as of the dates shown and the results of the consolidated operations, changes in stockholders’ equity and cash flows of the Company and its consolidated Subsidiaries for the respective fiscal periods or as of the respective dates therein set forth, subject, in the case of any unaudited financial statements, to normal recurring year-end audit adjustments, (C) have been prepared in accordance with GAAP consistently applied during the periods involved, and in the case of unaudited financial statements except for the absence of footnote disclosure, and (D) otherwise comply in all material respects with the requirements of the SEC.</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09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Company Reports, the Company and its Subsidiaries have established and maintained a system of internal controls over financial reporting (as defined in Rule 13a-15 under the Exchange Act) sufficient to provide reasonable assurance regarding the reliability of the Company’s financial reporting and the preparation of Company financial statements for external purposes in accordance with GAAP.</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8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January 1, 2022, (i) the Company and its Subsidiaries have conducted their respective businesses in all material respects in the ordinary course of business, and (ii) no events, changes or developments have occurred that, individually or in the aggregate, have had or would reasonably be expected to have a Material Adverse Effect. Without limiting the foregoing, the Company has not received notice or any other communication from the United States Department of Energy (“</w:t>
      </w:r>
      <w:r>
        <w:rPr>
          <w:rFonts w:ascii="Times New Roman" w:cs="Times New Roman" w:eastAsia="Times New Roman" w:hAnsi="Times New Roman"/>
          <w:sz w:val="18"/>
          <w:szCs w:val="18"/>
          <w:b w:val="1"/>
          <w:bCs w:val="1"/>
          <w:color w:val="auto"/>
        </w:rPr>
        <w:t>DOE</w:t>
      </w:r>
      <w:r>
        <w:rPr>
          <w:rFonts w:ascii="Times New Roman" w:cs="Times New Roman" w:eastAsia="Times New Roman" w:hAnsi="Times New Roman"/>
          <w:sz w:val="18"/>
          <w:szCs w:val="18"/>
          <w:color w:val="auto"/>
        </w:rPr>
        <w:t>”) which would reasonably be interpreted to indicate that the Company will not receive a loan from the DOE in an amount not less than $250,000,000 with funding by April 30, 2023; provided, however that the Company remains in active due diligence with the DOE, and has received no assurances regarding timeline, or assurances that the DOE will offer a conditional commitment, or that the Company will secure a loan under the DOE Loan Program.</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2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 etc</w:t>
      </w:r>
      <w:r>
        <w:rPr>
          <w:rFonts w:ascii="Times New Roman" w:cs="Times New Roman" w:eastAsia="Times New Roman" w:hAnsi="Times New Roman"/>
          <w:sz w:val="18"/>
          <w:szCs w:val="18"/>
          <w:color w:val="auto"/>
        </w:rPr>
        <w:t>. As of the date hereof, there are no liabilities of the Company or any of its Subsidiaries, except (i) liabilities reflected or reserved against in the financial statements contained in the Company Reports, (ii) liabilities incurred since January 1, 2022 in the ordinary course of business and (iii) liabilities that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08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complied in all respects with, and is not in default or violation in any respect of, any law, statute, order, rule, regulation, policy or guideline of any federal, state or local Governmental Entity applicable to the Company or such Subsidiary, and none of the Company or any of its Subsidiaries has received any written notice from any Governmental Entity of a violation of any such law, statute, order, rule, regulation, policy or guideline, other than such non-compliance, defaults, violations or notices that, individually or in the aggregate, are not material to the Company and its Subsidiaries, taken as a whole.</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7" w:name="page118"/>
    <w:bookmarkEnd w:id="117"/>
    <w:p>
      <w:pPr>
        <w:jc w:val="both"/>
        <w:ind w:left="180" w:firstLine="652"/>
        <w:spacing w:after="0" w:line="253" w:lineRule="auto"/>
        <w:tabs>
          <w:tab w:leader="none" w:pos="109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its Subsidiaries has violated or committed any act or made any payment in violation of, or that requires disclosure under, the United States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any other applicable anti-corruption law. None of the Company or its Subsidiaries, nor, to the knowledge of the Company, any of their respective directors, officers, partners, members, managers or employees has (i) used any corporate funds for unlawful contributions, gifts, entertainment or other unlawful expenses relating to political activity, or (ii) made any unlawful payment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No action, suit, investigation or other proceeding involving the Company or any of its agents with respect to the FCPA or any other applicable anti-corruption law is pending or, to the knowledge of the Company, threatened. The Company and its Subsidiaries have instituted and currently maintain policies and procedures (including monitoring and training processes and programs) designed to comply with such laws in all material respects.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8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 and Liabilities</w:t>
      </w:r>
      <w:r>
        <w:rPr>
          <w:rFonts w:ascii="Times New Roman" w:cs="Times New Roman" w:eastAsia="Times New Roman" w:hAnsi="Times New Roman"/>
          <w:sz w:val="18"/>
          <w:szCs w:val="18"/>
          <w:color w:val="auto"/>
        </w:rPr>
        <w:t>. Neither the Company nor any of its Subsidiaries is a party to any, and there are no pending, or to the knowledge of the Company, threatened, legal, administrative, arbitral or other proceedings, claims, actions or governmental investigations of any nature against the Company or any of its Subsidiaries (i) that, individually or in the aggregate, have had or would reasonably be expected to have a Material Adverse Effect or (ii) that challenge the validity of or seek to prevent the Transactions. Neither the Company nor any of its Subsidiaries is subject to any order, judgment or decree of a Governmental Entity that, individually or in the aggregate, has had or would reasonably be expected to have a Material Adverse Effect. Except as, individually or in the aggregate, has not had and would not reasonably be expected to have a Material Adverse Effect, to the knowledge of the Company, there is no investigation or review pending or threatened by any Governmental Entity with respect to the Company or any of its Subsidiaries.</w:t>
      </w:r>
    </w:p>
    <w:p>
      <w:pPr>
        <w:spacing w:after="0" w:line="191" w:lineRule="exact"/>
        <w:rPr>
          <w:rFonts w:ascii="Times New Roman" w:cs="Times New Roman" w:eastAsia="Times New Roman" w:hAnsi="Times New Roman"/>
          <w:sz w:val="18"/>
          <w:szCs w:val="18"/>
          <w:color w:val="auto"/>
        </w:rPr>
      </w:pPr>
    </w:p>
    <w:p>
      <w:pPr>
        <w:ind w:left="-460" w:firstLine="644"/>
        <w:spacing w:after="0" w:line="282" w:lineRule="auto"/>
        <w:tabs>
          <w:tab w:leader="none" w:pos="46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immediately after receipt of payment for the Notes will not be, an “investment company” within the meaning of the Investment Company Act of 1940.</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52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Except as, individually or in the aggregate, has not had and would not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09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timely filed (taking into account all applicable extensions) all Tax Returns required to be filed by them, and all such Tax Returns were correct and complete in all respects, and the Company and each of its Subsidiaries have paid (or have had paid on their behalf) to the appropriate Governmental Entity all Taxes that are shown as being required to be paid by them on such Tax Returns, except, in each case, with respect to matters contested in good faith or for which adequate reserves have been established in accordance with GAAP; and</w:t>
      </w:r>
    </w:p>
    <w:p>
      <w:pPr>
        <w:spacing w:after="0" w:line="183" w:lineRule="exact"/>
        <w:rPr>
          <w:rFonts w:ascii="Times New Roman" w:cs="Times New Roman" w:eastAsia="Times New Roman" w:hAnsi="Times New Roman"/>
          <w:sz w:val="18"/>
          <w:szCs w:val="18"/>
          <w:color w:val="auto"/>
        </w:rPr>
      </w:pPr>
    </w:p>
    <w:p>
      <w:pPr>
        <w:ind w:left="180" w:firstLine="652"/>
        <w:spacing w:after="0" w:line="282" w:lineRule="auto"/>
        <w:tabs>
          <w:tab w:leader="none" w:pos="108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disputes pending, or claims asserted in writing, in respect of Taxes of the Company or any of its Subsidiaries for which reserves that are adequate under GAAP have not been established.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8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or Preemptive Rights</w:t>
      </w:r>
      <w:r>
        <w:rPr>
          <w:rFonts w:ascii="Times New Roman" w:cs="Times New Roman" w:eastAsia="Times New Roman" w:hAnsi="Times New Roman"/>
          <w:sz w:val="18"/>
          <w:szCs w:val="18"/>
          <w:color w:val="auto"/>
        </w:rPr>
        <w:t>. Other than as disclosed in the Company Reports filed with or furnished to the SEC and publicly available since December 31, 2021, there are no contracts, agreements or understandings between the Company and any Person granting such Person the right (other than rights which have been waived in writing or otherwise satisfied) to (i) require the Company to include any securities other than securities issued to Purchaser in a Registration Statement or (ii) preemptive rights to subscribe for the Company Common Stock issuable upon conversion of the Notes, except in each case of (i) and (ii), as may have been duly waived.</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8" w:name="page119"/>
    <w:bookmarkEnd w:id="118"/>
    <w:p>
      <w:pPr>
        <w:jc w:val="both"/>
        <w:ind w:left="4" w:firstLine="644"/>
        <w:spacing w:after="0" w:line="266" w:lineRule="auto"/>
        <w:tabs>
          <w:tab w:leader="none" w:pos="94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The Company has not retained, utilized or been represented by, or otherwise become obligated to, any broker, placement agent, financial advisor or finder in connection with the transactions contemplated by this Agreement whose fees the Purchaser would be required to pay.</w:t>
      </w:r>
    </w:p>
    <w:p>
      <w:pPr>
        <w:spacing w:after="0" w:line="17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individually or in the aggregate, would not reasonably be expected to have a Material Adverse Effect,</w:t>
      </w:r>
    </w:p>
    <w:p>
      <w:pPr>
        <w:spacing w:after="0" w:line="2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possess sufficient rights to use all Intellectual Property used in or necessary for the conduct of their respective businesses as currently conducted, (ii) to the knowledge of the Company, the conduct of the respective businesses of the Company and its Subsidiaries does not infringe, misappropriate or otherwise violate the Intellectual Property rights of any Person and (iii) to the knowledge of the Company, no Person is infringing, misappropriating or otherwise violating the rights of the Company or its Subsidiaries in any Owned Intellectual Property.</w:t>
      </w:r>
    </w:p>
    <w:p>
      <w:pPr>
        <w:spacing w:after="0" w:line="186"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7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Since January 1, 2022, there has been no transaction, or series of related transactions, agreements, arrangements or understandings, nor is there any proposed transaction, or series of related transactions, agreements, arrangements or understandings, that would be required to be disclosed under Item 404 of Regulation S-K promulgated by the SEC under the Securities Act that have not been disclosed in the Company Reports.</w:t>
      </w:r>
    </w:p>
    <w:p>
      <w:pPr>
        <w:spacing w:after="0" w:line="179" w:lineRule="exact"/>
        <w:rPr>
          <w:rFonts w:ascii="Times New Roman" w:cs="Times New Roman" w:eastAsia="Times New Roman" w:hAnsi="Times New Roman"/>
          <w:sz w:val="18"/>
          <w:szCs w:val="18"/>
          <w:color w:val="auto"/>
        </w:rPr>
      </w:pPr>
    </w:p>
    <w:p>
      <w:pPr>
        <w:ind w:left="924" w:hanging="276"/>
        <w:spacing w:after="0"/>
        <w:tabs>
          <w:tab w:leader="none" w:pos="92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547"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the Purchasers make no representation or warranty as to any matter whatsoever except as expressly set forth in Section 3.02 and in any certificate delivered by the Purchasers pursuant to this Agreement, and the Company has not relied on or been induced by such information or any other representations or warranties (whether express or implied or made orally or in writing) not expressly set forth in Section 3.02 and in any certificate delivered by the Purchasers pursuant to this Agreement.</w:t>
      </w:r>
    </w:p>
    <w:p>
      <w:pPr>
        <w:spacing w:after="0" w:line="179" w:lineRule="exact"/>
        <w:rPr>
          <w:rFonts w:ascii="Times New Roman" w:cs="Times New Roman" w:eastAsia="Times New Roman" w:hAnsi="Times New Roman"/>
          <w:sz w:val="18"/>
          <w:szCs w:val="18"/>
          <w:color w:val="auto"/>
        </w:rPr>
      </w:pPr>
    </w:p>
    <w:p>
      <w:pPr>
        <w:jc w:val="both"/>
        <w:ind w:left="644" w:firstLine="652"/>
        <w:spacing w:after="0" w:line="254" w:lineRule="auto"/>
        <w:tabs>
          <w:tab w:leader="none" w:pos="1547"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except for the representations and warranties expressly set forth in Section 3.02 and in any certificate delivered by the Purchasers pursuant to this Agreement, (i) no person has been authorized by the Purchasers to make any representation or warranty relating to the Purchasers or otherwise in connection with the transactions contemplated hereby, and if made, such representation or warranty must not be relied upon by the Company as having been authorized by the Purchasers, and (ii) any materials or information provided or addressed to the Company or any of its Affiliates or representatives are not and shall not be deemed to be or include representations or warranties of the Purchasers unless any such materials or information are the subject of any express representation or warranty set forth in Section 3.02 of this Agreement and in any certificate delivered by the Purchasers pursuant to this Agreement.</w:t>
      </w:r>
    </w:p>
    <w:p>
      <w:pPr>
        <w:spacing w:after="0" w:line="191" w:lineRule="exact"/>
        <w:rPr>
          <w:rFonts w:ascii="Times New Roman" w:cs="Times New Roman" w:eastAsia="Times New Roman" w:hAnsi="Times New Roman"/>
          <w:sz w:val="18"/>
          <w:szCs w:val="18"/>
          <w:color w:val="auto"/>
        </w:rPr>
      </w:pPr>
    </w:p>
    <w:p>
      <w:pPr>
        <w:ind w:left="644" w:right="20" w:firstLine="652"/>
        <w:spacing w:after="0" w:line="282" w:lineRule="auto"/>
        <w:tabs>
          <w:tab w:leader="none" w:pos="156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in this Section 3.01(R) shall be deemed to limit the Company’s or its Affiliates’ rights or remedies with respect to fraud by the Purchasers.</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9" w:name="page120"/>
    <w:bookmarkEnd w:id="119"/>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represents and warrants to the Company, as of the date hereof and as of the Closing Date, as follows:</w:t>
      </w:r>
    </w:p>
    <w:p>
      <w:pPr>
        <w:spacing w:after="0" w:line="162" w:lineRule="exact"/>
        <w:rPr>
          <w:sz w:val="20"/>
          <w:szCs w:val="20"/>
          <w:color w:val="auto"/>
        </w:rPr>
      </w:pPr>
    </w:p>
    <w:p>
      <w:pPr>
        <w:jc w:val="both"/>
        <w:ind w:left="660" w:firstLine="644"/>
        <w:spacing w:after="0" w:line="266" w:lineRule="auto"/>
        <w:tabs>
          <w:tab w:leader="none" w:pos="160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Ownership</w:t>
      </w:r>
      <w:r>
        <w:rPr>
          <w:rFonts w:ascii="Times New Roman" w:cs="Times New Roman" w:eastAsia="Times New Roman" w:hAnsi="Times New Roman"/>
          <w:sz w:val="18"/>
          <w:szCs w:val="18"/>
          <w:color w:val="auto"/>
        </w:rPr>
        <w:t>. Such Purchaser is duly organized, validly existing and in good standing under the laws of the jurisdiction of its organization and has the requisite power and authority to own, operate and lease its properties and to carry on its business as it is being conducted on the date of this Agreement.</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Sufficient Funds; No Conflicts.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203"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has full power and authority to execute and deliver this Agreement and to consummate the Transactions to which it is a party. The execution, delivery and performance by each Purchaser of this Agreement and the consummation of the Transactions to which it is a party have been duly authorized by all necessary action on behalf of such Purchaser. No other proceedings on the part of such Purchaser are necessary to authorize the execution, delivery and performance by such Purchaser of this Agreement and consummation of the Transactions. This Agreement has been duly and validly executed and delivered by such Purchaser. Assuming this Agreement constitutes the valid and binding obligation of the Company, this Agreement is a valid and binding obligation of such Purchaser, enforceable against such Purchaser in accordance with its terms, subject to the limitation of such enforcement by the Enforceability Exceptions.</w:t>
      </w:r>
    </w:p>
    <w:p>
      <w:pPr>
        <w:spacing w:after="0" w:line="191" w:lineRule="exact"/>
        <w:rPr>
          <w:rFonts w:ascii="Times New Roman" w:cs="Times New Roman" w:eastAsia="Times New Roman" w:hAnsi="Times New Roman"/>
          <w:sz w:val="18"/>
          <w:szCs w:val="18"/>
          <w:color w:val="auto"/>
        </w:rPr>
      </w:pPr>
    </w:p>
    <w:p>
      <w:pPr>
        <w:ind w:left="1300" w:firstLine="652"/>
        <w:spacing w:after="0" w:line="282" w:lineRule="auto"/>
        <w:tabs>
          <w:tab w:leader="none" w:pos="2216"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immediately prior to the Closing, such Purchaser will have cash available and/or equity capital commitments in excess of such Purchaser’s Purchase Price.</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203"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such Purchaser, the consummation by such Purchaser of the Transactions to which it is a party and the compliance by such Purchaser with any of the provisions hereof and thereof will not conflict with, violate or result in a breach of any provision of, or constitute a default under, or result in the termination of or accelerate the performance required by, or result in a right of termination or acceleration under, (A) any provision of such Purchaser’s organizational documents, (B) any mortgage, note, indenture, deed of trust, lease, license, loan agreement or other agreement binding upon such Purchaser or (C) any permit, government license, judgment, order, decree, ruling, injunction, statute, law, ordinance, rule or regulation applicable to such Purchaser or any of its Affiliates, other than in the cases of clauses (B) and (C) as would not reasonably be expected to materially and adversely affect or delay the consummation of the Transactions to which such Purchaser is a party.</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9" w:lineRule="auto"/>
        <w:tabs>
          <w:tab w:leader="none" w:pos="1593"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Consents and Approvals.</w:t>
      </w:r>
      <w:r>
        <w:rPr>
          <w:rFonts w:ascii="Times New Roman" w:cs="Times New Roman" w:eastAsia="Times New Roman" w:hAnsi="Times New Roman"/>
          <w:sz w:val="17"/>
          <w:szCs w:val="17"/>
          <w:color w:val="auto"/>
        </w:rPr>
        <w:t xml:space="preserve"> No consent, approval, order or authorization of, or registration, declaration or filing with, or exemption or review by, any Governmental Entity is required on the part of such Purchaser in connection with the execution, delivery and performance by such Purchaser of this Agreement and the consummation by such Purchaser of the Transactions to which it is a party, except for (A) any required filings or approvals under the HSR Act or any foreign antitrust or competition laws, requirements or regulations in connection with the issuance of shares of Company Common Stock upon the conversion of the Notes, (B) any required filings pursuant to the Exchange Act or the rules of the SEC and</w:t>
      </w:r>
    </w:p>
    <w:p>
      <w:pPr>
        <w:spacing w:after="0" w:line="2" w:lineRule="exact"/>
        <w:rPr>
          <w:rFonts w:ascii="Times New Roman" w:cs="Times New Roman" w:eastAsia="Times New Roman" w:hAnsi="Times New Roman"/>
          <w:sz w:val="17"/>
          <w:szCs w:val="17"/>
          <w:color w:val="auto"/>
        </w:rPr>
      </w:pPr>
    </w:p>
    <w:p>
      <w:pPr>
        <w:jc w:val="both"/>
        <w:ind w:left="660" w:hanging="4"/>
        <w:spacing w:after="0" w:line="255" w:lineRule="auto"/>
        <w:tabs>
          <w:tab w:leader="none" w:pos="9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consent, approval, order, authorization, registration, declaration, filing, exemption or review, the failure of which to be obtained or made, individually or in the aggregate, would not reasonably be expected to adversely affect or delay the consummation of the Transactions to which it is a party by such Purchaser.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480" w:hanging="296"/>
        <w:spacing w:after="0"/>
        <w:tabs>
          <w:tab w:leader="none" w:pos="4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Representations.</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08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is an accredited investor (as defined in Rule 501 of the Securities Act) and is aware that the offering and sale of the Notes is being made in reliance on a private placement exemption from registration under the Securities Act and may be resold only if registered pursuant to the provisions of the Securities Act or if an exemption from registration is available. Such Purchaser is acquiring the Notes (and any shares of Company Common Stock issuable upon conversion of the Notes) for its own account, and not with a view toward, or for sale in connection with, any distribution thereof in violation of any federal or state securities or “blue sky” law, or with any present intention of distributing or selling such Notes (or any shares of Company Common Stock issuable upon conversion of the Notes) in violation of the Securities Act. Such Purchaser, either alone or together with its representatives, has sufficient knowledge and experience in financial and business matters so as to be capable of evaluating the merits and risks of its investment in such Notes (and any shares of Company Common Stock issuable upon conversion of the Notes) and is capable of bearing the economic risks of such investment.</w:t>
      </w:r>
    </w:p>
    <w:p>
      <w:pPr>
        <w:spacing w:after="0" w:line="194"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08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not purchasing the Notes as a result of any advertisement, article, notice or other communication regarding the Notes published in any newspaper, magazine or similar media or broadcast over television or radio or presented at any seminar or, to the knowledge of the Purchaser, any other general solicitation or general advertisement. Purchaser did not become aware of the offering of the Notes through any Current Report on Form 8-K filed by Company with the SEC.</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11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that it has been provided a reasonable opportunity to review the Transaction Documents (including all exhibits and schedules thereto) and has reviewed the Company Reports (including the risk factors contained in the Company’s annual report on Form 10-K for the fiscal year ended December 31, 2021 and in all subsequent quarterly reports on Form 10-Q) and has been afforded (i) the opportunity to ask such questions as it has deemed necessary of, and to receive answers from, representatives of the Company concerning the terms and conditions of the offering of the Notes and the merits and risks of investing in the Notes;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1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writing by such Purchaser to the Company prior to the entry into this Agreement, neither such Purchaser, nor any Person who through such Purchaser Beneficially Owns shares of Company Common Stock, has been or is subject to any disqualification event described in Rule 506(d) of Regulation D under the Securities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the time periods specified in Rule 506(d) of Regulation D under the Securities Act. Such Purchaser agrees to provide the Company with prompt written notice of the occurrence of any Disqualification Event with respect to such Purchaser or any such Beneficial Owner during the period in which the Notes or Subject Securities are held by such Purchaser.</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08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such Purchaser nor any of its Affiliates are acting in concert, and neither such Purchaser nor any of its Affiliates have any agreement or understanding, with any Person that is not an Affiliate of such Purchaser, and is not otherwise a member of a “group” (as such term is used in Section 13(d)(3) of the Exchange Act), with respect to the Company or its securities.</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1" w:name="page122"/>
    <w:bookmarkEnd w:id="121"/>
    <w:p>
      <w:pPr>
        <w:jc w:val="both"/>
        <w:ind w:left="-460" w:firstLine="644"/>
        <w:spacing w:after="0" w:line="266" w:lineRule="auto"/>
        <w:tabs>
          <w:tab w:leader="none" w:pos="47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Neither such Purchaser nor any of its Affiliates have retained, utilized or been represented by, or otherwise become obligated to, any broker, placement agent, financial advisor or finder in connection with the transactions contemplated by this Agreement whose fees the Company would be required to pay.</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Shares</w:t>
      </w:r>
      <w:r>
        <w:rPr>
          <w:rFonts w:ascii="Times New Roman" w:cs="Times New Roman" w:eastAsia="Times New Roman" w:hAnsi="Times New Roman"/>
          <w:sz w:val="18"/>
          <w:szCs w:val="18"/>
          <w:color w:val="auto"/>
        </w:rPr>
        <w:t>. Since January 1, 2022, none of such Purchaser or its Affiliates have engaged in any hedge, swap, short sale or derivative transactions involving the Company Common Stock or other agreement or arrangement that transfers to any Third Party, directly or indirectly, in whole or in part, any ownership of, or interests in, any shares of Company Common Stock.</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1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Except as disclosed in writing by such Purchaser to the Company prior to entry into this Agreement, such Purchaser has complied with, and is not in default or violation of, any law, statute, order, rule, regulation, policy or guideline of any Governmental Entity applicable to such Purchaser, except for such failures to comply, defaults or violations that would not reasonably be expected to adversely affect or delay the consummation of the Transactions by such Purchaser.</w:t>
      </w:r>
    </w:p>
    <w:p>
      <w:pPr>
        <w:spacing w:after="0" w:line="179"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09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acknowledges that the Company does not make any representation or warranty as to any matter whatsoever except as expressly set forth in Section 3.01 and in any certificate delivered by the Company pursuant to this Agreement, and specifically (but without limiting the generality of the foregoing), that, except as expressly set forth in Section 3.01 and in any certificate delivered by the Company pursuant to this Agreement, the Company makes no representation or warranty with respect to (A) any matters relating to the Company, its business, financial condition, results of operations, prospects or otherwise, (B) any projections, estimates or budgets delivered or made available to such Purchaser (or any of its Affiliates, officers, directors, employees or other representatives) of future revenues, results of operations (or any component thereof), cash flows or financial condition (or any component thereof) of the Company and its Subsidiaries or (C) the future business and operations of the Company and its Subsidiaries, and such Purchaser has not relied on or been induced by such information or any other representations or warranties (whether express or implied or made orally or in writing) not expressly set forth in Section 3.01 and in any certificate delivered by the Company pursuant to this Agreement.</w:t>
      </w:r>
    </w:p>
    <w:p>
      <w:pPr>
        <w:spacing w:after="0" w:line="194"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08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has conducted its own independent review and analysis of the business, operations, assets, liabilities, results of operations, financial condition and prospects of the Company and its Subsidiaries and acknowledges such Purchaser has been provided with sufficient access for such purposes. Such Purchaser acknowledges and agrees that, except for the representations and warranties expressly set forth in Section 3.01 and in any certificate delivered by the Company pursuant to this Agreement, (A) no person has been authorized by the Company to make any representation or warranty relating to itself or its business or otherwise in connection with the transactions contemplated hereby, and if made, such representation or warranty must not be relied upon by such Purchaser as having been authorized by the Company, and (B) any estimates, projections, predictions, data, financial information, memoranda, presentations or any other materials or information provided or addressed to such Purchaser or any of its Affiliates or representatives are not and shall not be deemed to be or include representations or warranties of the Company unless any such materials or information are the subject of any express representation or warranty set forth in Section 3.01 of this Agreement and in any certificate delivered by the Company pursuant to this Agreement.</w:t>
      </w:r>
    </w:p>
    <w:p>
      <w:pPr>
        <w:spacing w:after="0" w:line="191" w:lineRule="exact"/>
        <w:rPr>
          <w:rFonts w:ascii="Times New Roman" w:cs="Times New Roman" w:eastAsia="Times New Roman" w:hAnsi="Times New Roman"/>
          <w:sz w:val="18"/>
          <w:szCs w:val="18"/>
          <w:color w:val="auto"/>
        </w:rPr>
      </w:pPr>
    </w:p>
    <w:p>
      <w:pPr>
        <w:ind w:left="180" w:firstLine="652"/>
        <w:spacing w:after="0" w:line="282" w:lineRule="auto"/>
        <w:tabs>
          <w:tab w:leader="none" w:pos="109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in this Section 3.02(H) shall be deemed to limit such Purchaser’s or its Affiliates’ rights or remedies with respect to fraud by the Company.</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Additional Agreements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Each of the parties hereto agrees to use its reasonable efforts promptly to take or cause to be taken all action, and promptly to do or cause to be done all things necessary, proper or advisable under applicable laws and regulations to consummate and make effective the sale and purchase of the Notes hereunder, subject to the terms and conditions hereof and compliance with applicable law. In case at any time before or after the Closing any further action is necessary or desirable to carry out the purposes of the sale and purchase of the Notes, the proper officers, managers and directors of each party to this Agreement shall take all such necessary action as may be reasonably requested by, and the sole expense of, the requesting party.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4" w:lineRule="auto"/>
        <w:tabs>
          <w:tab w:leader="none" w:pos="160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the Purchasers shall not, without the Company’s prior written consent (which consent may be withheld in the Company’s sole discretion), directly or indirectly, (x) sell, offer, transfer, assign, mortgage, hypothecate, gift, pledge or dispose of, enter into or agree to enter into any contract, option or other arrangement or understanding with respect to the sale, transfer, pledge, mortgage, hypothecation, gift, encumbrance, assignment or similar disposition of (any of the foregoing,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any of the Notes or any shares of Company Common Stock issuable or issued upon conversion of any of the Notes or enter into a transaction which would have the same effect or</w:t>
      </w:r>
    </w:p>
    <w:p>
      <w:pPr>
        <w:spacing w:after="0" w:line="3"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92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engage in any hedge, swap, short sale, derivative transaction or other agreement or arrangement that transfers to any Third Party, directly or indirectly, in whole or in part, any ownership of, or interests in, the Notes or any shares of Company Common Stock issuable or issued upon conversion of the Notes, whether any such aforementioned transaction is to be settled by delivery of shares of Company Common Stock or other securities, in cash or otherwise (such actions in clauses (x) and (y), “</w:t>
      </w:r>
      <w:r>
        <w:rPr>
          <w:rFonts w:ascii="Times New Roman" w:cs="Times New Roman" w:eastAsia="Times New Roman" w:hAnsi="Times New Roman"/>
          <w:sz w:val="18"/>
          <w:szCs w:val="18"/>
          <w:b w:val="1"/>
          <w:bCs w:val="1"/>
          <w:color w:val="auto"/>
        </w:rPr>
        <w:t>Prohibited Transfers</w:t>
      </w:r>
      <w:r>
        <w:rPr>
          <w:rFonts w:ascii="Times New Roman" w:cs="Times New Roman" w:eastAsia="Times New Roman" w:hAnsi="Times New Roman"/>
          <w:sz w:val="18"/>
          <w:szCs w:val="18"/>
          <w:color w:val="auto"/>
        </w:rPr>
        <w:t xml:space="preserve">”), other than, in the case of clause (x), Permitted Transfers. </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xml:space="preserve"> shall mean any (1) transfer to a Purchaser’s Affiliate that executes and delivers to the Company a Joinder becoming a Purchaser party to this Agreement and a duly completed and executed applicable IRS Form, (2) transfer by way of a bona fide gift or donation to a not-for-profit entity, (3) transfer to the Company or any of its Subsidiaries (including for the avoidance of doubt, any conversion of Notes into Company Common Stock), (4) transfer with the prior written consent of the Company, (5) tender of any Company Common Stock into a Third Party Tender/Exchange Offer, as defined below (and any related conversion of Notes to the extent required to effect such Third Party Tender/Exchange Offer), and (6) any transfer effected pursuant to any merger, consolidation or similar transaction consummated by the Company (for the avoidance of doubt, if such Third Party Tender/Exchange Offer does not close for any reason, the restrictions on transfer contained herein shall continue to apply to any Company Common Stock received pursuant to the conversion of any Notes that had previously been converted to participate in any such tender or exchange offer) or (7) distribution in kind to the Purchasers or their Affiliates’ limited or other partners, members or other equityholders in connection with the winding up or dissolution of such Purchaser or any of its Affiliates, so long as the recipients of such securities agree in writing to be bound by the restrictions of this Section 4.02. “</w:t>
      </w:r>
      <w:r>
        <w:rPr>
          <w:rFonts w:ascii="Times New Roman" w:cs="Times New Roman" w:eastAsia="Times New Roman" w:hAnsi="Times New Roman"/>
          <w:sz w:val="18"/>
          <w:szCs w:val="18"/>
          <w:b w:val="1"/>
          <w:bCs w:val="1"/>
          <w:color w:val="auto"/>
        </w:rPr>
        <w:t>Third Party Tender/Exchange Offer</w:t>
      </w:r>
      <w:r>
        <w:rPr>
          <w:rFonts w:ascii="Times New Roman" w:cs="Times New Roman" w:eastAsia="Times New Roman" w:hAnsi="Times New Roman"/>
          <w:sz w:val="18"/>
          <w:szCs w:val="18"/>
          <w:color w:val="auto"/>
        </w:rPr>
        <w:t xml:space="preserve">” shall mean any tender or exchange offer made to holders of Company Common Stock by a Third Party for a number of outstanding shares of Voting Stock that, if consummated, would result in a Change in Control and the Board of Directors has recommended such tender or exchange offer in a Schedule 14D-9 under the Exchange Act or does not publicly recommend against such offer in a Schedule 14D-9 under the Exchange Act within ten (10) Business Days after the public announcement of such offer. Following the Restricted Period, the Purchasers shall not transfer any of the Notes or any shares of Company Common Stock issuable or issued upon conversion of the Notes to (i) any of their Affiliates that did not execute and deliver to the Company a Joinder becoming a Purchaser party to this Agreement or did not deliver to the Company a duly completed and executed applicable IRS Form as required in this Section 4.02, (ii) any transferee included on the list of competitors of the Company included as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(iii) any Activist Investor of the Company included on the list of Activist Investors of the Company included as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hereto, or (iv) any holder who Beneficially Owns more than 9% of the outstanding Company Common Stock at the time of such transfer (each such action also constituting a “</w:t>
      </w:r>
      <w:r>
        <w:rPr>
          <w:rFonts w:ascii="Times New Roman" w:cs="Times New Roman" w:eastAsia="Times New Roman" w:hAnsi="Times New Roman"/>
          <w:sz w:val="18"/>
          <w:szCs w:val="18"/>
          <w:b w:val="1"/>
          <w:bCs w:val="1"/>
          <w:color w:val="auto"/>
        </w:rPr>
        <w:t>Prohibited Transfer</w:t>
      </w:r>
      <w:r>
        <w:rPr>
          <w:rFonts w:ascii="Times New Roman" w:cs="Times New Roman" w:eastAsia="Times New Roman" w:hAnsi="Times New Roman"/>
          <w:sz w:val="18"/>
          <w:szCs w:val="18"/>
          <w:color w:val="auto"/>
        </w:rPr>
        <w:t>”). Any purported Prohibited Transfer in violation of this Section 4.02 shall be null and void ab initio.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66" w:lineRule="auto"/>
        <w:tabs>
          <w:tab w:leader="none" w:pos="94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4.03(B), each Purchaser agrees that, during the Standstill Period, it shall not, and shall cause each of its Affiliates not to, directly or indirectly, absent prior express written invitation or authorization by the Board of Directors, in each case with respect to the Company:</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5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“solicitation” (as such term is defined under the Exchange Act) of proxies or consents with respect to the election or removal of directors or any other matter or proposal or become a “participant” (as such term is defined in Instruction 3 to Item 4 of Schedule 14A promulgated under the Exchange Act) in any such solicitation of proxies or consents;</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58" w:lineRule="auto"/>
        <w:tabs>
          <w:tab w:leader="none" w:pos="155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encourage, advise or influence any other Person or knowingly assist any Person in so encouraging, advising or influencing any Person with respect to the giving or withholding of any proxy, consent or other authority to vote any Voting Stock or in conducting any type of referendum, binding or non-binding, of holders of Voting Stock (other than any such encouragement, advice or influence that is (x) consistent with Company management’s recommendation in connection with such matter or (y) that is directed at such Purchaser’s Affiliate with respect to Voting Stock now or hereafter owned by such Affiliate);</w:t>
      </w:r>
    </w:p>
    <w:p>
      <w:pPr>
        <w:spacing w:after="0" w:line="183"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7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join or act in concert with any partnership, limited partnership, syndicate or other group, including a “group” as defined pursuant to Section 13(d) of the Exchange Act, with respect to any Voting Stock, other than solely with other such Purchaser’s Affiliates with respect to Voting Stock now or hereafter owned by them;</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4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offer, seek or agree to acquire, by purchase or otherwise, or direct any third party in the acquisition of, any Voting Stock, or rights or options to acquire any Voting Stock if such acquisition would result in such Purchaser and its Affiliates having Beneficial Ownership of more than 20% of the outstanding Company Common Stock;</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154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in any way participate, directly or indirectly, in any tender offer, exchange offer, merger, consolidation, acquisition, business combination, sale of a division, sale of substantially all assets, recapitalization, restructuring, liquidation, dissolution or extraordinary transaction involving the Company or any of its Subsidiaries or its or their securities or assets (each, an “</w:t>
      </w:r>
      <w:r>
        <w:rPr>
          <w:rFonts w:ascii="Times New Roman" w:cs="Times New Roman" w:eastAsia="Times New Roman" w:hAnsi="Times New Roman"/>
          <w:sz w:val="18"/>
          <w:szCs w:val="18"/>
          <w:b w:val="1"/>
          <w:bCs w:val="1"/>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(it being understood that the foregoing shall not restrict such Purchaser’s Affiliates from participating on the same basis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stockholders of the Company in any such transaction that has been approved by the Board of Directors); or make, directly or indirectly, any proposal, either alone or in concert with others, to the Company or the Board of Directors that would reasonably be expected to require a public announcement regarding any of the types of matters set forth above in this paragraph;</w:t>
      </w:r>
    </w:p>
    <w:p>
      <w:pPr>
        <w:spacing w:after="0" w:line="188"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4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seek, alone or in concert with others, election or appointment to, or representation on, the Board of Directors or nominate or propose the nomination of, or recommend the nomination of, any candidate to the Board of Directors, (B) seek, alone or in concert with others, the removal of any member of the Board of Directors or (C) conduct a referendum of stockholders of the Company;</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4" w:name="page125"/>
    <w:bookmarkEnd w:id="124"/>
    <w:p>
      <w:pPr>
        <w:ind w:left="1080" w:hanging="248"/>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be the proponent of any stockholder proposal (pursuant to Rule 14a-8 under the Exchange Act or otherwise);</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1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request for stock list materials or other books and records of the Company under Section 220 of the DGCL or other statutory or regulatory provisions providing for shareholder access to books and records;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08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proposal with respect to (A) any change in the number or term of directors or the filling of any vacancies on the Board of Directors, (B) any material change in the capitalization of the Company, (C) any other material change in the Company’s management, business or corporate structure, (D) any waiver, amendment or modification to the Company’s certificate of incorporation or bylaws, or other actions which may impede the acquisition of control of the Company by any person, (E) causing a class of securities of the Company to be delisted from, or to cease to be authorized to be quoted on, any securities exchange or (F) causing a class of equity securities of the Company to become eligible for termination of registration pursuant to Section 12(g)(4) of the Exchange Act;</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17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solicit, assist or join any litigation, arbitration or other proceeding against or involving the Company or any of its current or former directors or officers (including derivative actions) in order to effect or take any of the actions expressly prohibited by this paragraph; provided, however, that for the avoidance of doubt the foregoing shall not prevent such Purchaser’s Affiliate from (A) bringing litigation to enforce the provisions of this Agreement, (B) making counterclaims with respect to any proceeding initiated by, or on behalf of, the Company or any other Person against such Purchaser’s Affiliate, (C) bringing bona fide commercial disputes that do not relate to the subject matter of this Agreement or the topics covered in the correspondence between the Company and such Purchaser’s Affiliates prior to the date hereof, or (D) exercising statutory appraisal rights; provided, further, that the foregoing shall also not prevent such Purchaser’s Affiliates from responding to or complying with a validly issued legal process;</w:t>
      </w:r>
    </w:p>
    <w:p>
      <w:pPr>
        <w:spacing w:after="0" w:line="191" w:lineRule="exact"/>
        <w:rPr>
          <w:rFonts w:ascii="Times New Roman" w:cs="Times New Roman" w:eastAsia="Times New Roman" w:hAnsi="Times New Roman"/>
          <w:sz w:val="18"/>
          <w:szCs w:val="18"/>
          <w:color w:val="auto"/>
        </w:rPr>
      </w:pPr>
    </w:p>
    <w:p>
      <w:pPr>
        <w:ind w:left="180" w:firstLine="652"/>
        <w:spacing w:after="0" w:line="282" w:lineRule="auto"/>
        <w:tabs>
          <w:tab w:leader="none" w:pos="118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negotiations, agreements or understandings with any Third Party to take any action that such Purchaser’s Affiliates are prohibited from taking pursuant to this Section 4.03; or</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5" w:name="page126"/>
    <w:bookmarkEnd w:id="125"/>
    <w:p>
      <w:pPr>
        <w:ind w:left="1300" w:firstLine="652"/>
        <w:spacing w:after="0" w:line="282" w:lineRule="auto"/>
        <w:tabs>
          <w:tab w:leader="none" w:pos="2309"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request or submit any proposal, directly or indirectly, to amend or waive the terms of this Agreement, in each case which would reasonably be expected to result in a public announcement of such request or proposal.</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1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in Section 4.03(A) shall terminate automatically upon the earliest of (i) the announcement by the Company of a definitive agreement with respect to any Extraordinary Transaction that would directly or indirectly result in the acquisition of beneficial ownership by any person or group of 50% or more of the outstanding Company Common Stock, 50% or more of the voting power of the outstanding Voting Stock or all or substantially all of the Company’s assets and (ii) the commencement of any tender or exchange offer (by a person other than the Purchasers or their Affiliates), which, if consummated, would constitute an Extraordinary Transaction that would directly or indirectly result in the acquisition of beneficial ownership by any person or group of 50% or more of the outstanding Company Common Stock or 50% or more of the voting power of the outstanding Voting Stock, where the Company files a Schedule 14D-9 (or any amendment thereto), other than a “stop, look and listen” communication by the Company pursuant to Rule 14d-9(f) promulgated under the Exchange Act, that does not recommend that the Company’s stockholders reject such tender or exchange offer.</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3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4.03 shall (i) prevent any Purchasers’ Affiliate from making (x) any public or private statement or announcement with respect to an Extraordinary Transaction that is publicly announced by the Company or a Third Party (and nothing in this Agreement shall prevent the Company from responding to such statements), (y) any factual statement as required by applicable legal process, subpoena, or legal requirement or as part of a response to a request for information from any governmental authority with jurisdiction over the party from whom information is sought (so long as such request did not arise as a result of discretionary acts by such Purchaser or any of its Affiliates) or (z) any confidential oral communication or proposal to management or the Board of Directors or (ii) affect such Purchaser or such Purchaser’s Affiliates’ ability to hold the Notes or hold or vote any shares of Company Common Stock, including the shares of Company Common Stock issuable or issued upon conversion of the Notes.</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63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4.03 to the contrary, the prohibitions in this Section 4.03 shall immediately terminate without further force or effect and such Purchaser and such Purchaser’s Affiliates shall be released from compliance therewith if the Company (i) institutes a voluntary proceeding, or becomes the subject of an involuntary proceeding which involuntary proceeding is not dismissed within sixty</w:t>
      </w:r>
    </w:p>
    <w:p>
      <w:pPr>
        <w:spacing w:after="0" w:line="1" w:lineRule="exact"/>
        <w:rPr>
          <w:rFonts w:ascii="Times New Roman" w:cs="Times New Roman" w:eastAsia="Times New Roman" w:hAnsi="Times New Roman"/>
          <w:sz w:val="18"/>
          <w:szCs w:val="18"/>
          <w:color w:val="auto"/>
        </w:rPr>
      </w:pPr>
    </w:p>
    <w:p>
      <w:pPr>
        <w:ind w:left="660" w:hanging="4"/>
        <w:spacing w:after="0" w:line="260" w:lineRule="auto"/>
        <w:tabs>
          <w:tab w:leader="none" w:pos="101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under any bankruptcy act, insolvency law or any law for the relief of debtors, (ii) has a receiver appointed to manage its affairs, which appointment is not dismissed, vacated or stayed within sixty (60) days or (iii) executes a general assignment for the benefit of creditors.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u w:val="single" w:color="auto"/>
          <w:color w:val="auto"/>
        </w:rPr>
        <w:t>4.04 Securities Laws.</w:t>
      </w:r>
      <w:r>
        <w:rPr>
          <w:rFonts w:ascii="Times New Roman" w:cs="Times New Roman" w:eastAsia="Times New Roman" w:hAnsi="Times New Roman"/>
          <w:sz w:val="18"/>
          <w:szCs w:val="18"/>
          <w:color w:val="auto"/>
        </w:rPr>
        <w:t xml:space="preserve"> Each Purchaser acknowledges and agrees that (a) as of the Closing Date, the Notes (and the shares of Company Common Stock that are issuable upon conversion of the Notes) have not been registered under the Securities Act or the securities laws of any state and that they may be sold or otherwise disposed of only in one or more transactions registered under the Securities Act and, where applicable, such laws, or as to which an exemption from the registration requirements of the Securities Act and, where applicable, such laws, is available, (b) it is the responsibility of such Purchaser to determine the applicable resale restrictions and to comply with such restrictions in connection with any resale, and (c) the Company is required to file reports containing certain business and financial information with the SEC and may be required to file a copy of this Agreement with the SEC, pursuant to the reporting requirements of the Exchange Act. Each Purchaser acknowledges that such Purchaser has no right to require the Company or any of its Subsidiaries to register the Notes or the shares of Company Common Stock that are issuable upon conversion of the Notes except as set forth in Article V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for so long as a holder of Notes or shares of Company Common Stock is subject to any transfer restrictions set forth in the Notes or this Agreement, the Notes will bear a legend in accordance with Section 2.05(c) of the Indenture, and the certificates or book entry position representing such holder’s shares of Company Common Stock (as applicable) will bear or reflect a legend substantially similar to the following:</w:t>
      </w:r>
    </w:p>
    <w:p>
      <w:pPr>
        <w:spacing w:after="0" w:line="176" w:lineRule="exact"/>
        <w:rPr>
          <w:sz w:val="20"/>
          <w:szCs w:val="20"/>
          <w:color w:val="auto"/>
        </w:rPr>
      </w:pPr>
    </w:p>
    <w:p>
      <w:pPr>
        <w:jc w:val="both"/>
        <w:ind w:left="1300" w:right="660"/>
        <w:spacing w:after="0" w:line="261" w:lineRule="auto"/>
        <w:rPr>
          <w:sz w:val="20"/>
          <w:szCs w:val="20"/>
          <w:color w:val="auto"/>
        </w:rPr>
      </w:pPr>
      <w:r>
        <w:rPr>
          <w:rFonts w:ascii="Times New Roman" w:cs="Times New Roman" w:eastAsia="Times New Roman" w:hAnsi="Times New Roman"/>
          <w:sz w:val="18"/>
          <w:szCs w:val="18"/>
          <w:color w:val="auto"/>
        </w:rPr>
        <w:t>“This security is subject to restrictions on transfer set forth in an Investment Agreement, dated January 18, 2023 (as it may be amended from time to time), by and among the Company and certain other parties thereto, copies of which are publicly filed or on file with the secretary of the issuer, and this security may not be offered, sold, pledged or otherwise transferred except in compliance therewith.”</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Lost, Stolen, Destroyed or Mutilated Securities</w:t>
      </w:r>
      <w:r>
        <w:rPr>
          <w:rFonts w:ascii="Times New Roman" w:cs="Times New Roman" w:eastAsia="Times New Roman" w:hAnsi="Times New Roman"/>
          <w:sz w:val="18"/>
          <w:szCs w:val="18"/>
          <w:color w:val="auto"/>
        </w:rPr>
        <w:t>. Upon receipt of evidence satisfactory to the Company of the loss, theft, destruction or mutilation of any certificate for any security of the Company and, in the case of loss, theft or destruction, upon delivery of an undertaking by the holder thereof to indemnify the Company (and, if requested by the Company, the delivery of an indemnity bond sufficient in the judgment of the Company to protect the Company from any loss it may suffer if a certificate is replaced), or, in the case of mutilation, upon surrender and cancellation thereof, the Company will issue a new certificate or, at the Company’s option, a share ownership statement representing such securities for an equivalent number of shares or another security of like tenor, as the case may be.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Antitrust Approval</w:t>
      </w:r>
      <w:r>
        <w:rPr>
          <w:rFonts w:ascii="Times New Roman" w:cs="Times New Roman" w:eastAsia="Times New Roman" w:hAnsi="Times New Roman"/>
          <w:sz w:val="18"/>
          <w:szCs w:val="18"/>
          <w:color w:val="auto"/>
        </w:rPr>
        <w:t>. The Company and the Purchasers acknowledge that one or more filings under the HSR Act or foreign antitrust laws may be necessary in connection with the issuance of shares of Company Common Stock upon conversion of the Notes. The Purchasers will promptly notify the Company if any such filing is required on the part of such Purchaser. The Company, the Purchasers and any Affiliate will use reasonable best efforts to cooperate in timely making or causing to be made all applications and filings under the HSR Act or any foreign antitrust requirements in connection with the issuance of shares of Company Common Stock upon conversion of Notes held by such Purchaser or its Affiliate in a timely manner and as required by the law of the applicable jurisdiction; provided that, notwithstanding anything in this Agreement to the contrary, the Company shall not have any responsibility or liability for failure of Purchasers or any of their Affiliates to comply with any applicable law. For as long as there are Notes outstanding and owned by Purchasers or their Affiliates, the Company shall as promptly as reasonably practicable provide (no more than four (4) times per calendar year) such information regarding the Company and its Subsidiaries as the Purchasers may reasonably request in order to determine what foreign antitrust requirements may exist with respect to any potential conversion of the Notes. Promptly upon request by the Purchasers, the Company will use reasonable best efforts to make all such filings and obtain all approvals and clearances as required under applicable antitrust laws in connection with the issuance of the shares of Company Common Stock and investment in the shares of Company Common Stock upon conversion of the Notes. The Company and Purchasers will cooperate, provide all necessary information, and keep each other fully apprised with respect to such filing and regulatory processes. The Purchasers shall be responsible for the payment of the filing fees associated with any such applications or filings.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 Notwithstanding anything herein to the contrary, the Company shall have the right to deduct and withhold from any payment or distribution made with respect to the Notes (or the issuance of shares of Company Common Stock upon conversion of the Notes) such amounts as are required to be deducted or withheld with respect to the making of such payment or distribution (or issuance) under any applicable Tax law. In the case of deemed dividends or amounts treated as original issue discount for tax purposes, any such withholding tax may be withheld from subsequent payments on the Notes (or the issuance of shares of Company Common Stock upon conversion of the Notes, or dividends or any other amounts payable with respect to such shares). If the Company is required to remit any withholding tax payments to the applicable Governmental Entity in respect of deemed dividends or amounts treated as original issue discount for tax purposes prior to any such subsequent payment or issuance, the Purchasers shall promptly upon notice reimburse the Company for the required withholding tax payment. To the extent that any amounts are deducted or withheld as described in this Section 4.07, such deducted or withheld amounts shall be treated for all purposes of this Agreement as having been paid to the person in respect of which such deduction or withholding was made.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Confidentiality.</w:t>
      </w:r>
    </w:p>
    <w:p>
      <w:pPr>
        <w:spacing w:after="0" w:line="225" w:lineRule="exact"/>
        <w:rPr>
          <w:sz w:val="20"/>
          <w:szCs w:val="20"/>
          <w:color w:val="auto"/>
        </w:rPr>
      </w:pPr>
    </w:p>
    <w:p>
      <w:pPr>
        <w:jc w:val="both"/>
        <w:ind w:firstLine="644"/>
        <w:spacing w:after="0" w:line="251" w:lineRule="auto"/>
        <w:tabs>
          <w:tab w:leader="none" w:pos="9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acknowledge that Confidential Information (as defined below) has been and may in the future be made available to it in connection with its investment in the Company. The Purchasers agree that each such Purchaser shall, and shall cause any person to whom Confidential Information is disclosed pursuant to clause (i) below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keep the Confidential Information confidential and use the Confidential Information solely in connection with its investment in the Company. The Purchasers further acknowledge and agree that such Confidential Information may be, or contain, material non-public information under applicable law and such information may not be used to purchase, sell or trade in Company Securities (other than as permitted by applicable law) or disclosed to any Affiliates or Third Parties, except as provided below. The Purchasers further acknowledge and agree that each such Purchaser shall not disclose any Confidential Information to any Person, except that Confidential Information may be disclosed (i) to any Purchaser’s Affiliate or any of the Purchasers or Purchasers’ Affiliates’ respective directors, officers, employees, agents, attorneys, advisors, accountants, or consultants who reasonably require access to such information in connection with such Purchaser’s investment in the Company, including to the extent related to the Tax treatment and Tax structure of the Transactions, who in each case have been informed of the confidential nature of the Confidential Information (provided that under no circumstances shall any Confidential Information be provided to any portfolio company of such Purchaser or to any portfolio company of any of their respective Affiliates); (ii) in the event and to the extent that such Purchaser or any of its Representatives is required to disclose any Confidential Information by applicable law, legal process or other legal compulsion, whether or not in connection with any proceeding by or before a court of law or Governmental Entity (provided that such Purchaser shall (to the extent not prohibited by applicable law) give the Company prompt written notice of such requirement (and in any event prior to any disclosure of Confidential Information in connection therewith) so that the Company may seek an appropriate order or other remedy protecting such Confidential Information from disclosure or waive compliance with the terms of this Section 4.08 (and such Purchaser shall use reasonable efforts to cooperate with the Company to obtain such protective order or other remedy, at the Company’ s expense)); (iii) to any Person to whom such Purchaser in good faith is contemplating a transfer of any Notes or shares of Company Common Stock, provided that such transfer would not be in violation of the provisions of this Agreement and such potential transferee is advised of the confidential nature of such information and agrees to be bound by a confidentiality agreement enforceable by the Company and consistent with the provisions of this Section 4.08; or (iv) to any regulatory or self-regulatory authority to which such Purchaser or any of its Affiliates is subject; provided that such authority is advised of the confidential nature of such information. The Purchasers shall be responsible for any actions taken by any of such Purchaser’s Representatives of the applicable provisions of this Section 4.08 as if such Purchaser had taken such actions.</w:t>
      </w:r>
    </w:p>
    <w:p>
      <w:pPr>
        <w:spacing w:after="0" w:line="200" w:lineRule="exact"/>
        <w:rPr>
          <w:rFonts w:ascii="Times New Roman" w:cs="Times New Roman" w:eastAsia="Times New Roman" w:hAnsi="Times New Roman"/>
          <w:sz w:val="18"/>
          <w:szCs w:val="18"/>
          <w:color w:val="auto"/>
        </w:rPr>
      </w:pPr>
    </w:p>
    <w:p>
      <w:pPr>
        <w:jc w:val="both"/>
        <w:ind w:firstLine="644"/>
        <w:spacing w:after="0" w:line="253" w:lineRule="auto"/>
        <w:tabs>
          <w:tab w:leader="none" w:pos="9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shall mean any information concerning the Company or any of its Subsidiaries or the business, products, markets, condition (financial or otherwise), operations, assets, liabilities, results of operations cash flows or prospects of the Company or any of its Subsidiaries (whether prepared by the Company or otherwise) that is furnished or has been furnished (regardless of the manner in which it is or has been furnished) by or on behalf of the Company to such Purchaser or any of its Representatives at any time (whether before, on or after the Closing Date) in connection with such Purchaser’s investment in the Company, and all notes, analyses, compilations, forecasts, studies, emails or other documents (in whatever form maintained) prepared by such Purchaser or any of its Representatives that contain or reflect such information (in whole or in part); provided that the term “Confidential Information” does not include information that (i) is or becomes generally available to the public other than as a result of a disclosure by such Purchaser or its Representatives in violation of this Section 4.08, (ii) was within such Purchaser’s or its Representatives’ possession prior to it being furnished to such Purchaser or its Representatives by or on behalf of the Company; provided that the source of such information was not known by such Purchaser to be bound by a confidentiality agreement or other contractual, legal or fiduciary obligation of confidentiality with respect to such information, (iii) becomes available to such Purchaser or its Representatives on a non-confidential basis from a source other than the Company; provided that such source is not known by such Purchaser to be bound by a confidentiality agreement or other contractual, legal or fiduciary obligation of confidentiality with respect to such information, or (iv) does not involve projections or strategic plans of the Company and is independently developed by such Purchaser or its Representatives without reference to or the use of any Confidential Information.</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8" w:name="page129"/>
    <w:bookmarkEnd w:id="128"/>
    <w:p>
      <w:pPr>
        <w:jc w:val="both"/>
        <w:ind w:left="660" w:firstLine="644"/>
        <w:spacing w:after="0" w:line="252" w:lineRule="auto"/>
        <w:tabs>
          <w:tab w:leader="none" w:pos="159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 nothing contained herein shall prevent or restrict (A) such Purchaser’s or its Representatives’ use (subject, to the extent possible, to a protective order) of Confidential Information in connection with the assertion of any claim against, or the defense of any claim by, the Company or any of its Subsidiaries, or (B) such Purchaser or its Representatives from communicating with their respective investors to the extent reasonably required to fulfill their informational and reporting obligations to such persons; provided that the recipients of such information are subject to a customary obligation to keep such information confidential, and (ii) if the provisions of Section 4.03(A) expire or terminate, neither this Section 4.08 nor any other provision hereof or of the Confidentiality Agreement shall restrict or prevent such Purchaser or its Affiliates from (A) with respect to any Confidential Information, beginning 180 days after such information was received, using such Confidential Information in connection with acquiring, or agreeing, proposing, seeking or offering to acquire, any securities or assets of the Company or any of its Subsidiaries pursuant to a tender offer, exchange offer, merger or other business combination transaction, or in connection with any of the other actions described in Section 4.03(A), or (B) publicly disclosing the history of discussions between such Purchaser and the Company to the extent reasonably necessary to comply with securities law disclosure obligations or other applicable law, regulation or securities or securities exchange rules, subject, solely in the case of disclosures not involving matters referred to in the immediately preceding clause (A), to prior written notice to the Company and consideration in good faith of the Company’s reasonable input on the content of such disclosures.</w:t>
      </w:r>
    </w:p>
    <w:p>
      <w:pPr>
        <w:spacing w:after="0" w:line="19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and the Company hereby agree that the Confidentiality Agreement shall terminate at the Closing without further force or effect, it being understood that this Section 4.08 shall apply to all Confidential Information provided prior to the date hereof, including the fact and substance of the discussions and negotiations between the parties.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NASDAQ Approval.</w:t>
      </w:r>
      <w:r>
        <w:rPr>
          <w:rFonts w:ascii="Times New Roman" w:cs="Times New Roman" w:eastAsia="Times New Roman" w:hAnsi="Times New Roman"/>
          <w:sz w:val="18"/>
          <w:szCs w:val="18"/>
          <w:color w:val="auto"/>
        </w:rPr>
        <w:t xml:space="preserve"> The Company shall use its reasonable best efforts to cause the shares of Company Common Stock issuable upon conversion of the Notes to be approved for listing on the NASDAQ, subject to official notice of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Authorized and Reserved Company Common Stock</w:t>
      </w:r>
      <w:r>
        <w:rPr>
          <w:rFonts w:ascii="Times New Roman" w:cs="Times New Roman" w:eastAsia="Times New Roman" w:hAnsi="Times New Roman"/>
          <w:sz w:val="18"/>
          <w:szCs w:val="18"/>
          <w:color w:val="auto"/>
        </w:rPr>
        <w:t>. For so long as any Notes are outstanding, the Company shall cause the authorized capital stock of the Company to include a sufficient number of authorized but unissued shares of Company Common Stock to satisfy the conversion requirements of all Notes then outstanding (giving effect to any adjustment to the Conversion Rate (as defined in the Notes) pursuant to the Notes), and shall reserve and keep available out of its authorized but unissued shares of Company Common Stock such number of shares thereof for issuance upon conversion of the Notes.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center"/>
        <w:ind w:right="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3759835</wp:posOffset>
            </wp:positionH>
            <wp:positionV relativeFrom="page">
              <wp:posOffset>560070</wp:posOffset>
            </wp:positionV>
            <wp:extent cx="285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575" cy="8255"/>
                    </a:xfrm>
                    <a:prstGeom prst="rect">
                      <a:avLst/>
                    </a:prstGeom>
                    <a:noFill/>
                  </pic:spPr>
                </pic:pic>
              </a:graphicData>
            </a:graphic>
          </wp:anchor>
        </w:drawing>
        <w:t>ARTICLE V</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u w:val="single" w:color="auto"/>
          <w:color w:val="auto"/>
        </w:rPr>
        <w:t>Registration Rights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5.01 Registration Statement.</w:t>
      </w:r>
    </w:p>
    <w:p>
      <w:pPr>
        <w:spacing w:after="0" w:line="225" w:lineRule="exact"/>
        <w:rPr>
          <w:sz w:val="20"/>
          <w:szCs w:val="20"/>
          <w:color w:val="auto"/>
        </w:rPr>
      </w:pPr>
    </w:p>
    <w:p>
      <w:pPr>
        <w:jc w:val="both"/>
        <w:ind w:firstLine="644"/>
        <w:spacing w:after="0" w:line="254" w:lineRule="auto"/>
        <w:tabs>
          <w:tab w:leader="none" w:pos="96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prepare and file and use commercially reasonable best efforts to cause to be declared effective or otherwise become effective pursuant to the Securities Act in each case as soon as practicable, and in any event not later than the date that is six (6) months after the Closing Date (the “</w:t>
      </w:r>
      <w:r>
        <w:rPr>
          <w:rFonts w:ascii="Times New Roman" w:cs="Times New Roman" w:eastAsia="Times New Roman" w:hAnsi="Times New Roman"/>
          <w:sz w:val="18"/>
          <w:szCs w:val="18"/>
          <w:b w:val="1"/>
          <w:bCs w:val="1"/>
          <w:color w:val="auto"/>
        </w:rPr>
        <w:t>Target Registration Date</w:t>
      </w:r>
      <w:r>
        <w:rPr>
          <w:rFonts w:ascii="Times New Roman" w:cs="Times New Roman" w:eastAsia="Times New Roman" w:hAnsi="Times New Roman"/>
          <w:sz w:val="18"/>
          <w:szCs w:val="18"/>
          <w:color w:val="auto"/>
        </w:rPr>
        <w:t>”), a shelf Registration Statement in order to provide for resales of any or all of the Registrable Securities to be made on a delayed or continuous basis pursuant to Rule 415 under the Securities Act, which Registration Statement will (except to the extent the SEC objects in written comments upon the SEC’s review of such Registration Statement) contain a “plan of distribution” covering the intended manner of disposition. In addition, the Company will from time to time use commercially reasonable best efforts to file such additional registration statements to cover resales of any Registrable Securities. Any Registration Statement filed pursuant to this Article V shall cover only Registrable Securities, shall be on Form S-3 (or a successor form) if the Company is eligible to use such form and shall be an automatically effective Registration Statement if the Company is a WKSI.</w:t>
      </w:r>
    </w:p>
    <w:p>
      <w:pPr>
        <w:spacing w:after="0" w:line="188" w:lineRule="exact"/>
        <w:rPr>
          <w:rFonts w:ascii="Times New Roman" w:cs="Times New Roman" w:eastAsia="Times New Roman" w:hAnsi="Times New Roman"/>
          <w:sz w:val="18"/>
          <w:szCs w:val="18"/>
          <w:color w:val="auto"/>
        </w:rPr>
      </w:pPr>
    </w:p>
    <w:p>
      <w:pPr>
        <w:jc w:val="both"/>
        <w:ind w:firstLine="644"/>
        <w:spacing w:after="0" w:line="256" w:lineRule="auto"/>
        <w:tabs>
          <w:tab w:leader="none" w:pos="9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5.02 and further subject to the availability of a Registration Statement on Form S-3 (or any successor form thereto) to the Company pursuant to the Securities Act and the rules and interpretations of the SEC, the Company will use its commercially reasonable best efforts to keep the Registration Statement (or any replacement Registration Statement) continuously effective until the earlier of (such earlier date, the “</w:t>
      </w:r>
      <w:r>
        <w:rPr>
          <w:rFonts w:ascii="Times New Roman" w:cs="Times New Roman" w:eastAsia="Times New Roman" w:hAnsi="Times New Roman"/>
          <w:sz w:val="18"/>
          <w:szCs w:val="18"/>
          <w:b w:val="1"/>
          <w:bCs w:val="1"/>
          <w:color w:val="auto"/>
        </w:rPr>
        <w:t>Registration Termination Date</w:t>
      </w:r>
      <w:r>
        <w:rPr>
          <w:rFonts w:ascii="Times New Roman" w:cs="Times New Roman" w:eastAsia="Times New Roman" w:hAnsi="Times New Roman"/>
          <w:sz w:val="18"/>
          <w:szCs w:val="18"/>
          <w:color w:val="auto"/>
        </w:rPr>
        <w:t>”): (i) the date on which all Registrable Securities covered by the Registration Statement have been sold thereunder in accordance with the plan and method of distribution disclosed in the prospectus included in the Registration Statement or (ii) there otherwise cease to be any Registrable Securities.</w:t>
      </w:r>
    </w:p>
    <w:p>
      <w:pPr>
        <w:spacing w:after="0" w:line="187" w:lineRule="exact"/>
        <w:rPr>
          <w:rFonts w:ascii="Times New Roman" w:cs="Times New Roman" w:eastAsia="Times New Roman" w:hAnsi="Times New Roman"/>
          <w:sz w:val="18"/>
          <w:szCs w:val="18"/>
          <w:color w:val="auto"/>
        </w:rPr>
      </w:pPr>
    </w:p>
    <w:p>
      <w:pPr>
        <w:jc w:val="both"/>
        <w:ind w:firstLine="644"/>
        <w:spacing w:after="0" w:line="254" w:lineRule="auto"/>
        <w:tabs>
          <w:tab w:leader="none" w:pos="9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during such period of time from and after the Target Registration Date that the Company ceases to be eligible to file or use a Registration Statement on Form S-3 (or any successor form thereto), upon the written request of any holder of Registrable Securities, the Company shall use its commercially reasonable best efforts to file a Registration Statement on Form S-1 (or any successor form) under the Securities Act covering the Registrable Securities of the requesting party and use commercially reasonable best efforts to cause such Registration Statement to be declared effective pursuant to the Securities Act as soon as reasonably practicable after filing thereof and file and cause to become effective such amendments thereto as are necessary in order to keep such Registration Statement available for no less than 60 days after its effective date. When the Company regains ability to file a Registration Statement on Form S-3 covering the Registrable Securities it shall as promptly as practicably do so in accordance with Section 5.01(A).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Registration Limitations and Obligations.</w:t>
      </w:r>
    </w:p>
    <w:p>
      <w:pPr>
        <w:spacing w:after="0" w:line="225" w:lineRule="exact"/>
        <w:rPr>
          <w:sz w:val="20"/>
          <w:szCs w:val="20"/>
          <w:color w:val="auto"/>
        </w:rPr>
      </w:pPr>
    </w:p>
    <w:p>
      <w:pPr>
        <w:jc w:val="both"/>
        <w:ind w:firstLine="644"/>
        <w:spacing w:after="0" w:line="255" w:lineRule="auto"/>
        <w:tabs>
          <w:tab w:leader="none" w:pos="96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5.01, the Company will use commercially reasonable best efforts to prepare such supplements or amendments (including post-effective amendments), if required by applicable law, to each applicable Registration Statement and file any other required document so that such Registration Statement will be Available at all times during the period for which such Registration Statement is, or is required pursuant to this Agreement to be, effective; provided that no such supplement, amendment or filing will be required during a Blackout Period. In order to facilitate the Company’s determination of whether to initiate a Blackout Period, the Purchasers shall give the Company notice of a proposed sale of Registrable Securities pursuant to the Registration Statement at least two (2) Business Days (or, if two (2) Business Days’ notice is not practicable, one (1) Business Day) prior to the proposed date of sale (which notice shall not bind such Purchaser to make any sale).</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0" w:name="page131"/>
    <w:bookmarkEnd w:id="130"/>
    <w:p>
      <w:pPr>
        <w:jc w:val="both"/>
        <w:ind w:firstLine="644"/>
        <w:spacing w:after="0" w:line="252" w:lineRule="auto"/>
        <w:tabs>
          <w:tab w:leader="none" w:pos="97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the Company shall be entitled, from time to time, by providing written notice to the holders of Registrable Securities, to require such holders of Registrable Securities to defer filing a Registration Statement and suspend the use of the prospectus for sales of Registrable Securities under the Registration Statement during any Blackout Period; provided, for purposes of this Section 5.02, the Company shall only be obligated to provide written notice to any holder or Beneficial Owner of Registrable Securities of any such Blackout Period, or the certificate described in the following sentence, if such holder or Beneficial Owner has specified in writing to the Company for purposes of receiving such notice such holder’s or Beneficial Owner’s address and contact information. No sales may be made under the applicable Registration Statement during any Blackout Period. In the event of a Blackout Period, the Company shall notify each holder of Registrable Securities promptly upon each of the commencement and the termination of each Blackout Period, which notice of termination shall be delivered to each holder of Registrable Securities no later than the close of business of the last day of the Blackout Period. In connection with the expiration of any Blackout Period and without any further request from a holder of Registrable Securities, the Company to the extent necessary and as required by applicable law shall as promptly as reasonably practicable prepare supplements or amendments, including post-effective amendments, to the Registration Statement or the prospectus, or any document incorporated therein by reference, or file any other required document so that the Registration Statement will be Available. A Blackout Period shall be deemed to have expired when the Company has notified the holders of Registrable Securities that the Blackout Period is over and the Registration Statement is Available. Notwithstanding anything in this Agreement to the contrary, the absence of an Available Registration Statement at any time from and after the Target Registration Date shall be considered a Blackout Period and subject to the limitations therein.</w:t>
      </w:r>
    </w:p>
    <w:p>
      <w:pPr>
        <w:spacing w:after="0" w:line="194" w:lineRule="exact"/>
        <w:rPr>
          <w:rFonts w:ascii="Times New Roman" w:cs="Times New Roman" w:eastAsia="Times New Roman" w:hAnsi="Times New Roman"/>
          <w:sz w:val="18"/>
          <w:szCs w:val="18"/>
          <w:color w:val="auto"/>
        </w:rPr>
      </w:pPr>
    </w:p>
    <w:p>
      <w:pPr>
        <w:jc w:val="both"/>
        <w:ind w:firstLine="644"/>
        <w:spacing w:after="0" w:line="261" w:lineRule="auto"/>
        <w:tabs>
          <w:tab w:leader="none" w:pos="94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Company shall not have any obligation to prepare any prospectus supplement, participate in any due diligence, execute any agreements or certificates or deliver legal opinions (other than customary de-legending certificates and opinions or any customary Exhibit 5 opinion required in connection with the initial filing of the Registration Statement) or obtain comfort letters in connection with any sales of the Company Common Stock under the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Registration Procedures.</w:t>
      </w:r>
    </w:p>
    <w:p>
      <w:pPr>
        <w:spacing w:after="0" w:line="225" w:lineRule="exact"/>
        <w:rPr>
          <w:sz w:val="20"/>
          <w:szCs w:val="20"/>
          <w:color w:val="auto"/>
        </w:rPr>
      </w:pPr>
    </w:p>
    <w:p>
      <w:pPr>
        <w:jc w:val="both"/>
        <w:ind w:firstLine="644"/>
        <w:spacing w:after="0" w:line="266" w:lineRule="auto"/>
        <w:tabs>
          <w:tab w:leader="none" w:pos="95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registration of any Registrable Securities under the Securities Act and in connection with any distribution of Registered Securities pursuant thereto as contemplated by this Agreement, the Company shall as promptly as reasonably practicable, subject to the other provisions of this Agreement:</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53" w:lineRule="auto"/>
        <w:tabs>
          <w:tab w:leader="none" w:pos="156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5.01(A), use commercially reasonable best efforts to prepare and file with the SEC a Registration Statement to effect such registration in accordance with the intended method or methods of distribution of such securities and thereafter use commercially reasonable best efforts to cause such Registration Statement to become and remain effective and Available pursuant to the terms of this Article V; provided, however, that the Company may discontinue any registration of its securities which are not Registrable Securities at any time prior to the effective date of the Registration Statement relating thereto; provided, further, that before filing such registration statement or any amendments or supplements thereto (but excluding amendments and supplements that do nothing more than name Selling Holders (as defined below) and provide information with respect thereto), the Company will furnish to the holders which are including Registrable Securities in such registration (“</w:t>
      </w:r>
      <w:r>
        <w:rPr>
          <w:rFonts w:ascii="Times New Roman" w:cs="Times New Roman" w:eastAsia="Times New Roman" w:hAnsi="Times New Roman"/>
          <w:sz w:val="18"/>
          <w:szCs w:val="18"/>
          <w:b w:val="1"/>
          <w:bCs w:val="1"/>
          <w:color w:val="auto"/>
        </w:rPr>
        <w:t>Selling Holders</w:t>
      </w:r>
      <w:r>
        <w:rPr>
          <w:rFonts w:ascii="Times New Roman" w:cs="Times New Roman" w:eastAsia="Times New Roman" w:hAnsi="Times New Roman"/>
          <w:sz w:val="18"/>
          <w:szCs w:val="18"/>
          <w:color w:val="auto"/>
        </w:rPr>
        <w:t>”), if any, copies of all such documents proposed to be filed, which documents will be subject to the review and reasonable comment (which comments will be considered in good faith by the Company) of the counsel (if any) to such holders, and other documents reasonably requested by any such counsel, including any comment letters from the SEC;</w:t>
      </w:r>
    </w:p>
    <w:p>
      <w:pPr>
        <w:spacing w:after="0" w:line="191"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6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before any Registration Statement is declared or otherwise becomes effective, qualify the Indenture under the Trust Indenture Act of 1939, and appoint a new trustee under the Indenture to the extent such qualification requires the appointment of a new trustee thereunder;</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1" w:name="page132"/>
    <w:bookmarkEnd w:id="131"/>
    <w:p>
      <w:pPr>
        <w:jc w:val="both"/>
        <w:ind w:left="180" w:firstLine="652"/>
        <w:spacing w:after="0" w:line="266" w:lineRule="auto"/>
        <w:tabs>
          <w:tab w:leader="none" w:pos="108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5.02, prepare and file with the SEC such amendments and supplements to such Registration Statement and the prospectus used in connection therewith as may be necessary and to the extent required by applicable law to keep such Registration Statement effective and Available pursuant to the terms of this Article V;</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08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Holders, if any, of the securities being sold by such Selling Holders such number of conformed copies of such Registration Statement and of each amendment and supplement thereto, such number of copies of the prospectus and any prospectus supplement contained in or deemed part of such Registration Statement (including each preliminary prospectus supplement) utilized in connection therewith and any other prospectus filed under Rule 424 under the Securities Act, in conformity with the requirements of the Securities Act, and such other documents as such Selling Holders may reasonably request in order to facilitate the public sale or other disposition of the Registrable Securities owned by such Selling Holders;</w:t>
      </w:r>
    </w:p>
    <w:p>
      <w:pPr>
        <w:spacing w:after="0" w:line="187" w:lineRule="exact"/>
        <w:rPr>
          <w:rFonts w:ascii="Times New Roman" w:cs="Times New Roman" w:eastAsia="Times New Roman" w:hAnsi="Times New Roman"/>
          <w:sz w:val="18"/>
          <w:szCs w:val="18"/>
          <w:color w:val="auto"/>
        </w:rPr>
      </w:pPr>
    </w:p>
    <w:p>
      <w:pPr>
        <w:ind w:left="180" w:firstLine="652"/>
        <w:spacing w:after="0" w:line="282" w:lineRule="auto"/>
        <w:tabs>
          <w:tab w:leader="none" w:pos="112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efforts to cause such Registrable Securities to be listed on each securities exchange on which similar securities issued by the Company are then listed;</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08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efforts to provide and cause to be maintained a transfer agent and registrar for all Registrable Securities, and a trustee for any Registrable Securities issued under an indenture, covered by such Registration Statement from and after a date not later than the effective date of such Registration Statement;</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8" w:lineRule="auto"/>
        <w:tabs>
          <w:tab w:leader="none" w:pos="1083"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practicable notify in writing the holders of Registrable Securities and the underwriters, if any, of the following events: (A) the filing of the Registration Statement, any amendment thereto, the prospectus or any prospectus supplement related thereto or post-effective amendment to such Registration Statement utilized in connection therewith, and, with respect to such Registration Statement or any post-effective amendment thereto, when the same has become effective; (B) any request by the SEC or any other U.S. or state Governmental Entity for amendments or supplements to such Registration Statement or the prospectus; (C) the issuance by the SEC of any stop order suspending the effectiveness of such Registration Statement or the initiation of any proceedings by any person for that purpose; (D) the receipt by the Company of any notification with respect to the suspension of the qualification of any Registrable Securities for sale under the securities or “blue sky” laws of any jurisdiction or the initiation or threat of any proceeding for such purpose;</w:t>
      </w:r>
    </w:p>
    <w:p>
      <w:pPr>
        <w:jc w:val="both"/>
        <w:ind w:left="180" w:firstLine="4"/>
        <w:spacing w:after="0" w:line="251" w:lineRule="auto"/>
        <w:tabs>
          <w:tab w:leader="none" w:pos="45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representations and warranties of the Company contained in any agreement (including any underwriting agreement) related to such registration cease to be true and correct in any material respect; and (F) upon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documents so that, in the case of such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the light of the circumstances under which they were made, not misleading; provided, in the case of clause (F), that such notice need not include the nature or details concerning such event;</w:t>
      </w:r>
    </w:p>
    <w:p>
      <w:pPr>
        <w:spacing w:after="0" w:line="193"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09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efforts to obtain the withdrawal of any order suspending the effectiveness of such Registration Statement, or the lifting of any suspension of the qualification (or exemption from qualification) of any of the Registrable Securities for sale in any jurisdiction at the earliest reasonable practicable date, except that the Company shall not for any such purpose be required to (A) qualify generally to do business as a foreign corporation or as a dealer in securities in any jurisdiction wherein it would not but for the requirements of this clause (8) be obligated to be so qualified, (B) subject itself to taxation in any such jurisdiction or (C) file a general consent to service of process in any such jurisdiction;</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2" w:name="page133"/>
    <w:bookmarkEnd w:id="132"/>
    <w:p>
      <w:pPr>
        <w:jc w:val="both"/>
        <w:ind w:left="1300" w:firstLine="652"/>
        <w:spacing w:after="0" w:line="254" w:lineRule="auto"/>
        <w:tabs>
          <w:tab w:leader="none" w:pos="223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public offering of Registrable Securities, use commercially reasonable best efforts to register or qualify or cooperate with the Selling Holders in connection with the registration or qualification (or exemption from such registration or qualification) of such Registrable Securities for offer and sale under the applicable state securities or “blue sky” laws of those jurisdictions within the United States as any holder reasonably requests in writing to keep each such registration or qualification (or exemption therefrom) effective until the Registration Termination Date; provided that the Company will not be required to (A) qualify generally to do business as a foreign corporation or as a dealer in securities in any jurisdiction wherein it would not but for the requirements of this clause (9) be obligated to be so qualified, (B) subject itself to taxation in any such jurisdiction or (C) file a general consent to service of process in any such jurisdiction; and</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299"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efforts to cooperate with the holders to facilitate the timely preparation and delivery of certificates or book-entry securities representing Registrable Securities to be delivered to a transferee pursuant to the Registration Statements, which certificates or book-entry securities shall be free, to the extent permitted by the Indenture and applicable law, of all restrictive legends, and to enable such Registrable Securities to be in such denominations and registered in such names as any such holders may request in writing; and in connection therewith, if required by the Company’ s transfer agent, the Company will promptly after the effectiveness of the Registration Statement cause to be delivered to its transfer agent when and as required by such transfer agent from time to time, any authorizations, certificates, directions and other evidence required by the transfer agent which authorize and direct the transfer agent to issue such Registrable Securities without legend upon sale by the holder of such shares of Registrable Securities under the Registration Statement.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9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(i) furnish the Company in writing such information regarding each Selling Holder and the distribution of such Registrable Securities as the Company may from time to time reasonably request in writing to complete or amend the information required by such Registration Statement and/or any other documents relating to such registered offering, and (ii) execute and deliver, or cause the execution or delivery of, and to perform under, or cause the performance under, any agreements and instruments reasonably requested by the Company to effectuate such registered offering, including, without limitation, opinions of counsel and questionnaires. If the Company requests that the holders of Registrable Securities take any of the actions referred to in this Section 5.03(B), such holders shall take such action promptly and as soon as reasonably practicable following the date of such request.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9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Holder agrees that upon receipt of any notice from the Company of the happening of any event of the kind described in clauses (B), (C), (D), (E) and (F) of Section 5.03(A)(7), such Selling Holder shall forthwith discontinue such Selling Holder’s disposition of Registrable Securities pursuant to the applicable Registration Statement and prospectus relating thereto until such Selling Holder is advised in writing by the Company that the use of the applicable prospectus may be resumed, and has received copies of any additional or supplemental filings that are incorporated or deemed to be incorporated by reference in such prospectus. The Company shall use reasonable efforts to cure the events described in clauses (B), (C), (D), (E) and (F) of Section 5.03(A)(7) so that the use of the applicable prospectus may be resumed at the earliest reasonably practicable moment. For the avoidance of doubt, and as set forth in Section 5.02(B), if any such event makes the Registration Statement not Available, such an event shall be deemed to start a Blackout Period and be subject to the limitations herein with respect to Blackout Periods.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shall pay all Registration Expenses in connection with any registration pursuant to this Article V, provided that each holder of Registrable Securities participating in an offering shall pay all applicable underwriting discounts and commissions, agency fees, brokers’ commissions and transfer taxes, if any, on the Registrable Securities sold by such holder, and similar charges.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Registration Indemnification.</w:t>
      </w:r>
    </w:p>
    <w:p>
      <w:pPr>
        <w:spacing w:after="0" w:line="225" w:lineRule="exact"/>
        <w:rPr>
          <w:sz w:val="20"/>
          <w:szCs w:val="20"/>
          <w:color w:val="auto"/>
        </w:rPr>
      </w:pPr>
    </w:p>
    <w:p>
      <w:pPr>
        <w:jc w:val="both"/>
        <w:ind w:firstLine="644"/>
        <w:spacing w:after="0" w:line="251" w:lineRule="auto"/>
        <w:tabs>
          <w:tab w:leader="none" w:pos="96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without limitation as to time, to indemnify and hold harmless, to the fullest extent permitted by law, each Selling Holder and its Affiliates and their respective officers, directors, members, shareholders, employees, managers, partners, accountants, attorneys, advisors and agents and each Person who controls (within the meaning of Section 15 of the Securities Act and Section 20 of the Exchange Act) such Selling Holder or such other indemnified Person and the officers, directors, members, shareholders, employees, managers, partners, accountants, attorneys, advisors and agents of each such controlling Person, and each Person who controls (within the meaning of Section 15 of the Securities Act and Section 20 of the Exchange Act) such underwriter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all losses, claims, damages, liabilities, costs, expenses (including reasonable expenses of investigation and reasonable attorneys’ fees and expenses), judgments, fines, penalties, charges and amounts paid in settlement (collectively, the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as incurred, arising out of, caused by, resulting from or relating to any untrue statement (or alleged untrue statement) of a material fact contained in any Registration Statement, or any amendment or supplement thereto, or any omission (or alleged omission) of a material fact required to be stated in any such Registration Statement or necessary to make the statements therein not misleading, or arising out of, caused by, resulting from or relating to any untrue statement (or alleged untrue statement) of a material fact contained in any prospectus or preliminary prospectus, in each case related to such Registration Statement, or any amendment or supplement thereto or any omission (or alleged omission) of a material fact necessary to make the statements therein, in the light of the circumstances under which they were made, not misleading (except to the extent that such Losses arose out of, were caused by, resulted from or related to Selling Holder Information (as defined in Section 5.05(B) below) or such written information furnished by or on behalf of any such underwriter and relating to such underwriter for inclusion in such registration statement, prospectus or preliminary prospectus or any amendment or supplement thereto) and (without limitation of the preceding portions of this Section 5.05(A)) will reimburse each such Selling Holder, each of its Affiliates, and each of their respective officers, directors, members, shareholders, employees, managers, partners, accountants, attorneys, advisors and agents and each such Person who controls each such Selling Holder and the officers, directors, members, shareholders, employees, managers, partners, accountants, attorneys, advisors and agents of each such controlling Person, each such underwriter and each such Person who controls any such underwriter, for any legal and any other expenses reasonably incurred in connection with investigating and defending or settling any such claim, Loss, damage, liability or action, except insofar as the same are caused by any information regarding a holder of Registrable Securities or underwriter furnished in writing to the Company by any such Person or any Selling Holder or underwriter expressly for use therein.</w:t>
      </w:r>
    </w:p>
    <w:p>
      <w:pPr>
        <w:spacing w:after="0" w:line="204" w:lineRule="exact"/>
        <w:rPr>
          <w:rFonts w:ascii="Times New Roman" w:cs="Times New Roman" w:eastAsia="Times New Roman" w:hAnsi="Times New Roman"/>
          <w:sz w:val="18"/>
          <w:szCs w:val="18"/>
          <w:color w:val="auto"/>
        </w:rPr>
      </w:pPr>
    </w:p>
    <w:p>
      <w:pPr>
        <w:jc w:val="both"/>
        <w:ind w:firstLine="644"/>
        <w:spacing w:after="0" w:line="252" w:lineRule="auto"/>
        <w:tabs>
          <w:tab w:leader="none" w:pos="95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Registration Statement in which a Selling Holder is participating, without limitation as to time, each such Selling Holder shall, severally and not jointly, indemnify the Company, its directors and officers, and each Person who controls (within the meaning of Section 15 of the Securities Act and Section 20 of the Exchange Act) the Company, from and against all Losses, as incurred, arising out of, caused by, resulting from or relating to any untrue statement (or alleged untrue statement) of material fact contained in the Registration Statement, or any amendment or supplement thereto, or any omission (or alleged omission) of a material fact required to be stated in any such Registration Statement or necessary to make the statements therein not misleading, or arising out of, caused by, resulting from or relating to any untrue statement (or alleged untrue statement) of a material fact contained in any prospectus or preliminary prospectus or any amendment or supplement thereto or any omission (or alleged omission) of a material fact necessary to make the statements therein, in the light of the circumstances under which they were made, not misleading, and (without limitation of the preceding portions of this Section 5.05(B)) will reimburse the Company, its directors and officers and each Person who controls the Company (within the meaning of Section 15 of the Securities Act and Section 20 of the Exchange Act) for any legal and any other expenses reasonably incurred in connection with investigating and defending or settling any such claim, Loss, damage, liability or action, in each case solely to the extent, but only to the extent, that such untrue statement or omission is made in such registration statement, prospectus or preliminary prospectus or any amendment or supplement thereto in reliance upon and in conformity with written information regarding the Selling Holder furnished to the Company by such Selling Holder for inclusion in such registration statement, prospectus or preliminary prospectus or any amendment or supplement thereto (collectively, “</w:t>
      </w:r>
      <w:r>
        <w:rPr>
          <w:rFonts w:ascii="Times New Roman" w:cs="Times New Roman" w:eastAsia="Times New Roman" w:hAnsi="Times New Roman"/>
          <w:sz w:val="18"/>
          <w:szCs w:val="18"/>
          <w:b w:val="1"/>
          <w:bCs w:val="1"/>
          <w:color w:val="auto"/>
        </w:rPr>
        <w:t>Selling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4" w:name="page135"/>
    <w:bookmarkEnd w:id="134"/>
    <w:p>
      <w:pPr>
        <w:jc w:val="both"/>
        <w:ind w:left="-460" w:firstLine="644"/>
        <w:spacing w:after="0" w:line="258" w:lineRule="auto"/>
        <w:tabs>
          <w:tab w:leader="none" w:pos="48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any action brought by any third party against any indemnified party (which shall be governed by the following paragraph (d) and not this paragraph (c)), any person entitled to indemnification hereunder shall give prompt written notice to the indemnifying party of any claim with respect to which it seeks indemnification; provided, however, the failure to give such notice shall not release the indemnifying party from its obligation, except to the extent that the indemnifying party has been adversely prejudiced by such failure to provide such notice on a timely basis.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9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in which any action is brought by any third party against any indemnified party, the indemnified party shall promptly notify in writing the indemnifying party of the commencement thereof, and the indemnifying party will be entitled to participate therein, and, to the extent that it may wish, to assume the defense thereof, with counsel reasonably satisfactory to such indemnified party, and after notice from the indemnifying party to such indemnified party of its election so to assume the defense thereof and acknowledging the obligations of the indemnifying party with respect to such proceeding,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other than reasonable costs of investigation, supervision and monitoring (unless (i) such indemnified party reasonably objects to such assumption on the grounds that there may be defenses available to it which are different from or in addition to the defenses available to such indemnifying party or a conflict of interest otherwise exists or (ii) the indemnifying party shall have failed within a reasonable period of time to assume such defense and the indemnified party is or would reasonably be expected to be materially prejudiced by such delay, in either case, which event the indemnified party shall be promptly reimbursed by the indemnifying party for the expenses incurred in connection with retaining one separate legal counsel (for the avoidance of doubt, for all indemnified parties in connection therewith)). For the avoidance of doubt, notwithstanding any such assumption by an indemnifying party, the indemnified party shall have the right to employ separate counsel in any such matter and participate in the defense thereof, but the fees and expenses of such counsel shall be at the expense of such indemnified party except as provided in the previous sentence. An indemnifying party shall not be liable for any settlement of an action or claim effected without its consent (which consent shall not be unreasonably withheld, conditioned or delayed). No matter shall be settled by an indemnifying party without the consent of the indemnified party (which consent shall not be unreasonably withheld, conditioned or delayed), unless such settlement (x) includes an unconditional release of such indemnified party from all liability on claims that are the subject matter of such claim or proceeding, (y) does not include any statement as to or any admission of fault, culpability or a failure to act by or on behalf of any indemnified party and (z) is settled solely for cash for which the indemnified party would be entitled to indemnification hereunder. The failure of an indemnified party to give notice to an indemnifying party of any action brought against such indemnified party shall not relieve the indemnifying party of its obligations or liabilities pursuant to this Agreement, except to the extent such failure adversely prejudices the indemnifying party.</w:t>
      </w:r>
    </w:p>
    <w:p>
      <w:pPr>
        <w:spacing w:after="0" w:line="20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7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for under this Agreement shall survive the sale or other transfer of the Registrable Securities and the termination of this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6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recovery is not available under the foregoing indemnification provisions for any reason or reasons other than as specified therein, any Person who would otherwise be entitled to indemnification by the terms thereof shall nevertheless be entitled to contribution with respect to any Losses with respect to which such Person would be entitled to such indemnification but for such reason or reasons, in such proportion as is appropriate to reflect the relative fault of the indemnifying party, on the one hand, and such indemnified party, on the other hand, in connection with the actions, statements or omissions that resulted in such Losses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the Persons’ relative knowledge and access to information concerning the matter with respect to which the claim was asserted, the opportunity to correct and prevent any statement or omission, and other equitable considerations appropriate under the circumstances. It is hereby agreed that it would not necessarily be equitable if the amount of such contribution were determined by pro rata or per capita allocation that does not take into account the equitable considerations referred to in the immediately preceding sentence. Notwithstanding any other provision of this Agreement, no holder of Registrable Securities shall be required to contribute, in the aggregate, any amount in excess of its net proceeds from the sale of the Registrable Securities subject to any actions or proceedings over the amount of any damages, indemnity or contribution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found guilty of such fraudulent misrepresentation.</w:t>
      </w:r>
    </w:p>
    <w:p>
      <w:pPr>
        <w:spacing w:after="0" w:line="194" w:lineRule="exact"/>
        <w:rPr>
          <w:rFonts w:ascii="Times New Roman" w:cs="Times New Roman" w:eastAsia="Times New Roman" w:hAnsi="Times New Roman"/>
          <w:sz w:val="18"/>
          <w:szCs w:val="18"/>
          <w:color w:val="auto"/>
        </w:rPr>
      </w:pPr>
    </w:p>
    <w:p>
      <w:pPr>
        <w:ind w:left="-460" w:firstLine="644"/>
        <w:spacing w:after="0" w:line="282" w:lineRule="auto"/>
        <w:tabs>
          <w:tab w:leader="none" w:pos="48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contribution agreements contained in this Section 5.05 are in addition to any liability that the indemnifying party may have to the indemnified party and do not limit other provisions of this Agreement that provide for indemnification.</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5" w:name="page136"/>
    <w:bookmarkEnd w:id="1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Facilitation of Sales Pursuant to Rule 144</w:t>
      </w:r>
      <w:r>
        <w:rPr>
          <w:rFonts w:ascii="Times New Roman" w:cs="Times New Roman" w:eastAsia="Times New Roman" w:hAnsi="Times New Roman"/>
          <w:sz w:val="18"/>
          <w:szCs w:val="18"/>
          <w:color w:val="auto"/>
        </w:rPr>
        <w:t>. For as long as the Purchasers or their Affiliates Beneficially Owns Notes or any Company Common Stock, including any shares of Company Common Stock issued or issuable upon conversion of the Notes, to the extent it shall be required to do so under the Exchange Act, the Company shall use reasonable efforts to timely file the reports required to be filed by it under the Exchange Act or the Securities Act (including the reports under Sections 13 and 15(d) of the Exchange Act referred to in subparagraph (c)(l) of Rule 144) and submit all required Interactive Data Files (as defined in Rule 11 of Regulation S-T of the SEC), and shall use reasonable efforts to take such further necessary action as any holder of Subject Securities may reasonably request in connection with the removal of any restrictive legend on the Subject Securities being sold, all to the extent required from time to time to enable such holder to sell the Subject Securities without registration under the Securities Act within the limitations of the exemption provided by Rule 144.</w:t>
      </w:r>
    </w:p>
    <w:p>
      <w:pPr>
        <w:spacing w:after="0" w:line="19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Except for (i) the representations and warranties contained in clauses (A), (B), (C), (D) and (E) of Section 3.01 and the representations and warranties contained in Section 3.02, which shall survive the Closing indefinitely and (ii) the representations and warranties contained in clause (M) of Section 3.01, which shall survive until 90 days after expiration of the applicable statute of limitations, the warranties and representations made herein shall survive for six (6) months following the Closing Date and shall then expire; provided that nothing herein shall relieve any party of liability for any inaccuracy or breach of such representation or warranty to the extent that any good faith allegation of such inaccuracy or breach is made in writing prior to such expiration.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delivered personally, sent by overnight courier or sent via email (with receipt confirmed) as follows:</w:t>
      </w:r>
    </w:p>
    <w:p>
      <w:pPr>
        <w:spacing w:after="0" w:line="162" w:lineRule="exact"/>
        <w:rPr>
          <w:sz w:val="20"/>
          <w:szCs w:val="20"/>
          <w:color w:val="auto"/>
        </w:rPr>
      </w:pPr>
    </w:p>
    <w:p>
      <w:pPr>
        <w:ind w:left="2600" w:hanging="648"/>
        <w:spacing w:after="0"/>
        <w:tabs>
          <w:tab w:leader="none" w:pos="26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Purchasers:</w:t>
      </w:r>
    </w:p>
    <w:p>
      <w:pPr>
        <w:spacing w:after="0" w:line="225"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notice information included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EOS Energy Enterprises, Inc.</w:t>
      </w:r>
    </w:p>
    <w:p>
      <w:pPr>
        <w:spacing w:after="0" w:line="27" w:lineRule="exact"/>
        <w:rPr>
          <w:rFonts w:ascii="Times New Roman" w:cs="Times New Roman" w:eastAsia="Times New Roman" w:hAnsi="Times New Roman"/>
          <w:sz w:val="18"/>
          <w:szCs w:val="18"/>
          <w:color w:val="auto"/>
        </w:rPr>
      </w:pPr>
    </w:p>
    <w:p>
      <w:pPr>
        <w:ind w:left="2600" w:right="67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3920 Park Avenue Edison, New Jersey 08820 Attention: Melissa Berube</w:t>
      </w: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legal@eose.com; mberube@eose.com</w:t>
      </w:r>
    </w:p>
    <w:p>
      <w:pPr>
        <w:spacing w:after="0" w:line="206"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actual or constructive notice) to:</w:t>
      </w:r>
    </w:p>
    <w:p>
      <w:pPr>
        <w:spacing w:after="0" w:line="225"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Haynes and Boone, LLP</w:t>
      </w:r>
    </w:p>
    <w:p>
      <w:pPr>
        <w:spacing w:after="0" w:line="27" w:lineRule="exact"/>
        <w:rPr>
          <w:rFonts w:ascii="Times New Roman" w:cs="Times New Roman" w:eastAsia="Times New Roman" w:hAnsi="Times New Roman"/>
          <w:sz w:val="18"/>
          <w:szCs w:val="18"/>
          <w:color w:val="auto"/>
        </w:rPr>
      </w:pPr>
    </w:p>
    <w:p>
      <w:pPr>
        <w:ind w:left="2600" w:right="6320"/>
        <w:spacing w:after="0" w:line="2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Rockefeller Plaza,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10112 Attention: Matthew Fry</w:t>
      </w: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matt.fry@haynesboone.com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to such other address or addresses as shall be designated in writing. All notices shall be deemed effective (a) when delivered personally, (b) when sent by email (with written confirmation of receipt, by other than automatic means, whether electronic or otherwise), or (c) one (1) Business Day following the day sent by overnight courier.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Entire Agreement; Third Party Beneficiaries; Amendment</w:t>
      </w:r>
      <w:r>
        <w:rPr>
          <w:rFonts w:ascii="Times New Roman" w:cs="Times New Roman" w:eastAsia="Times New Roman" w:hAnsi="Times New Roman"/>
          <w:sz w:val="18"/>
          <w:szCs w:val="18"/>
          <w:color w:val="auto"/>
        </w:rPr>
        <w:t>. This Agreement, together with the surviving provisions of the Confidentiality Agreement and the other Transaction Documents, sets forth the entire agreement between the parties hereto with respect to the Transactions, and supersedes all prior agreements and understandings, both oral and written, among the parties and their respective Affiliates with respect to the subject matter hereof and thereof, and is not intended to and shall not confer upon any person other than the parties hereto, their successors and permitted assigns any rights or remedies hereunder, provided that Section 6.12 shall be for the benefit of and fully enforceable by each of the Specified Persons. Any provision of this Agreement may be amended, waived or modified in whole or in part at any time by an agreement in writing between the parties hereto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The initial press release related to this Agreement and the Transactions shall be issued by the Company and agreed upon by the Company and Purchasers; provided, however, that such press release shall not refer to the name of any Purchaser without such Purchaser’s consent. Thereafter, either party may issue or make one or more press releases or public announcements related to this Agreement or the Transactions (in which case the other party shall (to the extent permitted by applicable law) have the right to review and reasonably comment on such press release or announcement prior to issuance, distribution or publication); provided that the foregoing shall not apply to any press release or other public announcement to the extent that it contains substantially the same factual information related to this Agreement and the Transactions as previously communicated publicly by one or more of the parties in accordance with this Section 6.05. Without limiting the foregoing, the Company may file this Agreement with the SEC and may provide information about the subject matter of this Agreement in connection with equity or debt issuances, share repurchases, or reporting activities.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expressly provided herein, each party hereto shall bear its own costs and expenses (including attorneys’ fees) incurred in connection with this Agreement and the Transactions. At the Closing, the Company shall reimburse Great American Insurance Company all documented out-of-pocket expenses (including attorneys’ fees) incurred by Great American Insurance Company or its Affiliates in connection with their evaluation of the Company and the transactions contemplated pursuant to this Agreement, including all expenses related to the due diligence review and the structuring, drafting, negotiating and entry into this Agreement and the other Transaction Agreements, up to one-hundred fifty thousand dollars ($150,000) in the aggregate.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expressly provided herein, the provisions hereof shall inure to the benefit of, and be binding upon, the Company’s successors and assigns and Purchasers’ successors and assigns, and no other Person; provided that neither the Company nor the Purchasers may assign its respective rights or delegate its respective obligations under this Agreement, whether by operation of law or otherwise, without the prior written consent of the other party, and any assignment by the Company or the Purchasers in contravention hereof shall be null and void; provided that any Affiliate of the Purchasers who executes and delivers a Joinder pursuant to a Permitted Transfer of any Notes or shares of Company Common Stock pursuant to Section 4.02(A)(i) shall be deemed a Purchaser hereunder and have all the rights and obligations of a Purchaser, and if the Company consolidates or merges with or into any Person and the Company Common Stock is, in whole or in part, converted into or exchanged for securities of a different issuer in a transaction that does not constitute a Change in Control, then as a condition to such transaction the Company will cause such issuer to assume all of the Company’s rights and obligations under this Agreement in a written instrument delivered to the Purchasers. For the avoidance of doubt, no Third Party to whom any of the Notes or shares of Company Common Stock are transferred shall have any rights or obligations under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ind w:left="6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Governing Law; Jurisdiction; Waiver of Jury Trial.</w:t>
      </w:r>
    </w:p>
    <w:p>
      <w:pPr>
        <w:spacing w:after="0" w:line="225" w:lineRule="exact"/>
        <w:rPr>
          <w:sz w:val="20"/>
          <w:szCs w:val="20"/>
          <w:color w:val="auto"/>
        </w:rPr>
      </w:pPr>
    </w:p>
    <w:p>
      <w:pPr>
        <w:jc w:val="both"/>
        <w:ind w:left="660" w:firstLine="644"/>
        <w:spacing w:after="0" w:line="252" w:lineRule="auto"/>
        <w:tabs>
          <w:tab w:leader="none" w:pos="161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hereto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Section 6.08(A),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Section 6.02 shall be effective service of process for any suit or proceeding in connection with this Agreement or the transactions contemplated hereby.</w:t>
      </w:r>
    </w:p>
    <w:p>
      <w:pPr>
        <w:spacing w:after="0" w:line="190"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0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HEREBY IRREVOCABLY WAIVES ANY AND ALL RIGHT TO A TRIAL BY JURY IN ANY ACTION, PROCEEDING OR COUNTERCLAIM ARISING OUT OF OR RELATING TO THIS AGREEMENT OR THE TRANSACTIONS CONTEMPLATED HEREBY. EACH PARTY MAKES THIS WAIVER VOLUNTARILY AND SUCH PARTY HAS BEEN INDUCED TO ENTER INTO THIS AGREEMENT BY, AMONG OTHER THINGS, THE MUTUAL WAIVERS CONTAINED IN THIS SECTION 6.08.</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is determined to be invalid, illegal or unenforceable, the remaining provisions of this Agreement shall remain in full force and effect provided that the economic and legal substance of, any of the Transactions is not affected in any manner materially adverse to any party. In the event of any such determination, the parties agree to negotiate in good faith to modify this Agreement to fulfill as closely as possible the original intent and purpose hereof. To the extent permitted by law, the parties hereby to the same extent waive any provision of law that renders any provision hereof prohibited or unenforceable in any respect.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would occur in the event that any of the provisions of this Agreement were not performed in accordance with their specific terms or were otherwise breached. Accordingly, each party agrees that in the event of any breach or threatened breach by any other party of any covenant or obligation contained in this Agreement, the non-breaching party shall be entitled (in addition to any other remedy that may be available to it, whether in law or equity) to obtain (i) a decree or order of specific performance to enforce the observance and performance of such covenant or obligation, and (ii) an injunction restraining such breach or threatened breach.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contained in this Agreement are for reference purposes only and are not part of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advisor or representative of any party hereto or of any Affiliate of a party hereto (collectively, the “</w:t>
      </w:r>
      <w:r>
        <w:rPr>
          <w:rFonts w:ascii="Times New Roman" w:cs="Times New Roman" w:eastAsia="Times New Roman" w:hAnsi="Times New Roman"/>
          <w:sz w:val="18"/>
          <w:szCs w:val="18"/>
          <w:b w:val="1"/>
          <w:bCs w:val="1"/>
          <w:color w:val="auto"/>
        </w:rPr>
        <w:t>Specified Persons</w:t>
      </w:r>
      <w:r>
        <w:rPr>
          <w:rFonts w:ascii="Times New Roman" w:cs="Times New Roman" w:eastAsia="Times New Roman" w:hAnsi="Times New Roman"/>
          <w:sz w:val="18"/>
          <w:szCs w:val="18"/>
          <w:color w:val="auto"/>
        </w:rPr>
        <w:t>”) shall have any liability for any obligations or liabilities of any party hereto under this Agreement or for any claim based on, in respect of, or by reason of, the transactions contemplated hereby.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or by their respective duly authorized officers, all of the dale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Joe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Joe Mastrangelo</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Investment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ind w:left="40"/>
        <w:spacing w:after="0"/>
        <w:rPr>
          <w:sz w:val="20"/>
          <w:szCs w:val="20"/>
          <w:color w:val="auto"/>
        </w:rPr>
      </w:pPr>
      <w:r>
        <w:rPr>
          <w:rFonts w:ascii="Times New Roman" w:cs="Times New Roman" w:eastAsia="Times New Roman" w:hAnsi="Times New Roman"/>
          <w:sz w:val="18"/>
          <w:szCs w:val="18"/>
          <w:color w:val="auto"/>
        </w:rPr>
        <w:t>PURCHASERS: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AMERICAN INSURANCE COMPANY</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Stephen C. Beraha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Stephen C. Beraha</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color w:val="auto"/>
        </w:rPr>
        <w:t>[Signature Page to Investment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DENMAN STREET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John B. Berding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John B. Berding</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Investment 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B.  BERDING  IRREVOCABLE  CHILDREN’S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Susan M. Berding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Susan M. Berding</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B. Berding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B. Berding</w:t>
      </w:r>
    </w:p>
    <w:p>
      <w:pPr>
        <w:spacing w:after="0" w:line="225"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color w:val="auto"/>
        </w:rPr>
        <w:t>[Signature Page to Investment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ARDSLEY PARTNERS RENEWABLE ENERGY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Steve Napoli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18415</wp:posOffset>
            </wp:positionV>
            <wp:extent cx="25628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Steve Napoli</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tab/>
        <w:t>CFO/Partner</w:t>
      </w:r>
    </w:p>
    <w:p>
      <w:pPr>
        <w:spacing w:after="0" w:line="20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color w:val="auto"/>
        </w:rPr>
        <w:t>[Signature Page to Investment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CCI SPV III, LP</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CCI SPV III GP, LLC, its general partner</w:t>
      </w: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Todd Crescenzo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18415</wp:posOffset>
            </wp:positionV>
            <wp:extent cx="25628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Todd Crescenzo</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color w:val="auto"/>
        </w:rPr>
        <w:t>[Signature Page to Investment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AE CONVERT,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Andrea LS Dobi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Andrea LS Dobi</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color w:val="auto"/>
        </w:rPr>
        <w:t>[Signature Page to Investment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 AGREES FOR THE BENEFIT OF EOS ENERGY ENTERPRISES, INC. (THE “COMPANY”) THAT IT WILL NOT OFFER, SELL, PLEDGE OR OTHERWISE TRANSFER THIS SECURITY OR ANY BENEFICIAL INTEREST HEREIN EXCEPT: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TO THE COMPANY OR ANY SUBSIDIARY THEREOF,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PURSUANT TO A REGISTRATION STATEMENT WHICH HAS BECOME EFFECTIVE UNDER THE SECURITIES ACT, OR</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 PURSUANT TO AN EXEMPTION FROM REGISTRATION PROVIDED BY RULE 144 UNDER THE SECURITIES ACT OR ANY OTHER AVAILABLE EXEMPTION FROM THE REGISTRATION REQUIREMENTS OF THE SECURITIES ACT.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(C)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SECURITY IS SUBJECT TO RESTRICTIONS ON TRANSFER AS SET FORTH IN AN INVESTMENT AGREEMENT DATED AS OF JANUARY 18, 2023 (AS IT MAY BE AMENDED FROM TIME TO TIME), BY AND AMONG THE COMPANY AND CERTAIN OTHER PARTIES THERETO, COPIES OF WHICH ARE PUBLICLY FILED OR ON FILE WITH THE SECRETARY OF THE COMPANY, AND THIS SECURITY MAY NOT BE OFFERED, SOLD, PLEDGED OR OTHERWISE TRANSFERRED EXCEPT IN COMPLIANCE THEREWITH.</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NOTE HAS BEEN ISSUED WITH “ORIGINAL ISSUE DISCOUNT” (WITHIN THE MEANING OF SECTION 1272 OF THE INTERNAL REVENUE CODE OF 1986, AS AMENDED). UPON WRITTEN REQUEST, THE ISSUER OF THIS NOTE WILL PROMPTLY MAKE AVAILABLE TO ANY HOLDER OF THIS NOTE THE INFORMATION REQUIRED TO BE FURNISHED BY TREASURY REGULATIONS SECTION 1.1275-3. IN ORDER TO REQUEST SUCH INFORMATION, A HOLDER OF THIS NOTE SHOULD CONTACT THE CHIEF ACCOUNTING OFFICER AT 3920 PARK AVENUE, EDISON, NJ, 08820, PHONE NUMBER 732-225-8400.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18"/>
          <w:szCs w:val="18"/>
          <w:color w:val="auto"/>
        </w:rPr>
        <w:t>[FORM OF CONVERTIBLE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 due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[_____] Initially $[_______]</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Eos Energy Enterprises, Inc., a corporation duly organized and validly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corporation or other entity under the Indenture referred to on the reverse hereof), for value received hereby promises to pay to [_______], or registered assigns, the principal sum of the Capitalized Principal Amount corresponding to the Initial Principal Amount of $[________], on June 30, 2026, and interest thereon as set forth below.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bear interest at the Interest Rate from [________], or from the most recent date to which interest had been paid or provided for to,</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but excluding, the next scheduled Interest Payment Date until June 30, 2026. Interest is payable semi-annually in arrears by PIK Payments at the Interest Rate, pursuant to Section 2.03(d) of the Indenture, on each June 30 and December 30, commencing on June 30, 2023, to Holders of record at the close of business on the preceding June 15 and December 15 (whether or not such day is a Business Day), respectively.</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make payments on the Notes in the manner set forth in the Indenture. The Company has initially designated itself as the Paying Agent, Conversion Agent and Note Registrar in respect of the Notes and its office in Edison, NJ as a place where Notes may be presented for payment or for registration of transfer and exchange.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 of this Note the right to convert this Note into shares of Common Stock on the terms and subject to the limitations set forth in the Indenture. Such further provisions shall for all purposes have the same effect as though fully set forth at this place.</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 (without regard to the conflicts of laws provisions thereof).</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this Note shall control and govern.</w:t>
      </w:r>
    </w:p>
    <w:p>
      <w:pPr>
        <w:spacing w:after="0" w:line="2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Note to be duly executed.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as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color w:val="auto"/>
        </w:rPr>
        <w:t>[FORM OF 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 due 2026</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26.5% Convertible Senior PIK Notes due 2026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in the aggregate principal amount of $[_______] (as increased by any PIK Payments). Additional Notes may be issued in an unlimited</w:t>
      </w:r>
    </w:p>
    <w:p>
      <w:pPr>
        <w:jc w:val="both"/>
        <w:spacing w:after="0" w:line="255" w:lineRule="auto"/>
        <w:rPr>
          <w:sz w:val="20"/>
          <w:szCs w:val="20"/>
          <w:color w:val="auto"/>
        </w:rPr>
      </w:pPr>
      <w:r>
        <w:rPr>
          <w:rFonts w:ascii="Times New Roman" w:cs="Times New Roman" w:eastAsia="Times New Roman" w:hAnsi="Times New Roman"/>
          <w:sz w:val="18"/>
          <w:szCs w:val="18"/>
          <w:color w:val="auto"/>
        </w:rPr>
        <w:t>aggregate principal amount, subject to certain conditions specified in the Indenture. Capitalized terms used in this Note and not defined in this Note shall have the respective meanings set forth in the Indenture (as amended in accordance herewith,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attached hereto as Exhibit A. The originally issued Notes, all PIK Notes, and any additional Notes issued as set forth in the Indenture or this Note shall constitute a single class.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Incorporation by Reference of Provisions of the Indenture.</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At all times during which the Indenture has not been executed and delivered, to the extent not inconsistent with any other terms of the Notes set forth herein, all of the terms and conditions of the Indenture shall be and are hereby incorporated by reference in the Notes as if fully set forth herein, and shall be binding upon the Company and, by accepting a Note, each Holder and inure to the benefit of the Holders of the Notes, except that (a) to the extent that the Indenture requires (i) any notices, certificates or other items to be delivered by the Company to the Trustee, Paying Agent or Conversion Agent, such notices, certificates or other items shall be delivered instead to each Holder, (ii) any Opinions of Counsel to be delivered by the Company to the Trustee, Paying Agent or Conversion Agent, such opinions shall instead be delivered to the Holders, (iii) any notices, certificates or other items to be delivered by the Holders to the Trustee, Paying Agent or Conversion Agent, such notices, certificates or other items shall be delivered instead by the Holders to the Company, (iv) any notices, certificates or other items to be delivered by the Trustee to the Holders, such notices, certificates or other items shall be delivered instead by the Company to the Holders (with any references to one or more Responsible Officers being deemed to refer to any Officer of the Company), (v) any payments or deliveries to be made by the Company to the Trustee, Paying Agent or Conversion Agent for payment or delivery, as the case may be, to Holders, such payments or deliveries shall instead be made directly by the Company to the applicable Holder in the same manner as set forth in Article 2 and Article 14 of the Indenture, (vi) any Note to be authenticated by the Trustee or an Authenticating Agent or to bear a certificate of authentication or require any Opinion of Counsel, Officer’s Certificate or Company Order for such authentication, the Notes shall instead by authenticated by the Company (the execution and delivery of any Note by manual, electronic or facsimile signature of the Company to be deemed to constitute such authentication for all purposes) without any requirement for any such Opinion of Counsel, Officer’s Certificate or Company Order, (vii) Notes to be canceled by the Trustee, such Notes shall instead be cancelled by the Company, (viii) any Notes to be surrendered to the Trustee or any Paying Agent, Conversion Agent or Note Registrar, such Notes shall be surrendered instead to the Company, (ix) Notes to be redeemed upon a partial redemption to be selected by the Trustee, such Notes shall be selected instead by the Company, (x) any amounts to be held in trust with the Trustee, Paying Agent or Conversion Agent, such amounts shall instead be set aside, segregated and held in trust by the Company for the benefit of the Holders of the Notes, (xi) the Trustee to execute any amendment or supplement pursuant to Article 10 of the Indenture, any such amendment or supplement shall be executed solely by the Company (for the avoidance of doubt, in the case of Section 10.02 of the Indenture, upon receipt of the requisite consent from Holders), or (xii) a supplemental indenture to evidence the succession of a Successor Corporation, such succession shall instead be evidenced by an amendment to this Note which shall be permitted without Holder consent pursuant to Section 10.01(b) of the Indenture; (b) any appointment or designation of the Trustee as Note Registrar, Paying Agent or Conversion Agent or agent for service of demands and notices in connection with the Notes, or of the Corporate Trust Office or any other office of the Trustee for the taking of any relevant action, shall hereby be deemed to instead refer to the Company instead and its office at 3920 Park Avenue, Edison, New Jersey 08820 (and/or such other or additional address as notified by the Company in writing to the Holders from time to time);</w:t>
      </w:r>
    </w:p>
    <w:p>
      <w:pPr>
        <w:spacing w:after="0" w:line="6" w:lineRule="exact"/>
        <w:rPr>
          <w:sz w:val="20"/>
          <w:szCs w:val="20"/>
          <w:color w:val="auto"/>
        </w:rPr>
      </w:pPr>
    </w:p>
    <w:p>
      <w:pPr>
        <w:jc w:val="both"/>
        <w:ind w:firstLine="8"/>
        <w:spacing w:after="0" w:line="255" w:lineRule="auto"/>
        <w:tabs>
          <w:tab w:leader="none" w:pos="25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Section 4.03, Section 4.04(a), Article 7, Section 10.05, Section 14.08 and Section 17.16 of the Indenture shall not apply; and (d) any and all rights granted to the Trustee under Article 6 and Article 9 of the Indenture shall be granted to and may be exercised by the Holders of a majority in principal amount of the outstanding Notes.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18"/>
          <w:szCs w:val="18"/>
          <w:i w:val="1"/>
          <w:iCs w:val="1"/>
          <w:color w:val="auto"/>
        </w:rPr>
        <w:t>Indenture.</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any time, in the Company’s sole discretion, the Company may appoint a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who satisfies the eligibility requirements of Article 7 of the Indenture and, in any such event, the Company shall take whatever actions are necessary to cause an Indenture substantially in the form of Exhibit A attached hereto to be executed and delivered by the Company and the Trustee. In such event, (i) this Note shall be cancelled and reissued, executed and authenticated in a like principal amount as set forth in the Indenture in the form of the applicable Form of Note as set forth in Exhibit A of the Indenture as executed and (ii) the Notes shall be subject to all of the terms stated in the Indenture. In such event, the Company may require Holders of the Notes, and each Holder by his or her acceptance hereof agrees upon the Company’s request, to surrender to the Trustee all Notes in the form hereof in exchange for replacement Notes substantially in the form of the applicable Form of Note as set forth in Exhibit A of the Indenture as executed.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the Redemption Price on any Redemption Date and the Capitalized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18"/>
          <w:szCs w:val="18"/>
          <w:i w:val="1"/>
          <w:iCs w:val="1"/>
          <w:color w:val="auto"/>
        </w:rPr>
        <w:t>Amendments and Waivers.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Indenture contains provisions permitting in certain circumstances, without the consent of the Holders of the Notes, and in certain other circumstances, with the consent of the Holders of not less than a majority in aggregate principal amount of the Notes at the time outstanding, evidenced as in the Indenture provided, the amendment of the Notes and/or execution of supplemental indentures modifying the terms of the Notes and/or the Indenture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 to Payments.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Registered Form; Denominations; Transfer and Exchange.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Notes are issuable in registered form without coupons in denominations of $1.00 principal amount and integral multiples thereof. At the office or agency of the Company referred to herein, and in the manner and subject to the limitations provided in the Indenture, Notes may be exchanged for a like aggregate principal amount of Notes of other authorized denominations, without payment of any service charge but, if required by the Company,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Notes shall be redeemable at the Company’s option on or after June 30, 2024, in accordance with the terms and subject to the conditions specified in the Indenture. No sinking fund is provided for the Notes.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Fundamental Change Repurchase Right.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occurrence of a Fundamental Change, the Holder has the right, at such Holder’s option, to require the Company to repurchase for cash all of such Holder’s Notes or any portion thereof (in principal amounts of $1,000 or integral multiples of $1.00 in excess thereof) on the Fundamental Change Repurchase Date at a price equal to the Fundamental Change Repurchase Price.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prior to the close of business on the Business Day immediately preceding the Maturity Date, to convert any Notes or portion thereof that is $1,000 or an integral multiple of $1.00 in excess thereof, into shares of Common Stock at the Conversion Rate specified in the Indenture, as adjusted from time to time as provided in the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ABBREVIATIONS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1" w:name="page152"/>
    <w:bookmarkEnd w:id="151"/>
    <w:p>
      <w:pPr>
        <w:ind w:left="9820"/>
        <w:spacing w:after="0"/>
        <w:rPr>
          <w:sz w:val="20"/>
          <w:szCs w:val="20"/>
          <w:color w:val="auto"/>
        </w:rPr>
      </w:pPr>
      <w:r>
        <w:rPr>
          <w:rFonts w:ascii="Times New Roman" w:cs="Times New Roman" w:eastAsia="Times New Roman" w:hAnsi="Times New Roman"/>
          <w:sz w:val="17"/>
          <w:szCs w:val="17"/>
          <w:b w:val="1"/>
          <w:bCs w:val="1"/>
          <w:color w:val="auto"/>
        </w:rPr>
        <w:t>ATTACHMENT 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Notes due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Eos Energy Enterprises,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3920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Edison, New Jersey 08820</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of $1.00 in excess thereof) below designated, into shares of Common Stock in accordance with the terms of the Indenture referred to in this Note, and directs that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 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 eligible Guarantor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Rule 17Ad-15 if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are to be issued,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in the name of the registered holder.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Fill in for registration of shares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issued, and Notes if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delivered, other than to and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amount to be converted (if less than all): $______,000</w:t>
      </w:r>
    </w:p>
    <w:p>
      <w:pPr>
        <w:spacing w:after="0" w:line="225" w:lineRule="exact"/>
        <w:rPr>
          <w:sz w:val="20"/>
          <w:szCs w:val="20"/>
          <w:color w:val="auto"/>
        </w:rPr>
      </w:pPr>
    </w:p>
    <w:p>
      <w:pPr>
        <w:ind w:left="3240"/>
        <w:spacing w:after="0" w:line="282"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1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ind w:left="9820"/>
        <w:spacing w:after="0"/>
        <w:rPr>
          <w:sz w:val="20"/>
          <w:szCs w:val="20"/>
          <w:color w:val="auto"/>
        </w:rPr>
      </w:pPr>
      <w:r>
        <w:rPr>
          <w:rFonts w:ascii="Times New Roman" w:cs="Times New Roman" w:eastAsia="Times New Roman" w:hAnsi="Times New Roman"/>
          <w:sz w:val="17"/>
          <w:szCs w:val="17"/>
          <w:b w:val="1"/>
          <w:bCs w:val="1"/>
          <w:color w:val="auto"/>
        </w:rPr>
        <w:t>ATTACHMENT 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Notes due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Eos Energy Enterprises,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3920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Edison, New Jersey 08820</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Eos Energy Enterprises,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the applicable Fundamental Change Repurchase Price. Capitalized terms used herein but not defined shall have the meanings ascribed to such terms in the Indenture.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amount to be repaid (if less than all): $______,000</w:t>
      </w:r>
    </w:p>
    <w:p>
      <w:pPr>
        <w:spacing w:after="0" w:line="225" w:lineRule="exact"/>
        <w:rPr>
          <w:sz w:val="20"/>
          <w:szCs w:val="20"/>
          <w:color w:val="auto"/>
        </w:rPr>
      </w:pPr>
    </w:p>
    <w:p>
      <w:pPr>
        <w:jc w:val="both"/>
        <w:ind w:left="3900"/>
        <w:spacing w:after="0" w:line="266"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4" w:name="page155"/>
    <w:bookmarkEnd w:id="154"/>
    <w:p>
      <w:pPr>
        <w:ind w:left="9820"/>
        <w:spacing w:after="0"/>
        <w:rPr>
          <w:sz w:val="20"/>
          <w:szCs w:val="20"/>
          <w:color w:val="auto"/>
        </w:rPr>
      </w:pPr>
      <w:r>
        <w:rPr>
          <w:rFonts w:ascii="Times New Roman" w:cs="Times New Roman" w:eastAsia="Times New Roman" w:hAnsi="Times New Roman"/>
          <w:sz w:val="17"/>
          <w:szCs w:val="17"/>
          <w:b w:val="1"/>
          <w:bCs w:val="1"/>
          <w:color w:val="auto"/>
        </w:rPr>
        <w:t>ATTACHMENT 3</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 Convertible Senior PIK Notes due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any transfer of the within Note, the undersigned confirms that such Note is being transferred:</w:t>
      </w:r>
    </w:p>
    <w:p>
      <w:pPr>
        <w:spacing w:after="0" w:line="225" w:lineRule="exact"/>
        <w:rPr>
          <w:sz w:val="20"/>
          <w:szCs w:val="20"/>
          <w:color w:val="auto"/>
        </w:rPr>
      </w:pPr>
    </w:p>
    <w:p>
      <w:pPr>
        <w:ind w:left="220" w:hanging="212"/>
        <w:spacing w:after="0"/>
        <w:tabs>
          <w:tab w:leader="none" w:pos="220" w:val="left"/>
        </w:tabs>
        <w:numPr>
          <w:ilvl w:val="0"/>
          <w:numId w:val="1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Eos Energy Enterprises, Inc. or a subsidiary thereof; or</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 registration statement that has become or been declared effective under the Securities Act of 1933, as amended; or</w:t>
      </w:r>
    </w:p>
    <w:p>
      <w:pPr>
        <w:spacing w:after="0" w:line="225" w:lineRule="exact"/>
        <w:rPr>
          <w:rFonts w:ascii="MS PGothic" w:cs="MS PGothic" w:eastAsia="MS PGothic" w:hAnsi="MS PGothic"/>
          <w:sz w:val="18"/>
          <w:szCs w:val="18"/>
          <w:color w:val="auto"/>
        </w:rPr>
      </w:pPr>
    </w:p>
    <w:p>
      <w:pPr>
        <w:ind w:firstLine="8"/>
        <w:spacing w:after="0" w:line="282" w:lineRule="auto"/>
        <w:tabs>
          <w:tab w:leader="none" w:pos="227" w:val="left"/>
        </w:tabs>
        <w:numPr>
          <w:ilvl w:val="0"/>
          <w:numId w:val="1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 under the Securities Act of 1933, as amended, or any other available exemption from the registration requirements of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Guarantor Institution (banks,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savings and loan associations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unions) 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17Ad-15 if Notes are to be delivered,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to and in the name of the registered holder.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INDENTURE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Joinder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is executing and delivering this Joinder pursuant to that certain Investment Agreement, dated as of January 18, 2023 (as amended, restated, supplemented or otherwise modified in accordance with the terms thereof, the “</w:t>
      </w:r>
      <w:r>
        <w:rPr>
          <w:rFonts w:ascii="Times New Roman" w:cs="Times New Roman" w:eastAsia="Times New Roman" w:hAnsi="Times New Roman"/>
          <w:sz w:val="18"/>
          <w:szCs w:val="18"/>
          <w:b w:val="1"/>
          <w:bCs w:val="1"/>
          <w:color w:val="auto"/>
        </w:rPr>
        <w:t>Investment Agreement</w:t>
      </w:r>
      <w:r>
        <w:rPr>
          <w:rFonts w:ascii="Times New Roman" w:cs="Times New Roman" w:eastAsia="Times New Roman" w:hAnsi="Times New Roman"/>
          <w:sz w:val="18"/>
          <w:szCs w:val="18"/>
          <w:color w:val="auto"/>
        </w:rPr>
        <w:t>”), by and among Eos Energy Enterprises, Inc., [●] and any other Persons who become a party thereto in accordance with the terms thereof. Capitalized terms used but not defined in this Joinder shall have the respective meanings ascribed to such terms in the Investment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executing and delivering this Joinder to the Investment Agreement, the undersigned hereby adopts and approves the Investment Agreement and agrees, effective commencing on the date hereof, to become a party to, and to be bound by and comply with the provisions of, the Investment Agreement applicable to the Purchaser in the same manner as if the undersigned were an original Purchaser signatory to the Investment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acknowledges and agrees that Sections 5.02, 5.03, 5.07, 5.08 and 5.12 of the Investment Agreement are incorporated herein by reference, mutatis mutandis.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undersigned has executed and delivered this Joinder as of the _____ day of ________________, 20 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Joinder]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SCHEDULE A</w:t>
            </w:r>
          </w:p>
        </w:tc>
      </w:tr>
      <w:tr>
        <w:trPr>
          <w:trHeight w:val="432"/>
        </w:trPr>
        <w:tc>
          <w:tcPr>
            <w:tcW w:w="4300" w:type="dxa"/>
            <w:vAlign w:val="bottom"/>
          </w:tcPr>
          <w:p>
            <w:pPr>
              <w:spacing w:after="0"/>
              <w:rPr>
                <w:sz w:val="24"/>
                <w:szCs w:val="24"/>
                <w:color w:val="auto"/>
              </w:rPr>
            </w:pPr>
          </w:p>
        </w:tc>
        <w:tc>
          <w:tcPr>
            <w:tcW w:w="450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Purchasers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3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Applicable</w:t>
            </w:r>
          </w:p>
        </w:tc>
      </w:tr>
      <w:tr>
        <w:trPr>
          <w:trHeight w:val="216"/>
        </w:trPr>
        <w:tc>
          <w:tcPr>
            <w:tcW w:w="43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Notes to be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45"/>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Purchaser</w:t>
            </w:r>
          </w:p>
        </w:tc>
        <w:tc>
          <w:tcPr>
            <w:tcW w:w="42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Borders>
              <w:bottom w:val="single" w:sz="8" w:color="CCEEFF"/>
            </w:tcBorders>
          </w:tcPr>
          <w:p>
            <w:pPr>
              <w:spacing w:after="0"/>
              <w:rPr>
                <w:sz w:val="21"/>
                <w:szCs w:val="21"/>
                <w:color w:val="auto"/>
              </w:rPr>
            </w:pPr>
          </w:p>
        </w:tc>
      </w:tr>
      <w:tr>
        <w:trPr>
          <w:trHeight w:val="24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 American Insurance Company</w:t>
            </w:r>
          </w:p>
        </w:tc>
        <w:tc>
          <w:tcPr>
            <w:tcW w:w="4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4,500,000.00</w:t>
            </w: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Denman Street LLC</w:t>
            </w:r>
          </w:p>
        </w:tc>
        <w:tc>
          <w:tcPr>
            <w:tcW w:w="4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300,000.00</w:t>
            </w:r>
          </w:p>
        </w:tc>
      </w:tr>
      <w:tr>
        <w:trPr>
          <w:trHeight w:val="24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B. Berding Irrevocable Children’s Trust</w:t>
            </w:r>
          </w:p>
        </w:tc>
        <w:tc>
          <w:tcPr>
            <w:tcW w:w="4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400,000.00</w:t>
            </w: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John B. Berding</w:t>
            </w:r>
          </w:p>
        </w:tc>
        <w:tc>
          <w:tcPr>
            <w:tcW w:w="4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r>
      <w:tr>
        <w:trPr>
          <w:trHeight w:val="24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Ardsley Partners Renewable Energy Fund, L.P.</w:t>
            </w:r>
          </w:p>
        </w:tc>
        <w:tc>
          <w:tcPr>
            <w:tcW w:w="4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3,500,000.00</w:t>
            </w: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CCI SPV III, LP</w:t>
            </w:r>
          </w:p>
        </w:tc>
        <w:tc>
          <w:tcPr>
            <w:tcW w:w="4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2,500,000.00</w:t>
            </w:r>
          </w:p>
        </w:tc>
      </w:tr>
      <w:tr>
        <w:trPr>
          <w:trHeight w:val="24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 Convert, LLC</w:t>
            </w:r>
          </w:p>
        </w:tc>
        <w:tc>
          <w:tcPr>
            <w:tcW w:w="4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1,925,000.00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1,925,000.00</w:t>
            </w:r>
          </w:p>
        </w:tc>
      </w:tr>
      <w:tr>
        <w:trPr>
          <w:trHeight w:val="655"/>
        </w:trPr>
        <w:tc>
          <w:tcPr>
            <w:tcW w:w="43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jc w:val="right"/>
              <w:ind w:right="275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Purchaser Notice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Competitors</w:t>
      </w:r>
    </w:p>
    <w:p>
      <w:pPr>
        <w:spacing w:after="0" w:line="229"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QuantumScape Corporation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ESS, Inc.</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Stem, Inc.</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Tesla, Inc.</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Powin Energy Corporation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Energy, Inc.</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Vault Holdings, Inc.</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Fluence Energy,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SCHEDULE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Activist 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CONSENT AGREEMENT</w:t>
      </w:r>
    </w:p>
    <w:p>
      <w:pPr>
        <w:spacing w:after="0" w:line="229"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THIS LIMITED CONSENT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January 17, 2023, is among EOS ENERGY ENTERPRISES,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subsidiary of the Borrower party hereto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the Lenders (as defined below) party hereto and ACP POST OAK CREDIT I LLC, as administrative agent for the Lenders (in such capacity, together with its successors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and acting on behalf of the Lenders not party hereto pursuant to a consent delivered in accordance with </w:t>
      </w:r>
      <w:r>
        <w:rPr>
          <w:rFonts w:ascii="Times New Roman" w:cs="Times New Roman" w:eastAsia="Times New Roman" w:hAnsi="Times New Roman"/>
          <w:sz w:val="18"/>
          <w:szCs w:val="18"/>
          <w:u w:val="single" w:color="auto"/>
          <w:color w:val="auto"/>
        </w:rPr>
        <w:t>Section 13.02(b)</w:t>
      </w:r>
      <w:r>
        <w:rPr>
          <w:rFonts w:ascii="Times New Roman" w:cs="Times New Roman" w:eastAsia="Times New Roman" w:hAnsi="Times New Roman"/>
          <w:sz w:val="18"/>
          <w:szCs w:val="18"/>
          <w:color w:val="auto"/>
        </w:rPr>
        <w:t xml:space="preserve"> of the Credit Agreement (the “</w:t>
      </w:r>
      <w:r>
        <w:rPr>
          <w:rFonts w:ascii="Times New Roman" w:cs="Times New Roman" w:eastAsia="Times New Roman" w:hAnsi="Times New Roman"/>
          <w:sz w:val="18"/>
          <w:szCs w:val="18"/>
          <w:u w:val="single" w:color="auto"/>
          <w:color w:val="auto"/>
        </w:rPr>
        <w:t>Lender Consent</w:t>
      </w:r>
      <w:r>
        <w:rPr>
          <w:rFonts w:ascii="Times New Roman" w:cs="Times New Roman" w:eastAsia="Times New Roman" w:hAnsi="Times New Roman"/>
          <w:sz w:val="18"/>
          <w:szCs w:val="18"/>
          <w:color w:val="auto"/>
        </w:rPr>
        <w:t>”). Each capitalized term used herein but not otherwise defined herein has the meaning given such term in the Credit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 E C I T A L 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Borrower, the Administrative Agent and the lenders party thereto from time to time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are parties to the Senior Secured Term Loan Credit Agreement dated as of July 29, 2022 (as amended, restated, supplemented or otherwise modified from time to time,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The Borrower has requested that the Administrative Agent and the Lenders consent to (i) the Borrower incurring after the date of this Agreement, Indebtedness consisting of unsecured convertible promissory notes (the “</w:t>
      </w:r>
      <w:r>
        <w:rPr>
          <w:rFonts w:ascii="Times New Roman" w:cs="Times New Roman" w:eastAsia="Times New Roman" w:hAnsi="Times New Roman"/>
          <w:sz w:val="18"/>
          <w:szCs w:val="18"/>
          <w:u w:val="single" w:color="auto"/>
          <w:color w:val="auto"/>
        </w:rPr>
        <w:t>New Convertible Notes</w:t>
      </w:r>
      <w:r>
        <w:rPr>
          <w:rFonts w:ascii="Times New Roman" w:cs="Times New Roman" w:eastAsia="Times New Roman" w:hAnsi="Times New Roman"/>
          <w:sz w:val="18"/>
          <w:szCs w:val="18"/>
          <w:color w:val="auto"/>
        </w:rPr>
        <w:t>”) that (A) are on terms and conditions acceptable to the Administrative Agent, (B) are convertible solely for preferred or common stock (other than Disqualified Capital Stock) of the Borrower (“</w:t>
      </w:r>
      <w:r>
        <w:rPr>
          <w:rFonts w:ascii="Times New Roman" w:cs="Times New Roman" w:eastAsia="Times New Roman" w:hAnsi="Times New Roman"/>
          <w:sz w:val="18"/>
          <w:szCs w:val="18"/>
          <w:u w:val="single" w:color="auto"/>
          <w:color w:val="auto"/>
        </w:rPr>
        <w:t>EOS Equity Interests</w:t>
      </w:r>
      <w:r>
        <w:rPr>
          <w:rFonts w:ascii="Times New Roman" w:cs="Times New Roman" w:eastAsia="Times New Roman" w:hAnsi="Times New Roman"/>
          <w:sz w:val="18"/>
          <w:szCs w:val="18"/>
          <w:color w:val="auto"/>
        </w:rPr>
        <w:t>”), (C) have an aggregate principal amount not to exceed $75,000,000.00 plus any increase thereof constituting the addition of interest “paid in kind” under the terms of the New Convertible Notes, and (D) do not provide for the cash payment of interest, fees, premiums or other similar amounts to or for the benefit of the holders thereof, (ii) the New Convertible Notes constituting “Convertible Notes” under the Loan Documents,</w:t>
      </w:r>
    </w:p>
    <w:p>
      <w:pPr>
        <w:spacing w:after="0" w:line="5" w:lineRule="exact"/>
        <w:rPr>
          <w:sz w:val="20"/>
          <w:szCs w:val="20"/>
          <w:color w:val="auto"/>
        </w:rPr>
      </w:pPr>
    </w:p>
    <w:p>
      <w:pPr>
        <w:jc w:val="both"/>
        <w:ind w:firstLine="8"/>
        <w:spacing w:after="0" w:line="252" w:lineRule="auto"/>
        <w:tabs>
          <w:tab w:leader="none" w:pos="33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waiver of the requirement under the Credit Agreement to prepay the Loans with the proceeds of the New Convertible Notes or any proceeds received in respect of any issuance or sale of EOS Equity Interests pursuant to the New Convertible Notes and (iv) the waiver of the requirement under the Credit Agreement to prepay the Loans with the proceeds of the next issuance of warrants in respect of EOS Equity Interests after the date of this Agreement, including any proceeds received in respect of any issuance or sale of EOS Equity Interests upon the exercise of such warrants, which warrants shall be on terms and conditions acceptable to the Administrative Agent (collectively, the requests in the foregoing clauses (i) through (iv), the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Requests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Lenders are willing to agree to the Consent Requests, subject to the terms and conditions contained in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right="20" w:firstLine="656"/>
        <w:spacing w:after="0" w:line="282" w:lineRule="auto"/>
        <w:tabs>
          <w:tab w:leader="none" w:pos="86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Guarantor is a party to one or more Loan Documents, and each such party expects to realize, or has realized, substantial direct and indirect benefits as a result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1" w:name="page162"/>
    <w:bookmarkEnd w:id="161"/>
    <w:p>
      <w:pPr>
        <w:jc w:val="both"/>
        <w:ind w:firstLine="1387"/>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Limited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contained in this Agreement, the Administrative Agent and the Lenders hereby consent to, and the parties hereto hereby agree to, the Consent Requests. The Borrower hereby acknowledges that the foregoing consent (i) is made solely with respect to the Consent Requests, and (ii) shall be effective only with respect to the specific instance and for the specific purpose set forth herein, and shall not constitute, and shall not to be deemed, a consent to any other actions or a waiver of any right, power, or privilege under the Loan Documents, nor shall it constitute or be deemed to establish a course of conduct or dealing among the parties.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on the date the following conditions are satisfied (or waived in accordance with Section 13.02 of the Credit Agreement) (the date on which such conditions are satisfied,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656"/>
        <w:spacing w:after="0" w:line="282" w:lineRule="auto"/>
        <w:tabs>
          <w:tab w:leader="none" w:pos="9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duly executed and delivered Lender Consent, in form and substance satisfactory to the Administrative Agent;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from the Borrower, each Guarantor and the Lenders party hereto counterparts of this Agreement signed on behalf of such party;</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Lenders shall have received all fees and amounts due and payable on or prior to the Effective Date pursuant to any separate letter agreements executed and delivered by the Borrower, including any upfront fees payable for the account of the Existing Lenders and, reimbursement or payment of all reasonable out-of-pocket expenses required to be reimbursed or paid by the Borrower pursuant to Section 13.03 of the Credit Agreement;</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Section 3 of this Agreement shall be true and correct in all respects;</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resolutions of each Loan Party previously certified by any officer of such Loan Party in connection with the Closing Date shall be in full force and effect without any amendments, supplements or other modifications with respect thereto, (ii) all Organization Documents of each Loan Party previously certified by an officer of such Loan Party in connection with the Closing Date shall be in full force and effect and true and complete without any amendments, supplements or other modifications with respect thereto, and (iii) the officers of each Loan Party who are authorized to sign this Agreement and any other Loan Document to which such Loan Party is a party have not changed since an officer of such Loan Party previously certified to such officers in connection with the Closing Date; and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87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Lender (as defined in the Insurance Policy) shall have received evidence that the requisite Insurers under the Insurance Policy have consented to this Agreement, such consent in form and substance satisfactory to the Insured Lender.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To induce the Administrative Agent and the Lenders to execute this Agreement, each Loan Party hereby represents and warrants to the Administrative Agent and the Lenders as follows:</w:t>
      </w:r>
    </w:p>
    <w:p>
      <w:pPr>
        <w:spacing w:after="0" w:line="162" w:lineRule="exact"/>
        <w:rPr>
          <w:sz w:val="20"/>
          <w:szCs w:val="20"/>
          <w:color w:val="auto"/>
        </w:rPr>
      </w:pPr>
    </w:p>
    <w:p>
      <w:pPr>
        <w:ind w:left="900" w:hanging="244"/>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set forth in Sections 2(d) and 2(e) of this Agreement have been satisfied;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transactions contemplated hereby are within each Loan Party’s corporate, limited partnership, limited liability company or other organizational powers, as applicable, and have been duly authorized by all necessary corporate, limited partnership, limited liability company or other organizational, as applicable, and, if required, shareholder, partner or member action, as applicable;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0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(i) require any consent or approval of, registration or filing with, or any other action by, any Governmental Authority or any other third Person (including holders of its Equity Interests or any class of directors or managers, whether interested or disinterested, of any Loan Party or any other Person), nor is any such consent, approval, registration, filing or other action necessary for the validity or enforceability of this Agreement or the consummation of the transactions contemplated hereby, except such as have been obtained or made and are in full force and effect, (ii) will violate (1) any applicable law or regulation or (2) any Organizational Document of any Loan Party or any Subsidiary of any Loan Party or any order of any Governmental Authority, (iii) will violate or constitute a default under or result in any breach of any material indenture, agreement or other instrument binding upon any Loan Party or any Subsidiary of any Loan Party or any of their respective Properties, or give rise to a right thereunder to require any payment to be made by such Loan Party or such Subsidiary or (iv) will result in the creation or imposition of any Lien on any Collateral or any other Property of any Loan Party or any Subsidiary of any Loan Party (other than the Liens created by the Loan Documents);</w:t>
      </w:r>
    </w:p>
    <w:p>
      <w:pPr>
        <w:spacing w:after="0" w:line="194"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this Agreement and the transactions contemplated hereby, the Loan Parties, taken as a whole, are Solvent;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this Agreement, each of the representations and warranties of each Loan Party that have no materiality or Material Adverse Effect qualification in the Loan Documents are true and correct in all material respects and the representations and warranties of each Loan Party that have a materiality or Material Adverse Effect qualification in the Loan Documents are true and correct in all respects, in each case with the same effect as though made on and as of the date hereof or, to the extent such representations and warranties expressly relate to an earlier date, as of such earlier date; and</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before and after giving effect to this Agreement, no Default or Event of Default exists.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By executing and delivering a counterpart hereof, (a) each Guarantor hereby agrees and reaffirms that, as of the Effective Date and after giving effect to this Agreement and the transactions contemplated hereby, all Obligations of the Borrower that constitute Guarantor Obligations (as defined in the Guarantee and Collateral Agreement) shall be guaranteed pursuant to the Guaranty and Collateral Agreement in accordance with the terms and provisions thereof and each Loan Party hereby agrees and reaffirms that, as of the Effective Date and after giving effect to this Agreement and the transactions contemplated hereby, all Secured Obligations (as defined in the Guarantee and Collateral Agreement) of such Loan Party shall be secured pursuant to the Security Documents in accordance with the terms and provisions thereof, (b) each Loan Party hereby (i) agrees and reaffirms that, notwithstanding the effectiveness of this Agreement, as of the Effective Date and after giving effect hereto, the Loan Documents continue to be in full force and effect, (ii) agrees and reaffirms that, as of the Effective Date and after giving effect to this Agreement and the transactions contemplated hereby, all of the Liens and security interests created and arising under each Security Document remain in full force and effect on a continuous basis with the priority required pursuant to the Loan Documents, and (iii) affirms and confirms all of its obligations, covenants, agreements and liabilities (whether for payment, performance or otherwise) under the Credit Agreement and each other Loan Document to which it is a party, in each case after giving effect to this Agreement and the transactions contemplated hereby, and (c) each Guarantor agrees that nothing in the Credit Agreement, this Agreement or any other Loan Document that did not require the consent of such Guarantor to any amendment prior to this Agreement shall now be deemed to require the consent of such Guarantor to any future modification to the Credit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hanging="243"/>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other parties hereto acknowledge and agree that this Agreement shall constitute a Loan Document.</w:t>
      </w:r>
    </w:p>
    <w:p>
      <w:pPr>
        <w:spacing w:after="0" w:line="225" w:lineRule="exact"/>
        <w:rPr>
          <w:rFonts w:ascii="Times New Roman" w:cs="Times New Roman" w:eastAsia="Times New Roman" w:hAnsi="Times New Roman"/>
          <w:sz w:val="18"/>
          <w:szCs w:val="18"/>
          <w:color w:val="auto"/>
        </w:rPr>
      </w:pPr>
    </w:p>
    <w:p>
      <w:pPr>
        <w:jc w:val="both"/>
        <w:ind w:firstLine="737"/>
        <w:spacing w:after="0" w:line="253" w:lineRule="auto"/>
        <w:tabs>
          <w:tab w:leader="none" w:pos="99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the term “Agreement” in the Credit Agreement, and all references to the Credit Agreement in any other Loan Document shall mean the Credit Agreement as modified hereby. Except as expressly set forth in Section 1 of this Agreement, this Agreement shall not constitute an amendment of any provision of the Credit Agreement and shall not be construed as a waiver or consent to any further or future action on the part of the Borrower or the other Loan Parties that would require a waiver or consent of the Lenders or the Administrative Agent. Except as expressly waived hereby, the provisions of the Credit Agreement and each other Loan Document are and shall remain in full force and effect. This Agreement is limited as specified herein and shall not constitute a modification, acceptance or waiver of any other provision of the Credit Agreement or any other Loan Document. Nothing contained herein shall be deemed to be a waiver or abandonment of any Default or Event of Default or of any right, power or remedy available to the Agent or any Lender under any Loan Document, applicable law or otherwise, whether against any Loan Party or any other Person, and each such right, power and remedy is hereby specifically and expressly reserved, whether any such right, power or remedy relates to any obligation incurred or property transferred before or after the date of this Amendment, including the right to seek judgment against any Loan Party, to foreclose its interest in any Collateral held by the Agent or in which the Agent has a security interest or other lien or to take any other action permitted under the Loan Documents and applicable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655"/>
        <w:spacing w:after="0" w:line="266" w:lineRule="auto"/>
        <w:tabs>
          <w:tab w:leader="none" w:pos="90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other Loan Documents and any separate letter agreements executed and delivered by the Borrower with respect to fees payable to the Administrative Agent or any Lender constitute the entire contract among the parties relating to the subject matter hereof and thereof and supersede any and all previous agreements and understandings, oral or written, relating to the subject matter hereof and thereof.</w:t>
      </w:r>
    </w:p>
    <w:p>
      <w:pPr>
        <w:spacing w:after="0" w:line="175" w:lineRule="exact"/>
        <w:rPr>
          <w:rFonts w:ascii="Times New Roman" w:cs="Times New Roman" w:eastAsia="Times New Roman" w:hAnsi="Times New Roman"/>
          <w:sz w:val="18"/>
          <w:szCs w:val="18"/>
          <w:color w:val="auto"/>
        </w:rPr>
      </w:pPr>
    </w:p>
    <w:p>
      <w:pPr>
        <w:ind w:left="900" w:hanging="245"/>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communications and notices hereunder shall be in writing and given as provided in Section 13.01 of the Credit Agreement.</w:t>
      </w:r>
    </w:p>
    <w:p>
      <w:pPr>
        <w:spacing w:after="0" w:line="225" w:lineRule="exact"/>
        <w:rPr>
          <w:rFonts w:ascii="Times New Roman" w:cs="Times New Roman" w:eastAsia="Times New Roman" w:hAnsi="Times New Roman"/>
          <w:sz w:val="18"/>
          <w:szCs w:val="18"/>
          <w:color w:val="auto"/>
        </w:rPr>
      </w:pPr>
    </w:p>
    <w:p>
      <w:pPr>
        <w:jc w:val="both"/>
        <w:ind w:firstLine="655"/>
        <w:spacing w:after="0" w:line="261" w:lineRule="auto"/>
        <w:tabs>
          <w:tab w:leader="none" w:pos="9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STATE OF NEW YORK WITHOUT REGARD TO PRINCIPLES OF CONFLICTS OF LAWS THEREOF (OTHER THAN NEW YORK GENERAL OBLIGATIONS LAW SECTION 5-1401 AND SECTION 5-1402). Section 13.09 of the Credit Agreement is hereby incorporated,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set forth herein.</w:t>
      </w:r>
    </w:p>
    <w:p>
      <w:pPr>
        <w:spacing w:after="0" w:line="179" w:lineRule="exact"/>
        <w:rPr>
          <w:rFonts w:ascii="Times New Roman" w:cs="Times New Roman" w:eastAsia="Times New Roman" w:hAnsi="Times New Roman"/>
          <w:sz w:val="18"/>
          <w:szCs w:val="18"/>
          <w:color w:val="auto"/>
        </w:rPr>
      </w:pPr>
    </w:p>
    <w:p>
      <w:pPr>
        <w:jc w:val="both"/>
        <w:ind w:firstLine="655"/>
        <w:spacing w:after="0" w:line="253" w:lineRule="auto"/>
        <w:tabs>
          <w:tab w:leader="none" w:pos="87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counterparts (and by different parties hereto on different counterparts), each of which shall constitute an original, but all of which when taken together shall constitute a single contract. Delivery of an executed counterpart of a signature page of this Agreement by facsimile or other electronic image scan transmission shall be as effective as delivery of a manually executed counterpart of this Agreement.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Randall Gonzales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Randall Gonzales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EOS ENERGY ENTERPRISES INTERMEDIATE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HOLDINGS, LLC</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Randall Gonzales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Randall Gonzales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EOS ENERGY STORAGE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Randall Gonzales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Randall Gonzales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EOS SERVICES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Randall Gonzales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Randall Gonzales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EOS ENERGY TECHNOLOGY HOLDINGS, LLC</w:t>
      </w:r>
    </w:p>
    <w:p>
      <w:pPr>
        <w:spacing w:after="0" w:line="241"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Francis 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Francis Richey</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Signature Page to Limited Consent Agreement</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904" w:right="8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GUARANTORS CONT’D: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EOS INGENUITY LAB,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Francis 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Francis Richey</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EOS ENTERPRISE HOLDINGS, LLC</w:t>
      </w:r>
    </w:p>
    <w:p>
      <w:pPr>
        <w:spacing w:after="0" w:line="241"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Francis 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Francis Richey</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Signature Page to Limited Consent Agreement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ACP POST OAK CREDIT I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E. Laterza</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Matthew E. Laterza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Limited Consent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ACP POST OAK CREDIT I LLC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E. Laterza</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Matthew E. Laterza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Limited Consent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168275</wp:posOffset>
            </wp:positionV>
            <wp:extent cx="5460365" cy="900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46036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9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January 19, 2023</w:t>
            </w:r>
          </w:p>
        </w:tc>
      </w:tr>
      <w:tr>
        <w:trPr>
          <w:trHeight w:val="220"/>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9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Investors: ir@eose.com</w:t>
            </w:r>
          </w:p>
        </w:tc>
      </w:tr>
      <w:tr>
        <w:trPr>
          <w:trHeight w:val="241"/>
        </w:trPr>
        <w:tc>
          <w:tcPr>
            <w:tcW w:w="126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Media: media@eose.com</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Eos Energy Enterprises, Inc. Announces $13.75 Million Investment from Existing Investors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EDISON, N.J.— Eos Energy Enterprises, Inc. (NASDAQ: EOSE) (“Eos”), a leading provider of safe, scalable, efficient, and sustainable zinc-powered long-duration energy storage systems, today announced that several investors, including Clear Creek Investments, LLC, Ardsley Advisory Partners LP, and AltEnergy, LLC (together, the “Purchasers”), made a $13.75 million investment in convertible senior notes to support the Company’s strategic growth initiatives.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“We’re excited to have long-term investors in our company continue to support our growth and the plan to expand our manufacturing capacity,” said Joe Mastrangelo, CEO of Eos. “AltEnergy has been an investor in the company for nearly a decade and adding additional support from Clear Creek Investments and Ardsley Advisory Partners helps us position the company for the future.”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Eos is a leading manufacturer of long duration (3-12 hour) battery energy storage solutions featuring its proprietary Znyth® battery technology. This zinc-powered battery addresses the variability of renewable energy sources by providing reliable power to applications across the energy supply chain, including utilities, and industrial and commercial sites. Eos’ Pittsburgh-based manufacturing facility, suite of support services and majority domestically sourced supply chain, enable it to serve the needs of customers and communities around the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investment, the Purchasers will purchase $13.75 million in aggregate principal amount of Eos’ 26.5% Convertible Senior PIK Notes due 2026 (the “Notes”). The Notes will have an initial conversion price of approximately $1.67 per share of Eos’ common stock, subject to customary anti-dilution and other adjustments. The Notes will bear interest at a rate of 26.5% per annum, paid semi-annually, which interest will be entirely paid-in-kind through an increase in the principal amount of the outstanding Notes or through the issuance of additional Notes. The Notes will mature in June 2026, unless earlier converted, redeemed or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128270</wp:posOffset>
            </wp:positionV>
            <wp:extent cx="5486400" cy="2489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86400" cy="24892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t>Additional information regarding this announcement may be found in a Form 8-K that will be filed with the U.S.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acted as financial advisor to Eos, and Haynes and Boone, LLP served as Eos’ legal advisor in the transaction.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is neither an offer to sell nor a solicitation of an offer to buy any of these securities and shall not constitute an offer, solicitation, or sale in any jurisdiction in which such offer, solicitation, or sale is unlawful. The Notes and any shares of Eos common stock issuable upon conversion of the Notes have not been registered under the Securities Act of 1933, as amended, or any state securities laws and may not be offered or sold in the United States absent registration or an applicable exemption from the registration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Eos</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Eos Energy Enterprises, Inc. is accelerating the shift to clean energy with positively ingenious solutions that transform how the world stores power. Our breakthrough Znyth</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aqueous zinc battery was designed to overcome the limitations of conventional lithium-ion technology. Safe, scalable, efficient, sustainable—and manufactured in the U.S.—it’s the core of our innovative systems that today provide utility, industrial, commercial, and residential customers with a proven, reliable energy storage alternative. Eos was founded in 2008 and is headquartered in Edison, New Jersey. For more information about Eos (NASDAQ: EOSE), visit eose.com.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138430</wp:posOffset>
            </wp:positionV>
            <wp:extent cx="977265" cy="3346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77265" cy="3346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January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includes certain statements that may constitute “forward-looking statements” for purposes of the federal securities laws. Forward-looking statements include, but are not limited to, statements that refer to projections, forecasts or other characterizations of future events or circumstances, including any underlying assumptions.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may include, for example, statements about: the convertible note investment and benefits thereof, the future financial performance of Eos; Eos’s plans for expansion and acquisitions; and changes in Eos’s strategy, future operations, financial position, estimated revenues, and losses, projected costs, prospects, plans and objectives of management. These forward-looking statements are based on information available as of the date of this press release, and current expectations, forecasts and assumptions, and involve a number of judgments, risks and uncertainties. Accordingly, forward-looking statements should not be relied upon as representing the parties’ views as of any subsequent date, and Eos does not undertake any obligation to update forward-looking statements to reflect events or circumstances after the date they were made, whether as a result of new information, future events or otherwise, except as may be required under applicable securities laws. You should not place undue reliance on these forward-looking statements. As a result of a number of known and unknown risks and uncertainties, actual results or performance may differ materially from those expressed or implied by these forward-looking statements. Some factors that could cause actual results to differ include, but are not limited to: (1) the outcome of any legal proceedings that may be instituted against Eos; risks associated with evolving energy policies in the United States and other countries and the potential costs of regulatory compliance; risks associated with changes to U.S. trade environment; risks resulting from the impact of global pandemics, including the novel coronavirus, Covid-19; (2) the ability to maintain the listing of Eos’s shares of common stock on Nasdaq; (3) the ability of Eos’s business to grow and manage growth profitably, maintain relationships with customers and suppliers and retain its management and key employees; risks related to the inflationary economic environment; risk from supply chain disruptions and other impacts of geopolitical conflict; (4) changes in applicable laws or regulations; (5) the possibility that Eos may be adversely affected by other economic, business, and/or competitive factors; other factors beyond our control; risks related to adverse changes in general economic conditions; (6) the possibility of a government shutdown as Eos remains in due diligence on its loan application with the U.S. Department of Energy Loan Programs Office, and (7) other risks and uncertainties indicated from time to time in the Annual Report on Form 10-K filed by Eos with the Securities and Exchange Commission (“SEC”) for the year ended December 31, 2021, and subsequent quarterly reports on Form 10-Q, including those under the heading “Risk Factors” therein, and other factors identified in Eos’s prior and future SEC filings with the SEC,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141605</wp:posOffset>
            </wp:positionV>
            <wp:extent cx="977265" cy="3346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77265" cy="3346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January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1)"/>
      <w:numFmt w:val="lowerLetter"/>
      <w:start w:val="3"/>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1)"/>
      <w:numFmt w:val="lowerLetter"/>
      <w:start w:val="1"/>
    </w:lvl>
  </w:abstractNum>
  <w:abstractNum w:abstractNumId="5">
    <w:nsid w:val="25A70BF7"/>
    <w:multiLevelType w:val="hybridMultilevel"/>
    <w:lvl w:ilvl="0">
      <w:lvlJc w:val="left"/>
      <w:lvlText w:val="(%1)"/>
      <w:numFmt w:val="lowerRoman"/>
      <w:start w:val="10"/>
    </w:lvl>
  </w:abstractNum>
  <w:abstractNum w:abstractNumId="6">
    <w:nsid w:val="1DBABF00"/>
    <w:multiLevelType w:val="hybridMultilevel"/>
    <w:lvl w:ilvl="0">
      <w:lvlJc w:val="left"/>
      <w:lvlText w:val="(%1)"/>
      <w:numFmt w:val="lowerLetter"/>
      <w:start w:val="2"/>
    </w:lvl>
  </w:abstractNum>
  <w:abstractNum w:abstractNumId="7">
    <w:nsid w:val="4AD084E9"/>
    <w:multiLevelType w:val="hybridMultilevel"/>
    <w:lvl w:ilvl="0">
      <w:lvlJc w:val="left"/>
      <w:lvlText w:val="(%1)"/>
      <w:numFmt w:val="lowerLetter"/>
      <w:start w:val="5"/>
    </w:lvl>
  </w:abstractNum>
  <w:abstractNum w:abstractNumId="8">
    <w:nsid w:val="1F48EAA1"/>
    <w:multiLevelType w:val="hybridMultilevel"/>
    <w:lvl w:ilvl="0">
      <w:lvlJc w:val="left"/>
      <w:lvlText w:val="(%1)"/>
      <w:numFmt w:val="lowerLetter"/>
      <w:start w:val="1"/>
    </w:lvl>
  </w:abstractNum>
  <w:abstractNum w:abstractNumId="9">
    <w:nsid w:val="1381823A"/>
    <w:multiLevelType w:val="hybridMultilevel"/>
    <w:lvl w:ilvl="0">
      <w:lvlJc w:val="left"/>
      <w:lvlText w:val="(%1)"/>
      <w:numFmt w:val="lowerLetter"/>
      <w:start w:val="2"/>
    </w:lvl>
    <w:lvl w:ilvl="1">
      <w:lvlJc w:val="left"/>
      <w:lvlText w:val="(%2)"/>
      <w:numFmt w:val="lowerLetter"/>
      <w:start w:val="9"/>
    </w:lvl>
  </w:abstractNum>
  <w:abstractNum w:abstractNumId="10">
    <w:nsid w:val="5DB70AE5"/>
    <w:multiLevelType w:val="hybridMultilevel"/>
    <w:lvl w:ilvl="0">
      <w:lvlJc w:val="left"/>
      <w:lvlText w:val="(%1)"/>
      <w:numFmt w:val="lowerRoman"/>
      <w:start w:val="2"/>
    </w:lvl>
  </w:abstractNum>
  <w:abstractNum w:abstractNumId="11">
    <w:nsid w:val="100F8FCA"/>
    <w:multiLevelType w:val="hybridMultilevel"/>
    <w:lvl w:ilvl="0">
      <w:lvlJc w:val="left"/>
      <w:lvlText w:val="(%1)"/>
      <w:numFmt w:val="lowerRoman"/>
      <w:start w:val="1"/>
    </w:lvl>
  </w:abstractNum>
  <w:abstractNum w:abstractNumId="12">
    <w:nsid w:val="6590700B"/>
    <w:multiLevelType w:val="hybridMultilevel"/>
    <w:lvl w:ilvl="0">
      <w:lvlJc w:val="left"/>
      <w:lvlText w:val="(%1)"/>
      <w:numFmt w:val="lowerLetter"/>
      <w:start w:val="1"/>
    </w:lvl>
  </w:abstractNum>
  <w:abstractNum w:abstractNumId="13">
    <w:nsid w:val="15014ACB"/>
    <w:multiLevelType w:val="hybridMultilevel"/>
    <w:lvl w:ilvl="0">
      <w:lvlJc w:val="left"/>
      <w:lvlText w:val="(%1)"/>
      <w:numFmt w:val="lowerLetter"/>
      <w:start w:val="2"/>
    </w:lvl>
  </w:abstractNum>
  <w:abstractNum w:abstractNumId="14">
    <w:nsid w:val="5F5E7FD0"/>
    <w:multiLevelType w:val="hybridMultilevel"/>
    <w:lvl w:ilvl="0">
      <w:lvlJc w:val="left"/>
      <w:lvlText w:val="(%1)"/>
      <w:numFmt w:val="upperLetter"/>
      <w:start w:val="1"/>
    </w:lvl>
  </w:abstractNum>
  <w:abstractNum w:abstractNumId="15">
    <w:nsid w:val="98A3148"/>
    <w:multiLevelType w:val="hybridMultilevel"/>
    <w:lvl w:ilvl="0">
      <w:lvlJc w:val="left"/>
      <w:lvlText w:val="(%1)"/>
      <w:numFmt w:val="lowerLetter"/>
      <w:start w:val="4"/>
    </w:lvl>
  </w:abstractNum>
  <w:abstractNum w:abstractNumId="16">
    <w:nsid w:val="799D0247"/>
    <w:multiLevelType w:val="hybridMultilevel"/>
    <w:lvl w:ilvl="0">
      <w:lvlJc w:val="left"/>
      <w:lvlText w:val="(%1)"/>
      <w:numFmt w:val="upperLetter"/>
      <w:start w:val="1"/>
    </w:lvl>
  </w:abstractNum>
  <w:abstractNum w:abstractNumId="17">
    <w:nsid w:val="6B94764"/>
    <w:multiLevelType w:val="hybridMultilevel"/>
    <w:lvl w:ilvl="0">
      <w:lvlJc w:val="left"/>
      <w:lvlText w:val="(%1)"/>
      <w:numFmt w:val="lowerLetter"/>
      <w:start w:val="1"/>
    </w:lvl>
    <w:lvl w:ilvl="1">
      <w:lvlJc w:val="left"/>
      <w:lvlText w:val="(%2)"/>
      <w:numFmt w:val="lowerRoman"/>
      <w:start w:val="1"/>
    </w:lvl>
  </w:abstractNum>
  <w:abstractNum w:abstractNumId="18">
    <w:nsid w:val="42C296BD"/>
    <w:multiLevelType w:val="hybridMultilevel"/>
    <w:lvl w:ilvl="0">
      <w:lvlJc w:val="left"/>
      <w:lvlText w:val="(%1)"/>
      <w:numFmt w:val="lowerLetter"/>
      <w:start w:val="2"/>
    </w:lvl>
  </w:abstractNum>
  <w:abstractNum w:abstractNumId="19">
    <w:nsid w:val="168E121F"/>
    <w:multiLevelType w:val="hybridMultilevel"/>
    <w:lvl w:ilvl="0">
      <w:lvlJc w:val="left"/>
      <w:lvlText w:val="(%1)"/>
      <w:numFmt w:val="lowerLetter"/>
      <w:start w:val="1"/>
    </w:lvl>
  </w:abstractNum>
  <w:abstractNum w:abstractNumId="20">
    <w:nsid w:val="1EBA5D23"/>
    <w:multiLevelType w:val="hybridMultilevel"/>
    <w:lvl w:ilvl="0">
      <w:lvlJc w:val="left"/>
      <w:lvlText w:val="(%1)"/>
      <w:numFmt w:val="lowerLetter"/>
      <w:start w:val="8"/>
    </w:lvl>
  </w:abstractNum>
  <w:abstractNum w:abstractNumId="21">
    <w:nsid w:val="661E3F1E"/>
    <w:multiLevelType w:val="hybridMultilevel"/>
    <w:lvl w:ilvl="0">
      <w:lvlJc w:val="left"/>
      <w:lvlText w:val="(%1)"/>
      <w:numFmt w:val="lowerLetter"/>
      <w:start w:val="2"/>
    </w:lvl>
  </w:abstractNum>
  <w:abstractNum w:abstractNumId="22">
    <w:nsid w:val="5DC79EA8"/>
    <w:multiLevelType w:val="hybridMultilevel"/>
    <w:lvl w:ilvl="0">
      <w:lvlJc w:val="left"/>
      <w:lvlText w:val="(%1)"/>
      <w:numFmt w:val="lowerLetter"/>
      <w:start w:val="1"/>
    </w:lvl>
    <w:lvl w:ilvl="1">
      <w:lvlJc w:val="left"/>
      <w:lvlText w:val="(%2)"/>
      <w:numFmt w:val="lowerRoman"/>
      <w:start w:val="1"/>
    </w:lvl>
  </w:abstractNum>
  <w:abstractNum w:abstractNumId="23">
    <w:nsid w:val="540A471C"/>
    <w:multiLevelType w:val="hybridMultilevel"/>
    <w:lvl w:ilvl="0">
      <w:lvlJc w:val="left"/>
      <w:lvlText w:val="(%1)"/>
      <w:numFmt w:val="lowerLetter"/>
      <w:start w:val="2"/>
    </w:lvl>
  </w:abstractNum>
  <w:abstractNum w:abstractNumId="24">
    <w:nsid w:val="7BD3EE7B"/>
    <w:multiLevelType w:val="hybridMultilevel"/>
    <w:lvl w:ilvl="0">
      <w:lvlJc w:val="left"/>
      <w:lvlText w:val="(%1)"/>
      <w:numFmt w:val="lowerLetter"/>
      <w:start w:val="1"/>
    </w:lvl>
  </w:abstractNum>
  <w:abstractNum w:abstractNumId="25">
    <w:nsid w:val="51D9C564"/>
    <w:multiLevelType w:val="hybridMultilevel"/>
    <w:lvl w:ilvl="0">
      <w:lvlJc w:val="left"/>
      <w:lvlText w:val="(%1)"/>
      <w:numFmt w:val="lowerLetter"/>
      <w:start w:val="2"/>
    </w:lvl>
  </w:abstractNum>
  <w:abstractNum w:abstractNumId="26">
    <w:nsid w:val="613EFDC5"/>
    <w:multiLevelType w:val="hybridMultilevel"/>
    <w:lvl w:ilvl="0">
      <w:lvlJc w:val="left"/>
      <w:lvlText w:val="(%1)"/>
      <w:numFmt w:val="lowerLetter"/>
      <w:start w:val="1"/>
    </w:lvl>
    <w:lvl w:ilvl="1">
      <w:lvlJc w:val="left"/>
      <w:lvlText w:val="(%2)"/>
      <w:numFmt w:val="lowerRoman"/>
      <w:start w:val="1"/>
    </w:lvl>
  </w:abstractNum>
  <w:abstractNum w:abstractNumId="27">
    <w:nsid w:val="BF72B14"/>
    <w:multiLevelType w:val="hybridMultilevel"/>
    <w:lvl w:ilvl="0">
      <w:lvlJc w:val="left"/>
      <w:lvlText w:val="(%1)"/>
      <w:numFmt w:val="lowerLetter"/>
      <w:start w:val="3"/>
    </w:lvl>
  </w:abstractNum>
  <w:abstractNum w:abstractNumId="28">
    <w:nsid w:val="11447B73"/>
    <w:multiLevelType w:val="hybridMultilevel"/>
    <w:lvl w:ilvl="0">
      <w:lvlJc w:val="left"/>
      <w:lvlText w:val="(%1)"/>
      <w:numFmt w:val="lowerLetter"/>
      <w:start w:val="1"/>
    </w:lvl>
  </w:abstractNum>
  <w:abstractNum w:abstractNumId="29">
    <w:nsid w:val="42963E5A"/>
    <w:multiLevelType w:val="hybridMultilevel"/>
    <w:lvl w:ilvl="0">
      <w:lvlJc w:val="left"/>
      <w:lvlText w:val="(%1)"/>
      <w:numFmt w:val="lowerLetter"/>
      <w:start w:val="1"/>
    </w:lvl>
  </w:abstractNum>
  <w:abstractNum w:abstractNumId="30">
    <w:nsid w:val="A0382C5"/>
    <w:multiLevelType w:val="hybridMultilevel"/>
    <w:lvl w:ilvl="0">
      <w:lvlJc w:val="left"/>
      <w:lvlText w:val="(%1)"/>
      <w:numFmt w:val="lowerLetter"/>
      <w:start w:val="1"/>
    </w:lvl>
  </w:abstractNum>
  <w:abstractNum w:abstractNumId="31">
    <w:nsid w:val="8F2B15E"/>
    <w:multiLevelType w:val="hybridMultilevel"/>
    <w:lvl w:ilvl="0">
      <w:lvlJc w:val="left"/>
      <w:lvlText w:val="(%1)"/>
      <w:numFmt w:val="lowerLetter"/>
      <w:start w:val="1"/>
    </w:lvl>
  </w:abstractNum>
  <w:abstractNum w:abstractNumId="32">
    <w:nsid w:val="1A32234B"/>
    <w:multiLevelType w:val="hybridMultilevel"/>
    <w:lvl w:ilvl="0">
      <w:lvlJc w:val="left"/>
      <w:lvlText w:val="%1"/>
      <w:numFmt w:val="lowerLetter"/>
      <w:start w:val="1"/>
    </w:lvl>
    <w:lvl w:ilvl="1">
      <w:lvlJc w:val="left"/>
      <w:lvlText w:val="(%2)"/>
      <w:numFmt w:val="lowerLetter"/>
      <w:start w:val="1"/>
    </w:lvl>
  </w:abstractNum>
  <w:abstractNum w:abstractNumId="33">
    <w:nsid w:val="3B0FD379"/>
    <w:multiLevelType w:val="hybridMultilevel"/>
    <w:lvl w:ilvl="0">
      <w:lvlJc w:val="left"/>
      <w:lvlText w:val="(%1)"/>
      <w:numFmt w:val="lowerLetter"/>
      <w:start w:val="9"/>
    </w:lvl>
    <w:lvl w:ilvl="1">
      <w:lvlJc w:val="left"/>
      <w:lvlText w:val="(%2)"/>
      <w:numFmt w:val="lowerLetter"/>
      <w:start w:val="2"/>
    </w:lvl>
  </w:abstractNum>
  <w:abstractNum w:abstractNumId="34">
    <w:nsid w:val="68EB2F63"/>
    <w:multiLevelType w:val="hybridMultilevel"/>
    <w:lvl w:ilvl="0">
      <w:lvlJc w:val="left"/>
      <w:lvlText w:val="(%1)"/>
      <w:numFmt w:val="lowerLetter"/>
      <w:start w:val="3"/>
    </w:lvl>
  </w:abstractNum>
  <w:abstractNum w:abstractNumId="35">
    <w:nsid w:val="4962813B"/>
    <w:multiLevelType w:val="hybridMultilevel"/>
    <w:lvl w:ilvl="0">
      <w:lvlJc w:val="left"/>
      <w:lvlText w:val="(%1)"/>
      <w:numFmt w:val="lowerLetter"/>
      <w:start w:val="9"/>
    </w:lvl>
  </w:abstractNum>
  <w:abstractNum w:abstractNumId="36">
    <w:nsid w:val="60B6DF70"/>
    <w:multiLevelType w:val="hybridMultilevel"/>
    <w:lvl w:ilvl="0">
      <w:lvlJc w:val="left"/>
      <w:lvlText w:val="(%1)"/>
      <w:numFmt w:val="lowerLetter"/>
      <w:start w:val="1"/>
    </w:lvl>
  </w:abstractNum>
  <w:abstractNum w:abstractNumId="37">
    <w:nsid w:val="6A5EE64"/>
    <w:multiLevelType w:val="hybridMultilevel"/>
    <w:lvl w:ilvl="0">
      <w:lvlJc w:val="left"/>
      <w:lvlText w:val="(%1)"/>
      <w:numFmt w:val="lowerLetter"/>
      <w:start w:val="2"/>
    </w:lvl>
  </w:abstractNum>
  <w:abstractNum w:abstractNumId="38">
    <w:nsid w:val="14330624"/>
    <w:multiLevelType w:val="hybridMultilevel"/>
    <w:lvl w:ilvl="0">
      <w:lvlJc w:val="left"/>
      <w:lvlText w:val="(%1)"/>
      <w:numFmt w:val="lowerLetter"/>
      <w:start w:val="3"/>
    </w:lvl>
  </w:abstractNum>
  <w:abstractNum w:abstractNumId="39">
    <w:nsid w:val="7FFFCA11"/>
    <w:multiLevelType w:val="hybridMultilevel"/>
    <w:lvl w:ilvl="0">
      <w:lvlJc w:val="left"/>
      <w:lvlText w:val="(%1)"/>
      <w:numFmt w:val="upperLetter"/>
      <w:start w:val="1"/>
    </w:lvl>
  </w:abstractNum>
  <w:abstractNum w:abstractNumId="40">
    <w:nsid w:val="1A27709E"/>
    <w:multiLevelType w:val="hybridMultilevel"/>
    <w:lvl w:ilvl="0">
      <w:lvlJc w:val="left"/>
      <w:lvlText w:val="(%1)"/>
      <w:numFmt w:val="lowerLetter"/>
      <w:start w:val="4"/>
    </w:lvl>
  </w:abstractNum>
  <w:abstractNum w:abstractNumId="41">
    <w:nsid w:val="71EA1109"/>
    <w:multiLevelType w:val="hybridMultilevel"/>
    <w:lvl w:ilvl="0">
      <w:lvlJc w:val="left"/>
      <w:lvlText w:val="(%1)"/>
      <w:numFmt w:val="lowerLetter"/>
      <w:start w:val="5"/>
    </w:lvl>
  </w:abstractNum>
  <w:abstractNum w:abstractNumId="42">
    <w:nsid w:val="100F59DC"/>
    <w:multiLevelType w:val="hybridMultilevel"/>
    <w:lvl w:ilvl="0">
      <w:lvlJc w:val="left"/>
      <w:lvlText w:val="(%1)"/>
      <w:numFmt w:val="lowerLetter"/>
      <w:start w:val="6"/>
    </w:lvl>
  </w:abstractNum>
  <w:abstractNum w:abstractNumId="43">
    <w:nsid w:val="7FB7E0AA"/>
    <w:multiLevelType w:val="hybridMultilevel"/>
    <w:lvl w:ilvl="0">
      <w:lvlJc w:val="left"/>
      <w:lvlText w:val="(%1)"/>
      <w:numFmt w:val="lowerRoman"/>
      <w:start w:val="1"/>
    </w:lvl>
    <w:lvl w:ilvl="1">
      <w:lvlJc w:val="left"/>
      <w:lvlText w:val="(%2)"/>
      <w:numFmt w:val="lowerRoman"/>
      <w:start w:val="1"/>
    </w:lvl>
  </w:abstractNum>
  <w:abstractNum w:abstractNumId="44">
    <w:nsid w:val="6EB5BD4"/>
    <w:multiLevelType w:val="hybridMultilevel"/>
    <w:lvl w:ilvl="0">
      <w:lvlJc w:val="left"/>
      <w:lvlText w:val="(%1)"/>
      <w:numFmt w:val="lowerLetter"/>
      <w:start w:val="10"/>
    </w:lvl>
  </w:abstractNum>
  <w:abstractNum w:abstractNumId="45">
    <w:nsid w:val="6F6DD9AC"/>
    <w:multiLevelType w:val="hybridMultilevel"/>
    <w:lvl w:ilvl="0">
      <w:lvlJc w:val="left"/>
      <w:lvlText w:val="(%1)"/>
      <w:numFmt w:val="lowerLetter"/>
      <w:start w:val="13"/>
    </w:lvl>
  </w:abstractNum>
  <w:abstractNum w:abstractNumId="46">
    <w:nsid w:val="94211F2"/>
    <w:multiLevelType w:val="hybridMultilevel"/>
    <w:lvl w:ilvl="0">
      <w:lvlJc w:val="left"/>
      <w:lvlText w:val="(%1)"/>
      <w:numFmt w:val="lowerLetter"/>
      <w:start w:val="1"/>
    </w:lvl>
    <w:lvl w:ilvl="1">
      <w:lvlJc w:val="left"/>
      <w:lvlText w:val="(%2)"/>
      <w:numFmt w:val="lowerRoman"/>
      <w:start w:val="1"/>
    </w:lvl>
  </w:abstractNum>
  <w:abstractNum w:abstractNumId="47">
    <w:nsid w:val="885E1B"/>
    <w:multiLevelType w:val="hybridMultilevel"/>
    <w:lvl w:ilvl="0">
      <w:lvlJc w:val="left"/>
      <w:lvlText w:val="(%1)"/>
      <w:numFmt w:val="upperLetter"/>
      <w:start w:val="2"/>
    </w:lvl>
  </w:abstractNum>
  <w:abstractNum w:abstractNumId="48">
    <w:nsid w:val="76272110"/>
    <w:multiLevelType w:val="hybridMultilevel"/>
    <w:lvl w:ilvl="0">
      <w:lvlJc w:val="left"/>
      <w:lvlText w:val="(%1)"/>
      <w:numFmt w:val="lowerLetter"/>
      <w:start w:val="2"/>
    </w:lvl>
  </w:abstractNum>
  <w:abstractNum w:abstractNumId="49">
    <w:nsid w:val="4C04A8AF"/>
    <w:multiLevelType w:val="hybridMultilevel"/>
    <w:lvl w:ilvl="0">
      <w:lvlJc w:val="left"/>
      <w:lvlText w:val="(%1)"/>
      <w:numFmt w:val="lowerLetter"/>
      <w:start w:val="1"/>
    </w:lvl>
  </w:abstractNum>
  <w:abstractNum w:abstractNumId="50">
    <w:nsid w:val="1716703B"/>
    <w:multiLevelType w:val="hybridMultilevel"/>
    <w:lvl w:ilvl="0">
      <w:lvlJc w:val="left"/>
      <w:lvlText w:val="(%1)"/>
      <w:numFmt w:val="lowerLetter"/>
      <w:start w:val="1"/>
    </w:lvl>
  </w:abstractNum>
  <w:abstractNum w:abstractNumId="51">
    <w:nsid w:val="14E17E33"/>
    <w:multiLevelType w:val="hybridMultilevel"/>
    <w:lvl w:ilvl="0">
      <w:lvlJc w:val="left"/>
      <w:lvlText w:val="(%1)"/>
      <w:numFmt w:val="lowerLetter"/>
      <w:start w:val="1"/>
    </w:lvl>
  </w:abstractNum>
  <w:abstractNum w:abstractNumId="52">
    <w:nsid w:val="3222E7CD"/>
    <w:multiLevelType w:val="hybridMultilevel"/>
    <w:lvl w:ilvl="0">
      <w:lvlJc w:val="left"/>
      <w:lvlText w:val="(%1)"/>
      <w:numFmt w:val="lowerLetter"/>
      <w:start w:val="2"/>
    </w:lvl>
    <w:lvl w:ilvl="1">
      <w:lvlJc w:val="left"/>
      <w:lvlText w:val="(%2)"/>
      <w:numFmt w:val="lowerRoman"/>
      <w:start w:val="1"/>
    </w:lvl>
  </w:abstractNum>
  <w:abstractNum w:abstractNumId="53">
    <w:nsid w:val="74DE0EE3"/>
    <w:multiLevelType w:val="hybridMultilevel"/>
    <w:lvl w:ilvl="0">
      <w:lvlJc w:val="left"/>
      <w:lvlText w:val="(%1)"/>
      <w:numFmt w:val="lowerRoman"/>
      <w:start w:val="3"/>
    </w:lvl>
  </w:abstractNum>
  <w:abstractNum w:abstractNumId="54">
    <w:nsid w:val="68EBC550"/>
    <w:multiLevelType w:val="hybridMultilevel"/>
    <w:lvl w:ilvl="0">
      <w:lvlJc w:val="left"/>
      <w:lvlText w:val="(%1)"/>
      <w:numFmt w:val="lowerLetter"/>
      <w:start w:val="3"/>
    </w:lvl>
    <w:lvl w:ilvl="1">
      <w:lvlJc w:val="left"/>
      <w:lvlText w:val="(%2)"/>
      <w:numFmt w:val="lowerLetter"/>
      <w:start w:val="9"/>
    </w:lvl>
  </w:abstractNum>
  <w:abstractNum w:abstractNumId="55">
    <w:nsid w:val="2DF6D648"/>
    <w:multiLevelType w:val="hybridMultilevel"/>
    <w:lvl w:ilvl="0">
      <w:lvlJc w:val="left"/>
      <w:lvlText w:val="(%1)"/>
      <w:numFmt w:val="lowerRoman"/>
      <w:start w:val="2"/>
    </w:lvl>
  </w:abstractNum>
  <w:abstractNum w:abstractNumId="56">
    <w:nsid w:val="46B7D447"/>
    <w:multiLevelType w:val="hybridMultilevel"/>
    <w:lvl w:ilvl="0">
      <w:lvlJc w:val="left"/>
      <w:lvlText w:val="(%1)"/>
      <w:numFmt w:val="lowerLetter"/>
      <w:start w:val="4"/>
    </w:lvl>
  </w:abstractNum>
  <w:abstractNum w:abstractNumId="57">
    <w:nsid w:val="4A2AC315"/>
    <w:multiLevelType w:val="hybridMultilevel"/>
    <w:lvl w:ilvl="0">
      <w:lvlJc w:val="left"/>
      <w:lvlText w:val="(%1)"/>
      <w:numFmt w:val="lowerRoman"/>
      <w:start w:val="1"/>
    </w:lvl>
  </w:abstractNum>
  <w:abstractNum w:abstractNumId="58">
    <w:nsid w:val="39EE015C"/>
    <w:multiLevelType w:val="hybridMultilevel"/>
    <w:lvl w:ilvl="0">
      <w:lvlJc w:val="left"/>
      <w:lvlText w:val="(%1)"/>
      <w:numFmt w:val="lowerLetter"/>
      <w:start w:val="1"/>
    </w:lvl>
  </w:abstractNum>
  <w:abstractNum w:abstractNumId="59">
    <w:nsid w:val="57FC4FBB"/>
    <w:multiLevelType w:val="hybridMultilevel"/>
    <w:lvl w:ilvl="0">
      <w:lvlJc w:val="left"/>
      <w:lvlText w:val="(%1)"/>
      <w:numFmt w:val="lowerLetter"/>
      <w:start w:val="1"/>
    </w:lvl>
  </w:abstractNum>
  <w:abstractNum w:abstractNumId="60">
    <w:nsid w:val="CC1016F"/>
    <w:multiLevelType w:val="hybridMultilevel"/>
    <w:lvl w:ilvl="0">
      <w:lvlJc w:val="left"/>
      <w:lvlText w:val="(%1)"/>
      <w:numFmt w:val="lowerLetter"/>
      <w:start w:val="3"/>
    </w:lvl>
    <w:lvl w:ilvl="1">
      <w:lvlJc w:val="left"/>
      <w:lvlText w:val="(%2)"/>
      <w:numFmt w:val="lowerRoman"/>
      <w:start w:val="1"/>
    </w:lvl>
  </w:abstractNum>
  <w:abstractNum w:abstractNumId="61">
    <w:nsid w:val="43F18422"/>
    <w:multiLevelType w:val="hybridMultilevel"/>
    <w:lvl w:ilvl="0">
      <w:lvlJc w:val="left"/>
      <w:lvlText w:val="(%1)"/>
      <w:numFmt w:val="lowerLetter"/>
      <w:start w:val="1"/>
    </w:lvl>
  </w:abstractNum>
  <w:abstractNum w:abstractNumId="62">
    <w:nsid w:val="60EF0119"/>
    <w:multiLevelType w:val="hybridMultilevel"/>
    <w:lvl w:ilvl="0">
      <w:lvlJc w:val="left"/>
      <w:lvlText w:val="(%1)"/>
      <w:numFmt w:val="upperLetter"/>
      <w:start w:val="1"/>
    </w:lvl>
  </w:abstractNum>
  <w:abstractNum w:abstractNumId="63">
    <w:nsid w:val="26F324BA"/>
    <w:multiLevelType w:val="hybridMultilevel"/>
    <w:lvl w:ilvl="0">
      <w:lvlJc w:val="left"/>
      <w:lvlText w:val="1"/>
      <w:numFmt w:val="bullet"/>
      <w:start w:val="1"/>
    </w:lvl>
  </w:abstractNum>
  <w:abstractNum w:abstractNumId="64">
    <w:nsid w:val="7F01579B"/>
    <w:multiLevelType w:val="hybridMultilevel"/>
    <w:lvl w:ilvl="0">
      <w:lvlJc w:val="left"/>
      <w:lvlText w:val="2"/>
      <w:numFmt w:val="bullet"/>
      <w:start w:val="1"/>
    </w:lvl>
  </w:abstractNum>
  <w:abstractNum w:abstractNumId="65">
    <w:nsid w:val="49DA307D"/>
    <w:multiLevelType w:val="hybridMultilevel"/>
    <w:lvl w:ilvl="0">
      <w:lvlJc w:val="left"/>
      <w:lvlText w:val="3"/>
      <w:numFmt w:val="bullet"/>
      <w:start w:val="1"/>
    </w:lvl>
  </w:abstractNum>
  <w:abstractNum w:abstractNumId="66">
    <w:nsid w:val="7055A5F5"/>
    <w:multiLevelType w:val="hybridMultilevel"/>
    <w:lvl w:ilvl="0">
      <w:lvlJc w:val="left"/>
      <w:lvlText w:val="4"/>
      <w:numFmt w:val="bullet"/>
      <w:start w:val="1"/>
    </w:lvl>
  </w:abstractNum>
  <w:abstractNum w:abstractNumId="67">
    <w:nsid w:val="5FB8370B"/>
    <w:multiLevelType w:val="hybridMultilevel"/>
    <w:lvl w:ilvl="0">
      <w:lvlJc w:val="left"/>
      <w:lvlText w:val="5"/>
      <w:numFmt w:val="bullet"/>
      <w:start w:val="1"/>
    </w:lvl>
  </w:abstractNum>
  <w:abstractNum w:abstractNumId="68">
    <w:nsid w:val="50801EE1"/>
    <w:multiLevelType w:val="hybridMultilevel"/>
    <w:lvl w:ilvl="0">
      <w:lvlJc w:val="left"/>
      <w:lvlText w:val="6"/>
      <w:numFmt w:val="bullet"/>
      <w:start w:val="1"/>
    </w:lvl>
  </w:abstractNum>
  <w:abstractNum w:abstractNumId="69">
    <w:nsid w:val="488AC1A"/>
    <w:multiLevelType w:val="hybridMultilevel"/>
    <w:lvl w:ilvl="0">
      <w:lvlJc w:val="left"/>
      <w:lvlText w:val="7"/>
      <w:numFmt w:val="bullet"/>
      <w:start w:val="1"/>
    </w:lvl>
  </w:abstractNum>
  <w:abstractNum w:abstractNumId="70">
    <w:nsid w:val="5FB8011C"/>
    <w:multiLevelType w:val="hybridMultilevel"/>
    <w:lvl w:ilvl="0">
      <w:lvlJc w:val="left"/>
      <w:lvlText w:val="8"/>
      <w:numFmt w:val="bullet"/>
      <w:start w:val="1"/>
    </w:lvl>
  </w:abstractNum>
  <w:abstractNum w:abstractNumId="71">
    <w:nsid w:val="6AA78F7F"/>
    <w:multiLevelType w:val="hybridMultilevel"/>
    <w:lvl w:ilvl="0">
      <w:lvlJc w:val="left"/>
      <w:lvlText w:val="9"/>
      <w:numFmt w:val="bullet"/>
      <w:start w:val="1"/>
    </w:lvl>
  </w:abstractNum>
  <w:abstractNum w:abstractNumId="72">
    <w:nsid w:val="7672BD23"/>
    <w:multiLevelType w:val="hybridMultilevel"/>
    <w:lvl w:ilvl="0">
      <w:lvlJc w:val="left"/>
      <w:lvlText w:val="(%1)"/>
      <w:numFmt w:val="lowerLetter"/>
      <w:start w:val="3"/>
    </w:lvl>
  </w:abstractNum>
  <w:abstractNum w:abstractNumId="73">
    <w:nsid w:val="6FC75AF8"/>
    <w:multiLevelType w:val="hybridMultilevel"/>
    <w:lvl w:ilvl="0">
      <w:lvlJc w:val="left"/>
      <w:lvlText w:val="%1"/>
      <w:numFmt w:val="decimal"/>
      <w:start w:val="10"/>
    </w:lvl>
  </w:abstractNum>
  <w:abstractNum w:abstractNumId="74">
    <w:nsid w:val="6A5F7029"/>
    <w:multiLevelType w:val="hybridMultilevel"/>
    <w:lvl w:ilvl="0">
      <w:lvlJc w:val="left"/>
      <w:lvlText w:val="%1"/>
      <w:numFmt w:val="decimal"/>
      <w:start w:val="12"/>
    </w:lvl>
  </w:abstractNum>
  <w:abstractNum w:abstractNumId="75">
    <w:nsid w:val="7D5E18F8"/>
    <w:multiLevelType w:val="hybridMultilevel"/>
    <w:lvl w:ilvl="0">
      <w:lvlJc w:val="left"/>
      <w:lvlText w:val="%1"/>
      <w:numFmt w:val="decimal"/>
      <w:start w:val="13"/>
    </w:lvl>
  </w:abstractNum>
  <w:abstractNum w:abstractNumId="76">
    <w:nsid w:val="5F3534A4"/>
    <w:multiLevelType w:val="hybridMultilevel"/>
    <w:lvl w:ilvl="0">
      <w:lvlJc w:val="left"/>
      <w:lvlText w:val="☐"/>
      <w:numFmt w:val="bullet"/>
      <w:start w:val="1"/>
    </w:lvl>
  </w:abstractNum>
  <w:abstractNum w:abstractNumId="77">
    <w:nsid w:val="73A1821B"/>
    <w:multiLevelType w:val="hybridMultilevel"/>
    <w:lvl w:ilvl="0">
      <w:lvlJc w:val="left"/>
      <w:lvlText w:val="%1"/>
      <w:numFmt w:val="decimal"/>
      <w:start w:val="14"/>
    </w:lvl>
  </w:abstractNum>
  <w:abstractNum w:abstractNumId="78">
    <w:nsid w:val="7DE67713"/>
    <w:multiLevelType w:val="hybridMultilevel"/>
    <w:lvl w:ilvl="0">
      <w:lvlJc w:val="left"/>
      <w:lvlText w:val="(%1)"/>
      <w:numFmt w:val="upperLetter"/>
      <w:start w:val="2"/>
    </w:lvl>
    <w:lvl w:ilvl="1">
      <w:lvlJc w:val="left"/>
      <w:lvlText w:val="(%2)"/>
      <w:numFmt w:val="decimal"/>
      <w:start w:val="1"/>
    </w:lvl>
  </w:abstractNum>
  <w:abstractNum w:abstractNumId="79">
    <w:nsid w:val="555C55B5"/>
    <w:multiLevelType w:val="hybridMultilevel"/>
    <w:lvl w:ilvl="0">
      <w:lvlJc w:val="left"/>
      <w:lvlText w:val="(%1)"/>
      <w:numFmt w:val="decimal"/>
      <w:start w:val="1"/>
    </w:lvl>
  </w:abstractNum>
  <w:abstractNum w:abstractNumId="80">
    <w:nsid w:val="3FA62ACA"/>
    <w:multiLevelType w:val="hybridMultilevel"/>
    <w:lvl w:ilvl="0">
      <w:lvlJc w:val="left"/>
      <w:lvlText w:val="%1"/>
      <w:numFmt w:val="lowerRoman"/>
      <w:start w:val="1"/>
    </w:lvl>
    <w:lvl w:ilvl="1">
      <w:lvlJc w:val="left"/>
      <w:lvlText w:val="(%2)"/>
      <w:numFmt w:val="decimal"/>
      <w:start w:val="3"/>
    </w:lvl>
  </w:abstractNum>
  <w:abstractNum w:abstractNumId="81">
    <w:nsid w:val="14FCE74E"/>
    <w:multiLevelType w:val="hybridMultilevel"/>
    <w:lvl w:ilvl="0">
      <w:lvlJc w:val="left"/>
      <w:lvlText w:val="(%1)"/>
      <w:numFmt w:val="lowerRoman"/>
      <w:start w:val="2"/>
    </w:lvl>
    <w:lvl w:ilvl="1">
      <w:lvlJc w:val="left"/>
      <w:lvlText w:val="(%2)"/>
      <w:numFmt w:val="decimal"/>
      <w:start w:val="4"/>
    </w:lvl>
  </w:abstractNum>
  <w:abstractNum w:abstractNumId="82">
    <w:nsid w:val="6A3DD3E8"/>
    <w:multiLevelType w:val="hybridMultilevel"/>
    <w:lvl w:ilvl="0">
      <w:lvlJc w:val="left"/>
      <w:lvlText w:val="(%1)"/>
      <w:numFmt w:val="upperLetter"/>
      <w:start w:val="4"/>
    </w:lvl>
    <w:lvl w:ilvl="1">
      <w:lvlJc w:val="left"/>
      <w:lvlText w:val="(%2)"/>
      <w:numFmt w:val="decimal"/>
      <w:start w:val="1"/>
    </w:lvl>
  </w:abstractNum>
  <w:abstractNum w:abstractNumId="83">
    <w:nsid w:val="71C91298"/>
    <w:multiLevelType w:val="hybridMultilevel"/>
    <w:lvl w:ilvl="0">
      <w:lvlJc w:val="left"/>
      <w:lvlText w:val="(%1)"/>
      <w:numFmt w:val="upperLetter"/>
      <w:start w:val="1"/>
    </w:lvl>
  </w:abstractNum>
  <w:abstractNum w:abstractNumId="84">
    <w:nsid w:val="9DAF632"/>
    <w:multiLevelType w:val="hybridMultilevel"/>
    <w:lvl w:ilvl="0">
      <w:lvlJc w:val="left"/>
      <w:lvlText w:val="(%1)"/>
      <w:numFmt w:val="upperLetter"/>
      <w:start w:val="3"/>
    </w:lvl>
  </w:abstractNum>
  <w:abstractNum w:abstractNumId="85">
    <w:nsid w:val="53299938"/>
    <w:multiLevelType w:val="hybridMultilevel"/>
    <w:lvl w:ilvl="0">
      <w:lvlJc w:val="left"/>
      <w:lvlText w:val="(%1)"/>
      <w:numFmt w:val="upperLetter"/>
      <w:start w:val="6"/>
    </w:lvl>
    <w:lvl w:ilvl="1">
      <w:lvlJc w:val="left"/>
      <w:lvlText w:val="(%2)"/>
      <w:numFmt w:val="decimal"/>
      <w:start w:val="1"/>
    </w:lvl>
  </w:abstractNum>
  <w:abstractNum w:abstractNumId="86">
    <w:nsid w:val="1FBFE8E0"/>
    <w:multiLevelType w:val="hybridMultilevel"/>
    <w:lvl w:ilvl="0">
      <w:lvlJc w:val="left"/>
      <w:lvlText w:val="%1"/>
      <w:numFmt w:val="upperLetter"/>
      <w:start w:val="1"/>
    </w:lvl>
    <w:lvl w:ilvl="1">
      <w:lvlJc w:val="left"/>
      <w:lvlText w:val="(%2)"/>
      <w:numFmt w:val="decimal"/>
      <w:start w:val="2"/>
    </w:lvl>
  </w:abstractNum>
  <w:abstractNum w:abstractNumId="87">
    <w:nsid w:val="5092CA79"/>
    <w:multiLevelType w:val="hybridMultilevel"/>
    <w:lvl w:ilvl="0">
      <w:lvlJc w:val="left"/>
      <w:lvlText w:val="(%1)"/>
      <w:numFmt w:val="upperLetter"/>
      <w:start w:val="8"/>
    </w:lvl>
    <w:lvl w:ilvl="1">
      <w:lvlJc w:val="left"/>
      <w:lvlText w:val="(%2)"/>
      <w:numFmt w:val="decimal"/>
      <w:start w:val="1"/>
    </w:lvl>
  </w:abstractNum>
  <w:abstractNum w:abstractNumId="88">
    <w:nsid w:val="1D545C4D"/>
    <w:multiLevelType w:val="hybridMultilevel"/>
    <w:lvl w:ilvl="0">
      <w:lvlJc w:val="left"/>
      <w:lvlText w:val="%1"/>
      <w:numFmt w:val="upperLetter"/>
      <w:start w:val="1"/>
    </w:lvl>
    <w:lvl w:ilvl="1">
      <w:lvlJc w:val="left"/>
      <w:lvlText w:val="(%2)"/>
      <w:numFmt w:val="decimal"/>
      <w:start w:val="2"/>
    </w:lvl>
  </w:abstractNum>
  <w:abstractNum w:abstractNumId="89">
    <w:nsid w:val="59ADEA3D"/>
    <w:multiLevelType w:val="hybridMultilevel"/>
    <w:lvl w:ilvl="0">
      <w:lvlJc w:val="left"/>
      <w:lvlText w:val="(%1)"/>
      <w:numFmt w:val="upperLetter"/>
      <w:start w:val="11"/>
    </w:lvl>
    <w:lvl w:ilvl="1">
      <w:lvlJc w:val="left"/>
      <w:lvlText w:val="(%2)"/>
      <w:numFmt w:val="decimal"/>
      <w:start w:val="1"/>
    </w:lvl>
  </w:abstractNum>
  <w:abstractNum w:abstractNumId="90">
    <w:nsid w:val="288F1A34"/>
    <w:multiLevelType w:val="hybridMultilevel"/>
    <w:lvl w:ilvl="0">
      <w:lvlJc w:val="left"/>
      <w:lvlText w:val="%1"/>
      <w:numFmt w:val="lowerRoman"/>
      <w:start w:val="1"/>
    </w:lvl>
    <w:lvl w:ilvl="1">
      <w:lvlJc w:val="left"/>
      <w:lvlText w:val="(%2)"/>
      <w:numFmt w:val="upperLetter"/>
      <w:start w:val="15"/>
    </w:lvl>
    <w:lvl w:ilvl="2">
      <w:lvlJc w:val="left"/>
      <w:lvlText w:val="%3"/>
      <w:numFmt w:val="decimal"/>
      <w:start w:val="1"/>
    </w:lvl>
  </w:abstractNum>
  <w:abstractNum w:abstractNumId="91">
    <w:nsid w:val="2A155DBC"/>
    <w:multiLevelType w:val="hybridMultilevel"/>
    <w:lvl w:ilvl="0">
      <w:lvlJc w:val="left"/>
      <w:lvlText w:val="(%1)"/>
      <w:numFmt w:val="lowerRoman"/>
      <w:start w:val="1"/>
    </w:lvl>
    <w:lvl w:ilvl="1">
      <w:lvlJc w:val="left"/>
      <w:lvlText w:val="(%2)"/>
      <w:numFmt w:val="upperLetter"/>
      <w:start w:val="17"/>
    </w:lvl>
    <w:lvl w:ilvl="2">
      <w:lvlJc w:val="left"/>
      <w:lvlText w:val="(%3)"/>
      <w:numFmt w:val="decimal"/>
      <w:start w:val="1"/>
    </w:lvl>
  </w:abstractNum>
  <w:abstractNum w:abstractNumId="92">
    <w:nsid w:val="1D9F6E5F"/>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93">
    <w:nsid w:val="97E1B4E"/>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94">
    <w:nsid w:val="51088277"/>
    <w:multiLevelType w:val="hybridMultilevel"/>
    <w:lvl w:ilvl="0">
      <w:lvlJc w:val="left"/>
      <w:lvlText w:val="(%1)"/>
      <w:numFmt w:val="upperLetter"/>
      <w:start w:val="4"/>
    </w:lvl>
    <w:lvl w:ilvl="1">
      <w:lvlJc w:val="left"/>
      <w:lvlText w:val="(%2)"/>
      <w:numFmt w:val="decimal"/>
      <w:start w:val="1"/>
    </w:lvl>
  </w:abstractNum>
  <w:abstractNum w:abstractNumId="95">
    <w:nsid w:val="1CA0C5FA"/>
    <w:multiLevelType w:val="hybridMultilevel"/>
    <w:lvl w:ilvl="0">
      <w:lvlJc w:val="left"/>
      <w:lvlText w:val="(%1)"/>
      <w:numFmt w:val="upperLetter"/>
      <w:start w:val="5"/>
    </w:lvl>
    <w:lvl w:ilvl="1">
      <w:lvlJc w:val="left"/>
      <w:lvlText w:val="(%2)"/>
      <w:numFmt w:val="decimal"/>
      <w:start w:val="1"/>
    </w:lvl>
  </w:abstractNum>
  <w:abstractNum w:abstractNumId="96">
    <w:nsid w:val="53584BCB"/>
    <w:multiLevelType w:val="hybridMultilevel"/>
    <w:lvl w:ilvl="0">
      <w:lvlJc w:val="left"/>
      <w:lvlText w:val="%1"/>
      <w:numFmt w:val="lowerLetter"/>
      <w:start w:val="1"/>
    </w:lvl>
    <w:lvl w:ilvl="1">
      <w:lvlJc w:val="left"/>
      <w:lvlText w:val="(%2)"/>
      <w:numFmt w:val="upperLetter"/>
      <w:start w:val="1"/>
    </w:lvl>
  </w:abstractNum>
  <w:abstractNum w:abstractNumId="97">
    <w:nsid w:val="415E286C"/>
    <w:multiLevelType w:val="hybridMultilevel"/>
    <w:lvl w:ilvl="0">
      <w:lvlJc w:val="left"/>
      <w:lvlText w:val="(%1)"/>
      <w:numFmt w:val="lowerLetter"/>
      <w:start w:val="25"/>
    </w:lvl>
    <w:lvl w:ilvl="1">
      <w:lvlJc w:val="left"/>
      <w:lvlText w:val="%2"/>
      <w:numFmt w:val="upperLetter"/>
      <w:start w:val="1"/>
    </w:lvl>
  </w:abstractNum>
  <w:abstractNum w:abstractNumId="98">
    <w:nsid w:val="7C58FD05"/>
    <w:multiLevelType w:val="hybridMultilevel"/>
    <w:lvl w:ilvl="0">
      <w:lvlJc w:val="left"/>
      <w:lvlText w:val="(%1)"/>
      <w:numFmt w:val="upperLetter"/>
      <w:start w:val="1"/>
    </w:lvl>
    <w:lvl w:ilvl="1">
      <w:lvlJc w:val="left"/>
      <w:lvlText w:val="(%2)"/>
      <w:numFmt w:val="decimal"/>
      <w:start w:val="1"/>
    </w:lvl>
  </w:abstractNum>
  <w:abstractNum w:abstractNumId="99">
    <w:nsid w:val="23D86AAC"/>
    <w:multiLevelType w:val="hybridMultilevel"/>
    <w:lvl w:ilvl="0">
      <w:lvlJc w:val="left"/>
      <w:lvlText w:val="(%1)"/>
      <w:numFmt w:val="decimal"/>
      <w:start w:val="7"/>
    </w:lvl>
  </w:abstractNum>
  <w:abstractNum w:abstractNumId="100">
    <w:nsid w:val="45E6D486"/>
    <w:multiLevelType w:val="hybridMultilevel"/>
    <w:lvl w:ilvl="0">
      <w:lvlJc w:val="left"/>
      <w:lvlText w:val="%1"/>
      <w:numFmt w:val="decimal"/>
      <w:start w:val="1"/>
    </w:lvl>
    <w:lvl w:ilvl="1">
      <w:lvlJc w:val="left"/>
      <w:lvlText w:val="%2"/>
      <w:numFmt w:val="upperLetter"/>
      <w:start w:val="1"/>
    </w:lvl>
    <w:lvl w:ilvl="2">
      <w:lvlJc w:val="left"/>
      <w:lvlText w:val="(%3)"/>
      <w:numFmt w:val="decimal"/>
      <w:start w:val="12"/>
    </w:lvl>
  </w:abstractNum>
  <w:abstractNum w:abstractNumId="101">
    <w:nsid w:val="5C10FE21"/>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102">
    <w:nsid w:val="E7FFA2B"/>
    <w:multiLevelType w:val="hybridMultilevel"/>
    <w:lvl w:ilvl="0">
      <w:lvlJc w:val="left"/>
      <w:lvlText w:val="(%1)"/>
      <w:numFmt w:val="decimal"/>
      <w:start w:val="60"/>
    </w:lvl>
    <w:lvl w:ilvl="1">
      <w:lvlJc w:val="left"/>
      <w:lvlText w:val="%2"/>
      <w:numFmt w:val="upperLetter"/>
      <w:start w:val="1"/>
    </w:lvl>
    <w:lvl w:ilvl="2">
      <w:lvlJc w:val="left"/>
      <w:lvlText w:val="%3"/>
      <w:numFmt w:val="decimal"/>
      <w:start w:val="1"/>
    </w:lvl>
  </w:abstractNum>
  <w:abstractNum w:abstractNumId="103">
    <w:nsid w:val="3C5991AA"/>
    <w:multiLevelType w:val="hybridMultilevel"/>
    <w:lvl w:ilvl="0">
      <w:lvlJc w:val="left"/>
      <w:lvlText w:val="(%1)"/>
      <w:numFmt w:val="upperLetter"/>
      <w:start w:val="1"/>
    </w:lvl>
  </w:abstractNum>
  <w:abstractNum w:abstractNumId="104">
    <w:nsid w:val="4BD8591A"/>
    <w:multiLevelType w:val="hybridMultilevel"/>
    <w:lvl w:ilvl="0">
      <w:lvlJc w:val="left"/>
      <w:lvlText w:val="(%1)"/>
      <w:numFmt w:val="upperLetter"/>
      <w:start w:val="3"/>
    </w:lvl>
  </w:abstractNum>
  <w:abstractNum w:abstractNumId="105">
    <w:nsid w:val="78DF6A55"/>
    <w:multiLevelType w:val="hybridMultilevel"/>
    <w:lvl w:ilvl="0">
      <w:lvlJc w:val="left"/>
      <w:lvlText w:val="(%1)"/>
      <w:numFmt w:val="upperLetter"/>
      <w:start w:val="1"/>
    </w:lvl>
  </w:abstractNum>
  <w:abstractNum w:abstractNumId="106">
    <w:nsid w:val="39B7AAA2"/>
    <w:multiLevelType w:val="hybridMultilevel"/>
    <w:lvl w:ilvl="0">
      <w:lvlJc w:val="left"/>
      <w:lvlText w:val="(%1)"/>
      <w:numFmt w:val="upperLetter"/>
      <w:start w:val="1"/>
    </w:lvl>
  </w:abstractNum>
  <w:abstractNum w:abstractNumId="107">
    <w:nsid w:val="2B0D8DBE"/>
    <w:multiLevelType w:val="hybridMultilevel"/>
    <w:lvl w:ilvl="0">
      <w:lvlJc w:val="left"/>
      <w:lvlText w:val="(%1)"/>
      <w:numFmt w:val="upperLetter"/>
      <w:start w:val="2"/>
    </w:lvl>
  </w:abstractNum>
  <w:abstractNum w:abstractNumId="108">
    <w:nsid w:val="6C80EC70"/>
    <w:multiLevelType w:val="hybridMultilevel"/>
    <w:lvl w:ilvl="0">
      <w:lvlJc w:val="left"/>
      <w:lvlText w:val="(%1)"/>
      <w:numFmt w:val="upperLetter"/>
      <w:start w:val="1"/>
    </w:lvl>
    <w:lvl w:ilvl="1">
      <w:lvlJc w:val="left"/>
      <w:lvlText w:val="(%2)"/>
      <w:numFmt w:val="decimal"/>
      <w:start w:val="1"/>
    </w:lvl>
  </w:abstractNum>
  <w:abstractNum w:abstractNumId="109">
    <w:nsid w:val="379E21B5"/>
    <w:multiLevelType w:val="hybridMultilevel"/>
    <w:lvl w:ilvl="0">
      <w:lvlJc w:val="left"/>
      <w:lvlText w:val="%1"/>
      <w:numFmt w:val="upperLetter"/>
      <w:start w:val="1"/>
    </w:lvl>
    <w:lvl w:ilvl="1">
      <w:lvlJc w:val="left"/>
      <w:lvlText w:val="(%2)"/>
      <w:numFmt w:val="decimal"/>
      <w:start w:val="3"/>
    </w:lvl>
  </w:abstractNum>
  <w:abstractNum w:abstractNumId="110">
    <w:nsid w:val="69E373"/>
    <w:multiLevelType w:val="hybridMultilevel"/>
    <w:lvl w:ilvl="0">
      <w:lvlJc w:val="left"/>
      <w:lvlText w:val="(%1)"/>
      <w:numFmt w:val="upperLetter"/>
      <w:start w:val="5"/>
    </w:lvl>
    <w:lvl w:ilvl="1">
      <w:lvlJc w:val="left"/>
      <w:lvlText w:val="(%2)"/>
      <w:numFmt w:val="decimal"/>
      <w:start w:val="8"/>
    </w:lvl>
  </w:abstractNum>
  <w:abstractNum w:abstractNumId="111">
    <w:nsid w:val="2C27173B"/>
    <w:multiLevelType w:val="hybridMultilevel"/>
    <w:lvl w:ilvl="0">
      <w:lvlJc w:val="left"/>
      <w:lvlText w:val="%1"/>
      <w:numFmt w:val="upperLetter"/>
      <w:start w:val="1"/>
    </w:lvl>
    <w:lvl w:ilvl="1">
      <w:lvlJc w:val="left"/>
      <w:lvlText w:val="(%2)"/>
      <w:numFmt w:val="decimal"/>
      <w:start w:val="9"/>
    </w:lvl>
  </w:abstractNum>
  <w:abstractNum w:abstractNumId="112">
    <w:nsid w:val="4C9B0904"/>
    <w:multiLevelType w:val="hybridMultilevel"/>
    <w:lvl w:ilvl="0">
      <w:lvlJc w:val="left"/>
      <w:lvlText w:val="(%1)"/>
      <w:numFmt w:val="upperLetter"/>
      <w:start w:val="2"/>
    </w:lvl>
    <w:lvl w:ilvl="1">
      <w:lvlJc w:val="left"/>
      <w:lvlText w:val="%2"/>
      <w:numFmt w:val="decimal"/>
      <w:start w:val="1"/>
    </w:lvl>
  </w:abstractNum>
  <w:abstractNum w:abstractNumId="113">
    <w:nsid w:val="6AA7B75C"/>
    <w:multiLevelType w:val="hybridMultilevel"/>
    <w:lvl w:ilvl="0">
      <w:lvlJc w:val="left"/>
      <w:lvlText w:val="(%1)"/>
      <w:numFmt w:val="upperLetter"/>
      <w:start w:val="1"/>
    </w:lvl>
  </w:abstractNum>
  <w:abstractNum w:abstractNumId="114">
    <w:nsid w:val="1DF029D3"/>
    <w:multiLevelType w:val="hybridMultilevel"/>
    <w:lvl w:ilvl="0">
      <w:lvlJc w:val="left"/>
      <w:lvlText w:val="(%1)"/>
      <w:numFmt w:val="upperLetter"/>
      <w:start w:val="3"/>
    </w:lvl>
  </w:abstractNum>
  <w:abstractNum w:abstractNumId="115">
    <w:nsid w:val="5675FF36"/>
    <w:multiLevelType w:val="hybridMultilevel"/>
    <w:lvl w:ilvl="0">
      <w:lvlJc w:val="left"/>
      <w:lvlText w:val="(%1)"/>
      <w:numFmt w:val="decimal"/>
      <w:start w:val="1"/>
    </w:lvl>
  </w:abstractNum>
  <w:abstractNum w:abstractNumId="116">
    <w:nsid w:val="3DD15094"/>
    <w:multiLevelType w:val="hybridMultilevel"/>
    <w:lvl w:ilvl="0">
      <w:lvlJc w:val="left"/>
      <w:lvlText w:val="(%1)"/>
      <w:numFmt w:val="upperLetter"/>
      <w:start w:val="1"/>
    </w:lvl>
  </w:abstractNum>
  <w:abstractNum w:abstractNumId="117">
    <w:nsid w:val="3DB012B3"/>
    <w:multiLevelType w:val="hybridMultilevel"/>
    <w:lvl w:ilvl="0">
      <w:lvlJc w:val="left"/>
      <w:lvlText w:val="(%1)"/>
      <w:numFmt w:val="lowerLetter"/>
      <w:start w:val="3"/>
    </w:lvl>
  </w:abstractNum>
  <w:abstractNum w:abstractNumId="118">
    <w:nsid w:val="2708C9AF"/>
    <w:multiLevelType w:val="hybridMultilevel"/>
    <w:lvl w:ilvl="0">
      <w:lvlJc w:val="left"/>
      <w:lvlText w:val="☐"/>
      <w:numFmt w:val="bullet"/>
      <w:start w:val="1"/>
    </w:lvl>
  </w:abstractNum>
  <w:abstractNum w:abstractNumId="119">
    <w:nsid w:val="5B25ACE2"/>
    <w:multiLevelType w:val="hybridMultilevel"/>
    <w:lvl w:ilvl="0">
      <w:lvlJc w:val="left"/>
      <w:lvlText w:val="●"/>
      <w:numFmt w:val="bullet"/>
      <w:start w:val="1"/>
    </w:lvl>
  </w:abstractNum>
  <w:abstractNum w:abstractNumId="120">
    <w:nsid w:val="175DFCF0"/>
    <w:multiLevelType w:val="hybridMultilevel"/>
    <w:lvl w:ilvl="0">
      <w:lvlJc w:val="left"/>
      <w:lvlText w:val="(%1)"/>
      <w:numFmt w:val="lowerRoman"/>
      <w:start w:val="3"/>
    </w:lvl>
    <w:lvl w:ilvl="1">
      <w:lvlJc w:val="left"/>
      <w:lvlText w:val="%2."/>
      <w:numFmt w:val="upperLetter"/>
      <w:start w:val="3"/>
    </w:lvl>
  </w:abstractNum>
  <w:abstractNum w:abstractNumId="121">
    <w:nsid w:val="4F97E3E4"/>
    <w:multiLevelType w:val="hybridMultilevel"/>
    <w:lvl w:ilvl="0">
      <w:lvlJc w:val="left"/>
      <w:lvlText w:val="(%1)"/>
      <w:numFmt w:val="lowerLetter"/>
      <w:start w:val="1"/>
    </w:lvl>
  </w:abstractNum>
  <w:abstractNum w:abstractNumId="122">
    <w:nsid w:val="53B0A9E"/>
    <w:multiLevelType w:val="hybridMultilevel"/>
    <w:lvl w:ilvl="0">
      <w:lvlJc w:val="left"/>
      <w:lvlText w:val="(%1)"/>
      <w:numFmt w:val="lowerLetter"/>
      <w:start w:val="1"/>
    </w:lvl>
  </w:abstractNum>
  <w:abstractNum w:abstractNumId="123">
    <w:nsid w:val="34FD6B4F"/>
    <w:multiLevelType w:val="hybridMultilevel"/>
    <w:lvl w:ilvl="0">
      <w:lvlJc w:val="left"/>
      <w:lvlText w:val="(%1)"/>
      <w:numFmt w:val="lowerLetter"/>
      <w:start w:val="1"/>
    </w:lvl>
  </w:abstractNum>
  <w:abstractNum w:abstractNumId="124">
    <w:nsid w:val="5915FF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2023-01-19T15:44:33Z</dcterms:created>
  <dcterms:modified xsi:type="dcterms:W3CDTF">2023-01-19T15:44:33Z</dcterms:modified>
</cp:coreProperties>
</file>