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294640</wp:posOffset>
            </wp:positionH>
            <wp:positionV relativeFrom="page">
              <wp:posOffset>540385</wp:posOffset>
            </wp:positionV>
            <wp:extent cx="69665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6585"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560705</wp:posOffset>
            </wp:positionV>
            <wp:extent cx="69665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6585" cy="698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46" w:lineRule="exact"/>
        <w:rPr>
          <w:sz w:val="24"/>
          <w:szCs w:val="24"/>
          <w:color w:val="auto"/>
        </w:rPr>
      </w:pPr>
    </w:p>
    <w:p>
      <w:pPr>
        <w:ind w:left="500" w:hanging="300"/>
        <w:spacing w:after="0"/>
        <w:tabs>
          <w:tab w:leader="none" w:pos="5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4"/>
          <w:szCs w:val="14"/>
          <w:b w:val="1"/>
          <w:bCs w:val="1"/>
          <w:color w:val="auto"/>
        </w:rPr>
        <w:t>QUARTERLY REPORT PURSUANT TO SECTION 13 OR 15(d) OF THE SECURITIES EXCHANGE ACT OF 1934</w:t>
      </w:r>
    </w:p>
    <w:p>
      <w:pPr>
        <w:spacing w:after="0" w:line="76"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22" w:lineRule="exact"/>
        <w:rPr>
          <w:sz w:val="24"/>
          <w:szCs w:val="24"/>
          <w:color w:val="auto"/>
        </w:rPr>
      </w:pPr>
    </w:p>
    <w:p>
      <w:pPr>
        <w:ind w:left="380" w:right="3580" w:hanging="200"/>
        <w:spacing w:after="0" w:line="398" w:lineRule="auto"/>
        <w:tabs>
          <w:tab w:leader="none" w:pos="49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1450975</wp:posOffset>
            </wp:positionH>
            <wp:positionV relativeFrom="paragraph">
              <wp:posOffset>-86360</wp:posOffset>
            </wp:positionV>
            <wp:extent cx="222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1"/>
              </w:rPr>
              <w:t>Commission file number 001-39291</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6"/>
        </w:trPr>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8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9"/>
              </w:rPr>
              <w:t>EOS ENERGY ENTERPRISES, INC.</w:t>
            </w: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1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80" w:type="dxa"/>
            <w:vAlign w:val="bottom"/>
            <w:gridSpan w:val="3"/>
          </w:tcPr>
          <w:p>
            <w:pPr>
              <w:jc w:val="center"/>
              <w:ind w:left="9"/>
              <w:spacing w:after="0"/>
              <w:rPr>
                <w:sz w:val="20"/>
                <w:szCs w:val="20"/>
                <w:color w:val="auto"/>
              </w:rPr>
            </w:pPr>
            <w:r>
              <w:rPr>
                <w:rFonts w:ascii="Arial" w:cs="Arial" w:eastAsia="Arial" w:hAnsi="Arial"/>
                <w:sz w:val="14"/>
                <w:szCs w:val="14"/>
                <w:color w:val="auto"/>
                <w:w w:val="91"/>
              </w:rPr>
              <w:t>(Exact name of registrant as specified in its charter)</w:t>
            </w:r>
          </w:p>
        </w:tc>
        <w:tc>
          <w:tcPr>
            <w:tcW w:w="7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08"/>
        </w:trPr>
        <w:tc>
          <w:tcPr>
            <w:tcW w:w="1780" w:type="dxa"/>
            <w:vAlign w:val="bottom"/>
          </w:tcPr>
          <w:p>
            <w:pPr>
              <w:spacing w:after="0"/>
              <w:rPr>
                <w:sz w:val="24"/>
                <w:szCs w:val="24"/>
                <w:color w:val="auto"/>
              </w:rPr>
            </w:pPr>
          </w:p>
        </w:tc>
        <w:tc>
          <w:tcPr>
            <w:tcW w:w="2280" w:type="dxa"/>
            <w:vAlign w:val="bottom"/>
            <w:gridSpan w:val="2"/>
          </w:tcPr>
          <w:p>
            <w:pPr>
              <w:jc w:val="center"/>
              <w:ind w:left="189"/>
              <w:spacing w:after="0"/>
              <w:rPr>
                <w:sz w:val="20"/>
                <w:szCs w:val="20"/>
                <w:color w:val="auto"/>
              </w:rPr>
            </w:pPr>
            <w:r>
              <w:rPr>
                <w:rFonts w:ascii="Arial" w:cs="Arial" w:eastAsia="Arial" w:hAnsi="Arial"/>
                <w:sz w:val="14"/>
                <w:szCs w:val="14"/>
                <w:b w:val="1"/>
                <w:bCs w:val="1"/>
                <w:color w:val="auto"/>
                <w:w w:val="94"/>
              </w:rPr>
              <w:t>Delaware</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jc w:val="right"/>
              <w:ind w:right="589"/>
              <w:spacing w:after="0"/>
              <w:rPr>
                <w:sz w:val="20"/>
                <w:szCs w:val="20"/>
                <w:color w:val="auto"/>
              </w:rPr>
            </w:pPr>
            <w:r>
              <w:rPr>
                <w:rFonts w:ascii="Arial" w:cs="Arial" w:eastAsia="Arial" w:hAnsi="Arial"/>
                <w:sz w:val="14"/>
                <w:szCs w:val="14"/>
                <w:b w:val="1"/>
                <w:bCs w:val="1"/>
                <w:color w:val="auto"/>
              </w:rPr>
              <w:t>84-4290188</w:t>
            </w:r>
          </w:p>
        </w:tc>
        <w:tc>
          <w:tcPr>
            <w:tcW w:w="800" w:type="dxa"/>
            <w:vAlign w:val="bottom"/>
          </w:tcPr>
          <w:p>
            <w:pPr>
              <w:spacing w:after="0"/>
              <w:rPr>
                <w:sz w:val="24"/>
                <w:szCs w:val="24"/>
                <w:color w:val="auto"/>
              </w:rPr>
            </w:pPr>
          </w:p>
        </w:tc>
      </w:tr>
      <w:tr>
        <w:trPr>
          <w:trHeight w:val="180"/>
        </w:trPr>
        <w:tc>
          <w:tcPr>
            <w:tcW w:w="7140" w:type="dxa"/>
            <w:vAlign w:val="bottom"/>
            <w:gridSpan w:val="6"/>
          </w:tcPr>
          <w:p>
            <w:pPr>
              <w:jc w:val="center"/>
              <w:ind w:right="1040"/>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700" w:type="dxa"/>
            <w:vAlign w:val="bottom"/>
          </w:tcPr>
          <w:p>
            <w:pPr>
              <w:spacing w:after="0"/>
              <w:rPr>
                <w:sz w:val="15"/>
                <w:szCs w:val="15"/>
                <w:color w:val="auto"/>
              </w:rPr>
            </w:pPr>
          </w:p>
        </w:tc>
        <w:tc>
          <w:tcPr>
            <w:tcW w:w="342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(I.R.S. Employer Identification No.)</w:t>
            </w:r>
          </w:p>
        </w:tc>
      </w:tr>
      <w:tr>
        <w:trPr>
          <w:trHeight w:val="393"/>
        </w:trPr>
        <w:tc>
          <w:tcPr>
            <w:tcW w:w="1780" w:type="dxa"/>
            <w:vAlign w:val="bottom"/>
          </w:tcPr>
          <w:p>
            <w:pPr>
              <w:spacing w:after="0"/>
              <w:rPr>
                <w:sz w:val="24"/>
                <w:szCs w:val="24"/>
                <w:color w:val="auto"/>
              </w:rPr>
            </w:pPr>
          </w:p>
        </w:tc>
        <w:tc>
          <w:tcPr>
            <w:tcW w:w="2280" w:type="dxa"/>
            <w:vAlign w:val="bottom"/>
            <w:gridSpan w:val="2"/>
          </w:tcPr>
          <w:p>
            <w:pPr>
              <w:jc w:val="center"/>
              <w:ind w:left="189"/>
              <w:spacing w:after="0"/>
              <w:rPr>
                <w:sz w:val="20"/>
                <w:szCs w:val="20"/>
                <w:color w:val="auto"/>
              </w:rPr>
            </w:pPr>
            <w:r>
              <w:rPr>
                <w:rFonts w:ascii="Arial" w:cs="Arial" w:eastAsia="Arial" w:hAnsi="Arial"/>
                <w:sz w:val="14"/>
                <w:szCs w:val="14"/>
                <w:b w:val="1"/>
                <w:bCs w:val="1"/>
                <w:color w:val="auto"/>
                <w:w w:val="91"/>
              </w:rPr>
              <w:t>3920 Park Avenue</w:t>
            </w:r>
          </w:p>
        </w:tc>
        <w:tc>
          <w:tcPr>
            <w:tcW w:w="1200" w:type="dxa"/>
            <w:vAlign w:val="bottom"/>
          </w:tcPr>
          <w:p>
            <w:pPr>
              <w:spacing w:after="0"/>
              <w:rPr>
                <w:sz w:val="24"/>
                <w:szCs w:val="24"/>
                <w:color w:val="auto"/>
              </w:rPr>
            </w:pPr>
          </w:p>
        </w:tc>
        <w:tc>
          <w:tcPr>
            <w:tcW w:w="1880" w:type="dxa"/>
            <w:vAlign w:val="bottom"/>
            <w:gridSpan w:val="2"/>
          </w:tcPr>
          <w:p>
            <w:pPr>
              <w:ind w:left="1020"/>
              <w:spacing w:after="0"/>
              <w:rPr>
                <w:sz w:val="20"/>
                <w:szCs w:val="20"/>
                <w:color w:val="auto"/>
              </w:rPr>
            </w:pPr>
            <w:r>
              <w:rPr>
                <w:rFonts w:ascii="Arial" w:cs="Arial" w:eastAsia="Arial" w:hAnsi="Arial"/>
                <w:sz w:val="14"/>
                <w:szCs w:val="14"/>
                <w:b w:val="1"/>
                <w:bCs w:val="1"/>
                <w:color w:val="auto"/>
              </w:rPr>
              <w:t>Edison</w:t>
            </w: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NJ</w:t>
            </w:r>
          </w:p>
        </w:tc>
        <w:tc>
          <w:tcPr>
            <w:tcW w:w="2620" w:type="dxa"/>
            <w:vAlign w:val="bottom"/>
          </w:tcPr>
          <w:p>
            <w:pPr>
              <w:jc w:val="right"/>
              <w:ind w:right="749"/>
              <w:spacing w:after="0"/>
              <w:rPr>
                <w:sz w:val="20"/>
                <w:szCs w:val="20"/>
                <w:color w:val="auto"/>
              </w:rPr>
            </w:pPr>
            <w:r>
              <w:rPr>
                <w:rFonts w:ascii="Arial" w:cs="Arial" w:eastAsia="Arial" w:hAnsi="Arial"/>
                <w:sz w:val="14"/>
                <w:szCs w:val="14"/>
                <w:b w:val="1"/>
                <w:bCs w:val="1"/>
                <w:color w:val="auto"/>
              </w:rPr>
              <w:t>08820</w:t>
            </w:r>
          </w:p>
        </w:tc>
        <w:tc>
          <w:tcPr>
            <w:tcW w:w="800" w:type="dxa"/>
            <w:vAlign w:val="bottom"/>
          </w:tcPr>
          <w:p>
            <w:pPr>
              <w:spacing w:after="0"/>
              <w:rPr>
                <w:sz w:val="24"/>
                <w:szCs w:val="24"/>
                <w:color w:val="auto"/>
              </w:rPr>
            </w:pPr>
          </w:p>
        </w:tc>
      </w:tr>
      <w:tr>
        <w:trPr>
          <w:trHeight w:val="180"/>
        </w:trPr>
        <w:tc>
          <w:tcPr>
            <w:tcW w:w="1780" w:type="dxa"/>
            <w:vAlign w:val="bottom"/>
          </w:tcPr>
          <w:p>
            <w:pPr>
              <w:spacing w:after="0"/>
              <w:rPr>
                <w:sz w:val="15"/>
                <w:szCs w:val="15"/>
                <w:color w:val="auto"/>
              </w:rPr>
            </w:pPr>
          </w:p>
        </w:tc>
        <w:tc>
          <w:tcPr>
            <w:tcW w:w="5360" w:type="dxa"/>
            <w:vAlign w:val="bottom"/>
            <w:gridSpan w:val="5"/>
          </w:tcPr>
          <w:p>
            <w:pPr>
              <w:jc w:val="center"/>
              <w:ind w:right="2820"/>
              <w:spacing w:after="0"/>
              <w:rPr>
                <w:sz w:val="20"/>
                <w:szCs w:val="20"/>
                <w:color w:val="auto"/>
              </w:rPr>
            </w:pPr>
            <w:r>
              <w:rPr>
                <w:rFonts w:ascii="Arial" w:cs="Arial" w:eastAsia="Arial" w:hAnsi="Arial"/>
                <w:sz w:val="14"/>
                <w:szCs w:val="14"/>
                <w:color w:val="auto"/>
                <w:w w:val="93"/>
              </w:rPr>
              <w:t>(Address of Principal Executive Offices)</w:t>
            </w:r>
          </w:p>
        </w:tc>
        <w:tc>
          <w:tcPr>
            <w:tcW w:w="700" w:type="dxa"/>
            <w:vAlign w:val="bottom"/>
          </w:tcPr>
          <w:p>
            <w:pPr>
              <w:spacing w:after="0"/>
              <w:rPr>
                <w:sz w:val="15"/>
                <w:szCs w:val="15"/>
                <w:color w:val="auto"/>
              </w:rPr>
            </w:pPr>
          </w:p>
        </w:tc>
        <w:tc>
          <w:tcPr>
            <w:tcW w:w="34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(Zip Code)</w:t>
            </w:r>
          </w:p>
        </w:tc>
      </w:tr>
      <w:tr>
        <w:trPr>
          <w:trHeight w:val="329"/>
        </w:trPr>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gridSpan w:val="2"/>
          </w:tcPr>
          <w:p>
            <w:pPr>
              <w:jc w:val="center"/>
              <w:ind w:left="769"/>
              <w:spacing w:after="0"/>
              <w:rPr>
                <w:sz w:val="20"/>
                <w:szCs w:val="20"/>
                <w:color w:val="auto"/>
              </w:rPr>
            </w:pPr>
            <w:r>
              <w:rPr>
                <w:rFonts w:ascii="Arial" w:cs="Arial" w:eastAsia="Arial" w:hAnsi="Arial"/>
                <w:sz w:val="14"/>
                <w:szCs w:val="14"/>
                <w:b w:val="1"/>
                <w:bCs w:val="1"/>
                <w:color w:val="auto"/>
                <w:w w:val="91"/>
              </w:rPr>
              <w:t>(732) 225-8400</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1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80" w:type="dxa"/>
            <w:vAlign w:val="bottom"/>
            <w:gridSpan w:val="3"/>
          </w:tcPr>
          <w:p>
            <w:pPr>
              <w:jc w:val="center"/>
              <w:ind w:left="9"/>
              <w:spacing w:after="0"/>
              <w:rPr>
                <w:sz w:val="20"/>
                <w:szCs w:val="20"/>
                <w:color w:val="auto"/>
              </w:rPr>
            </w:pPr>
            <w:r>
              <w:rPr>
                <w:rFonts w:ascii="Arial" w:cs="Arial" w:eastAsia="Arial" w:hAnsi="Arial"/>
                <w:sz w:val="14"/>
                <w:szCs w:val="14"/>
                <w:color w:val="auto"/>
                <w:w w:val="90"/>
              </w:rPr>
              <w:t>Registrant's telephone number, including area code</w:t>
            </w:r>
          </w:p>
        </w:tc>
        <w:tc>
          <w:tcPr>
            <w:tcW w:w="7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6"/>
        </w:trPr>
        <w:tc>
          <w:tcPr>
            <w:tcW w:w="40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60" w:type="dxa"/>
            <w:vAlign w:val="bottom"/>
            <w:gridSpan w:val="3"/>
          </w:tcPr>
          <w:p>
            <w:pPr>
              <w:jc w:val="center"/>
              <w:ind w:left="489"/>
              <w:spacing w:after="0"/>
              <w:rPr>
                <w:sz w:val="20"/>
                <w:szCs w:val="20"/>
                <w:color w:val="auto"/>
              </w:rPr>
            </w:pPr>
            <w:r>
              <w:rPr>
                <w:rFonts w:ascii="Arial" w:cs="Arial" w:eastAsia="Arial" w:hAnsi="Arial"/>
                <w:sz w:val="14"/>
                <w:szCs w:val="14"/>
                <w:b w:val="1"/>
                <w:bCs w:val="1"/>
                <w:color w:val="auto"/>
                <w:w w:val="87"/>
              </w:rPr>
              <w:t>Title of each class</w:t>
            </w:r>
          </w:p>
        </w:tc>
        <w:tc>
          <w:tcPr>
            <w:tcW w:w="3080" w:type="dxa"/>
            <w:vAlign w:val="bottom"/>
            <w:gridSpan w:val="3"/>
          </w:tcPr>
          <w:p>
            <w:pPr>
              <w:jc w:val="center"/>
              <w:ind w:left="369"/>
              <w:spacing w:after="0"/>
              <w:rPr>
                <w:sz w:val="20"/>
                <w:szCs w:val="20"/>
                <w:color w:val="auto"/>
              </w:rPr>
            </w:pPr>
            <w:r>
              <w:rPr>
                <w:rFonts w:ascii="Arial" w:cs="Arial" w:eastAsia="Arial" w:hAnsi="Arial"/>
                <w:sz w:val="14"/>
                <w:szCs w:val="14"/>
                <w:b w:val="1"/>
                <w:bCs w:val="1"/>
                <w:color w:val="auto"/>
                <w:w w:val="91"/>
              </w:rPr>
              <w:t>Trading Symbol(s)</w:t>
            </w:r>
          </w:p>
        </w:tc>
        <w:tc>
          <w:tcPr>
            <w:tcW w:w="700" w:type="dxa"/>
            <w:vAlign w:val="bottom"/>
          </w:tcPr>
          <w:p>
            <w:pPr>
              <w:spacing w:after="0"/>
              <w:rPr>
                <w:sz w:val="14"/>
                <w:szCs w:val="14"/>
                <w:color w:val="auto"/>
              </w:rPr>
            </w:pPr>
          </w:p>
        </w:tc>
        <w:tc>
          <w:tcPr>
            <w:tcW w:w="34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6"/>
        </w:trPr>
        <w:tc>
          <w:tcPr>
            <w:tcW w:w="17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r>
      <w:tr>
        <w:trPr>
          <w:trHeight w:val="186"/>
        </w:trPr>
        <w:tc>
          <w:tcPr>
            <w:tcW w:w="4060" w:type="dxa"/>
            <w:vAlign w:val="bottom"/>
            <w:gridSpan w:val="3"/>
            <w:shd w:val="clear" w:color="auto" w:fill="CCEEFF"/>
          </w:tcPr>
          <w:p>
            <w:pPr>
              <w:jc w:val="center"/>
              <w:ind w:left="489"/>
              <w:spacing w:after="0"/>
              <w:rPr>
                <w:sz w:val="20"/>
                <w:szCs w:val="20"/>
                <w:color w:val="auto"/>
              </w:rPr>
            </w:pPr>
            <w:r>
              <w:rPr>
                <w:rFonts w:ascii="Arial" w:cs="Arial" w:eastAsia="Arial" w:hAnsi="Arial"/>
                <w:sz w:val="14"/>
                <w:szCs w:val="14"/>
                <w:color w:val="auto"/>
                <w:w w:val="90"/>
              </w:rPr>
              <w:t>Common stock, par value $0.0001 per share</w:t>
            </w:r>
          </w:p>
        </w:tc>
        <w:tc>
          <w:tcPr>
            <w:tcW w:w="12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center"/>
              <w:ind w:right="760"/>
              <w:spacing w:after="0"/>
              <w:rPr>
                <w:sz w:val="20"/>
                <w:szCs w:val="20"/>
                <w:color w:val="auto"/>
              </w:rPr>
            </w:pPr>
            <w:r>
              <w:rPr>
                <w:rFonts w:ascii="Arial" w:cs="Arial" w:eastAsia="Arial" w:hAnsi="Arial"/>
                <w:sz w:val="14"/>
                <w:szCs w:val="14"/>
                <w:color w:val="auto"/>
                <w:w w:val="92"/>
              </w:rPr>
              <w:t>EOSE</w:t>
            </w:r>
          </w:p>
        </w:tc>
        <w:tc>
          <w:tcPr>
            <w:tcW w:w="7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0"/>
              <w:spacing w:after="0"/>
              <w:rPr>
                <w:sz w:val="20"/>
                <w:szCs w:val="20"/>
                <w:color w:val="auto"/>
              </w:rPr>
            </w:pPr>
            <w:r>
              <w:rPr>
                <w:rFonts w:ascii="Arial" w:cs="Arial" w:eastAsia="Arial" w:hAnsi="Arial"/>
                <w:sz w:val="14"/>
                <w:szCs w:val="14"/>
                <w:color w:val="auto"/>
                <w:w w:val="92"/>
              </w:rPr>
              <w:t>The Nasdaq Stock Market LLC</w:t>
            </w:r>
          </w:p>
        </w:tc>
      </w:tr>
      <w:tr>
        <w:trPr>
          <w:trHeight w:val="180"/>
        </w:trPr>
        <w:tc>
          <w:tcPr>
            <w:tcW w:w="4060" w:type="dxa"/>
            <w:vAlign w:val="bottom"/>
            <w:gridSpan w:val="3"/>
          </w:tcPr>
          <w:p>
            <w:pPr>
              <w:jc w:val="center"/>
              <w:ind w:left="489"/>
              <w:spacing w:after="0"/>
              <w:rPr>
                <w:sz w:val="20"/>
                <w:szCs w:val="20"/>
                <w:color w:val="auto"/>
              </w:rPr>
            </w:pPr>
            <w:r>
              <w:rPr>
                <w:rFonts w:ascii="Arial" w:cs="Arial" w:eastAsia="Arial" w:hAnsi="Arial"/>
                <w:sz w:val="14"/>
                <w:szCs w:val="14"/>
                <w:color w:val="auto"/>
                <w:w w:val="90"/>
              </w:rPr>
              <w:t>Warrants, each exercisable for one share of common stock</w:t>
            </w:r>
          </w:p>
        </w:tc>
        <w:tc>
          <w:tcPr>
            <w:tcW w:w="1200" w:type="dxa"/>
            <w:vAlign w:val="bottom"/>
          </w:tcPr>
          <w:p>
            <w:pPr>
              <w:spacing w:after="0"/>
              <w:rPr>
                <w:sz w:val="15"/>
                <w:szCs w:val="15"/>
                <w:color w:val="auto"/>
              </w:rPr>
            </w:pP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color w:val="auto"/>
                <w:w w:val="91"/>
              </w:rPr>
              <w:t>EOSEW</w:t>
            </w:r>
          </w:p>
        </w:tc>
        <w:tc>
          <w:tcPr>
            <w:tcW w:w="700" w:type="dxa"/>
            <w:vAlign w:val="bottom"/>
          </w:tcPr>
          <w:p>
            <w:pPr>
              <w:spacing w:after="0"/>
              <w:rPr>
                <w:sz w:val="15"/>
                <w:szCs w:val="15"/>
                <w:color w:val="auto"/>
              </w:rPr>
            </w:pPr>
          </w:p>
        </w:tc>
        <w:tc>
          <w:tcPr>
            <w:tcW w:w="342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The Nasdaq Stock Market LLC</w:t>
            </w:r>
          </w:p>
        </w:tc>
      </w:tr>
    </w:tbl>
    <w:p>
      <w:pPr>
        <w:spacing w:after="0" w:line="159" w:lineRule="exact"/>
        <w:rPr>
          <w:sz w:val="24"/>
          <w:szCs w:val="24"/>
          <w:color w:val="auto"/>
        </w:rPr>
      </w:pPr>
    </w:p>
    <w:p>
      <w:pPr>
        <w:ind w:right="12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44" w:lineRule="exact"/>
        <w:rPr>
          <w:sz w:val="24"/>
          <w:szCs w:val="24"/>
          <w:color w:val="auto"/>
        </w:rPr>
      </w:pPr>
    </w:p>
    <w:p>
      <w:pPr>
        <w:spacing w:after="0" w:line="18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144"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3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8"/>
        </w:trPr>
        <w:tc>
          <w:tcPr>
            <w:tcW w:w="314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31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46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0"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40" w:lineRule="exact"/>
        <w:rPr>
          <w:sz w:val="24"/>
          <w:szCs w:val="24"/>
          <w:color w:val="auto"/>
        </w:rPr>
      </w:pPr>
    </w:p>
    <w:p>
      <w:pPr>
        <w:spacing w:after="0" w:line="161" w:lineRule="exact"/>
        <w:tabs>
          <w:tab w:leader="none" w:pos="5980" w:val="left"/>
          <w:tab w:leader="none" w:pos="6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Arial" w:cs="Arial" w:eastAsia="Arial" w:hAnsi="Arial"/>
          <w:sz w:val="14"/>
          <w:szCs w:val="14"/>
          <w:color w:val="auto"/>
        </w:rPr>
        <w:tab/>
        <w:t>No x</w:t>
      </w:r>
    </w:p>
    <w:p>
      <w:pPr>
        <w:spacing w:after="0" w:line="189" w:lineRule="exact"/>
        <w:rPr>
          <w:sz w:val="24"/>
          <w:szCs w:val="24"/>
          <w:color w:val="auto"/>
        </w:rPr>
      </w:pPr>
    </w:p>
    <w:p>
      <w:pPr>
        <w:ind w:left="380"/>
        <w:spacing w:after="0"/>
        <w:rPr>
          <w:sz w:val="20"/>
          <w:szCs w:val="20"/>
          <w:color w:val="auto"/>
        </w:rPr>
      </w:pPr>
      <w:r>
        <w:rPr>
          <w:rFonts w:ascii="Arial" w:cs="Arial" w:eastAsia="Arial" w:hAnsi="Arial"/>
          <w:sz w:val="14"/>
          <w:szCs w:val="14"/>
          <w:color w:val="auto"/>
        </w:rPr>
        <w:t>The registrant had outstanding 54,445,725 shares of common stock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599440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160655</wp:posOffset>
            </wp:positionV>
            <wp:extent cx="69665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6585" cy="698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180975</wp:posOffset>
            </wp:positionV>
            <wp:extent cx="69665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6585" cy="698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9700" w:type="dxa"/>
            <w:vAlign w:val="bottom"/>
          </w:tcPr>
          <w:p>
            <w:pPr>
              <w:ind w:left="4320"/>
              <w:spacing w:after="0"/>
              <w:rPr>
                <w:sz w:val="20"/>
                <w:szCs w:val="20"/>
                <w:color w:val="auto"/>
              </w:rPr>
            </w:pPr>
            <w:r>
              <w:rPr>
                <w:rFonts w:ascii="Arial" w:cs="Arial" w:eastAsia="Arial" w:hAnsi="Arial"/>
                <w:sz w:val="14"/>
                <w:szCs w:val="14"/>
                <w:b w:val="1"/>
                <w:bCs w:val="1"/>
                <w:color w:val="auto"/>
              </w:rPr>
              <w:t>Table of Contents</w:t>
            </w:r>
          </w:p>
        </w:tc>
        <w:tc>
          <w:tcPr>
            <w:tcW w:w="780" w:type="dxa"/>
            <w:vAlign w:val="bottom"/>
          </w:tcPr>
          <w:p>
            <w:pPr>
              <w:spacing w:after="0"/>
              <w:rPr>
                <w:sz w:val="16"/>
                <w:szCs w:val="16"/>
                <w:color w:val="auto"/>
              </w:rPr>
            </w:pPr>
          </w:p>
        </w:tc>
      </w:tr>
      <w:tr>
        <w:trPr>
          <w:trHeight w:val="202"/>
        </w:trPr>
        <w:tc>
          <w:tcPr>
            <w:tcW w:w="800" w:type="dxa"/>
            <w:vAlign w:val="bottom"/>
          </w:tcPr>
          <w:p>
            <w:pPr>
              <w:spacing w:after="0"/>
              <w:rPr>
                <w:sz w:val="17"/>
                <w:szCs w:val="17"/>
                <w:color w:val="auto"/>
              </w:rPr>
            </w:pPr>
          </w:p>
        </w:tc>
        <w:tc>
          <w:tcPr>
            <w:tcW w:w="9700" w:type="dxa"/>
            <w:vAlign w:val="bottom"/>
          </w:tcPr>
          <w:p>
            <w:pPr>
              <w:spacing w:after="0"/>
              <w:rPr>
                <w:sz w:val="17"/>
                <w:szCs w:val="17"/>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auto"/>
              </w:rPr>
              <w:t>Page</w:t>
            </w:r>
          </w:p>
        </w:tc>
      </w:tr>
      <w:tr>
        <w:trPr>
          <w:trHeight w:val="181"/>
        </w:trPr>
        <w:tc>
          <w:tcPr>
            <w:tcW w:w="800" w:type="dxa"/>
            <w:vAlign w:val="bottom"/>
            <w:shd w:val="clear" w:color="auto" w:fill="CCEEFF"/>
          </w:tcPr>
          <w:p>
            <w:pPr>
              <w:spacing w:after="0"/>
              <w:rPr>
                <w:sz w:val="15"/>
                <w:szCs w:val="15"/>
                <w:color w:val="auto"/>
              </w:rPr>
            </w:pPr>
          </w:p>
        </w:tc>
        <w:tc>
          <w:tcPr>
            <w:tcW w:w="9700" w:type="dxa"/>
            <w:vAlign w:val="bottom"/>
            <w:shd w:val="clear" w:color="auto" w:fill="CCEEFF"/>
          </w:tcPr>
          <w:p>
            <w:pPr>
              <w:ind w:left="3740"/>
              <w:spacing w:after="0"/>
              <w:rPr>
                <w:rFonts w:ascii="Arial" w:cs="Arial" w:eastAsia="Arial" w:hAnsi="Arial"/>
                <w:sz w:val="14"/>
                <w:szCs w:val="14"/>
                <w:color w:val="auto"/>
              </w:rPr>
            </w:pPr>
            <w:hyperlink w:anchor="page2">
              <w:r>
                <w:rPr>
                  <w:rFonts w:ascii="Arial" w:cs="Arial" w:eastAsia="Arial" w:hAnsi="Arial"/>
                  <w:sz w:val="14"/>
                  <w:szCs w:val="14"/>
                  <w:color w:val="auto"/>
                </w:rPr>
                <w:t>PART I - FINANCIAL INFORMATION</w:t>
              </w:r>
            </w:hyperlink>
          </w:p>
        </w:tc>
        <w:tc>
          <w:tcPr>
            <w:tcW w:w="780" w:type="dxa"/>
            <w:vAlign w:val="bottom"/>
            <w:shd w:val="clear" w:color="auto" w:fill="CCEEFF"/>
          </w:tcPr>
          <w:p>
            <w:pPr>
              <w:spacing w:after="0"/>
              <w:rPr>
                <w:sz w:val="15"/>
                <w:szCs w:val="15"/>
                <w:color w:val="auto"/>
              </w:rPr>
            </w:pPr>
          </w:p>
        </w:tc>
      </w:tr>
      <w:tr>
        <w:trPr>
          <w:trHeight w:val="180"/>
        </w:trPr>
        <w:tc>
          <w:tcPr>
            <w:tcW w:w="800" w:type="dxa"/>
            <w:vAlign w:val="bottom"/>
          </w:tcPr>
          <w:p>
            <w:pPr>
              <w:ind w:left="20"/>
              <w:spacing w:after="0"/>
              <w:rPr>
                <w:rFonts w:ascii="Arial" w:cs="Arial" w:eastAsia="Arial" w:hAnsi="Arial"/>
                <w:sz w:val="14"/>
                <w:szCs w:val="14"/>
                <w:color w:val="auto"/>
              </w:rPr>
            </w:pPr>
            <w:hyperlink w:anchor="page2">
              <w:r>
                <w:rPr>
                  <w:rFonts w:ascii="Arial" w:cs="Arial" w:eastAsia="Arial" w:hAnsi="Arial"/>
                  <w:sz w:val="14"/>
                  <w:szCs w:val="14"/>
                  <w:color w:val="auto"/>
                </w:rPr>
                <w:t>Item 1.</w:t>
              </w:r>
            </w:hyperlink>
          </w:p>
        </w:tc>
        <w:tc>
          <w:tcPr>
            <w:tcW w:w="9700" w:type="dxa"/>
            <w:vAlign w:val="bottom"/>
          </w:tcPr>
          <w:p>
            <w:pPr>
              <w:ind w:left="180"/>
              <w:spacing w:after="0"/>
              <w:rPr>
                <w:rFonts w:ascii="Arial" w:cs="Arial" w:eastAsia="Arial" w:hAnsi="Arial"/>
                <w:sz w:val="14"/>
                <w:szCs w:val="14"/>
                <w:color w:val="auto"/>
              </w:rPr>
            </w:pPr>
            <w:hyperlink w:anchor="page2">
              <w:r>
                <w:rPr>
                  <w:rFonts w:ascii="Arial" w:cs="Arial" w:eastAsia="Arial" w:hAnsi="Arial"/>
                  <w:sz w:val="14"/>
                  <w:szCs w:val="14"/>
                  <w:color w:val="auto"/>
                </w:rPr>
                <w:t>Financial Statements</w:t>
              </w:r>
            </w:hyperlink>
          </w:p>
        </w:tc>
        <w:tc>
          <w:tcPr>
            <w:tcW w:w="780" w:type="dxa"/>
            <w:vAlign w:val="bottom"/>
          </w:tcPr>
          <w:p>
            <w:pPr>
              <w:jc w:val="center"/>
              <w:spacing w:after="0"/>
              <w:rPr>
                <w:rFonts w:ascii="Arial" w:cs="Arial" w:eastAsia="Arial" w:hAnsi="Arial"/>
                <w:sz w:val="14"/>
                <w:szCs w:val="14"/>
                <w:color w:val="auto"/>
              </w:rPr>
            </w:pPr>
            <w:hyperlink w:anchor="page2">
              <w:r>
                <w:rPr>
                  <w:rFonts w:ascii="Arial" w:cs="Arial" w:eastAsia="Arial" w:hAnsi="Arial"/>
                  <w:sz w:val="14"/>
                  <w:szCs w:val="14"/>
                  <w:color w:val="auto"/>
                </w:rPr>
                <w:t>1</w:t>
              </w:r>
            </w:hyperlink>
          </w:p>
        </w:tc>
      </w:tr>
      <w:tr>
        <w:trPr>
          <w:trHeight w:val="181"/>
        </w:trPr>
        <w:tc>
          <w:tcPr>
            <w:tcW w:w="800" w:type="dxa"/>
            <w:vAlign w:val="bottom"/>
            <w:shd w:val="clear" w:color="auto" w:fill="CCEEFF"/>
          </w:tcPr>
          <w:p>
            <w:pPr>
              <w:spacing w:after="0"/>
              <w:rPr>
                <w:sz w:val="15"/>
                <w:szCs w:val="15"/>
                <w:color w:val="auto"/>
              </w:rPr>
            </w:pPr>
          </w:p>
        </w:tc>
        <w:tc>
          <w:tcPr>
            <w:tcW w:w="9700" w:type="dxa"/>
            <w:vAlign w:val="bottom"/>
            <w:shd w:val="clear" w:color="auto" w:fill="CCEEFF"/>
          </w:tcPr>
          <w:p>
            <w:pPr>
              <w:ind w:left="180"/>
              <w:spacing w:after="0"/>
              <w:rPr>
                <w:rFonts w:ascii="Arial" w:cs="Arial" w:eastAsia="Arial" w:hAnsi="Arial"/>
                <w:sz w:val="14"/>
                <w:szCs w:val="14"/>
                <w:color w:val="auto"/>
              </w:rPr>
            </w:pPr>
            <w:hyperlink w:anchor="page2">
              <w:r>
                <w:rPr>
                  <w:rFonts w:ascii="Arial" w:cs="Arial" w:eastAsia="Arial" w:hAnsi="Arial"/>
                  <w:sz w:val="14"/>
                  <w:szCs w:val="14"/>
                  <w:color w:val="auto"/>
                </w:rPr>
                <w:t xml:space="preserve">Condensed Consolidated Balance Sheets As Of </w:t>
              </w:r>
            </w:hyperlink>
            <w:r>
              <w:rPr>
                <w:rFonts w:ascii="Arial" w:cs="Arial" w:eastAsia="Arial" w:hAnsi="Arial"/>
                <w:sz w:val="14"/>
                <w:szCs w:val="14"/>
                <w:color w:val="auto"/>
              </w:rPr>
              <w:t xml:space="preserve">March 31, 2022 </w:t>
            </w:r>
            <w:hyperlink w:anchor="page2">
              <w:r>
                <w:rPr>
                  <w:rFonts w:ascii="Arial" w:cs="Arial" w:eastAsia="Arial" w:hAnsi="Arial"/>
                  <w:sz w:val="14"/>
                  <w:szCs w:val="14"/>
                  <w:color w:val="auto"/>
                </w:rPr>
                <w:t xml:space="preserve">(Unaudited) And </w:t>
              </w:r>
            </w:hyperlink>
            <w:r>
              <w:rPr>
                <w:rFonts w:ascii="Arial" w:cs="Arial" w:eastAsia="Arial" w:hAnsi="Arial"/>
                <w:sz w:val="14"/>
                <w:szCs w:val="14"/>
                <w:color w:val="auto"/>
              </w:rPr>
              <w:t>December 31, 2021</w:t>
            </w:r>
          </w:p>
        </w:tc>
        <w:tc>
          <w:tcPr>
            <w:tcW w:w="780" w:type="dxa"/>
            <w:vAlign w:val="bottom"/>
            <w:shd w:val="clear" w:color="auto" w:fill="CCEEFF"/>
          </w:tcPr>
          <w:p>
            <w:pPr>
              <w:jc w:val="center"/>
              <w:spacing w:after="0"/>
              <w:rPr>
                <w:rFonts w:ascii="Arial" w:cs="Arial" w:eastAsia="Arial" w:hAnsi="Arial"/>
                <w:sz w:val="14"/>
                <w:szCs w:val="14"/>
                <w:color w:val="auto"/>
              </w:rPr>
            </w:pPr>
            <w:hyperlink w:anchor="page2">
              <w:r>
                <w:rPr>
                  <w:rFonts w:ascii="Arial" w:cs="Arial" w:eastAsia="Arial" w:hAnsi="Arial"/>
                  <w:sz w:val="14"/>
                  <w:szCs w:val="14"/>
                  <w:color w:val="auto"/>
                </w:rPr>
                <w:t>2</w:t>
              </w:r>
            </w:hyperlink>
          </w:p>
        </w:tc>
      </w:tr>
      <w:tr>
        <w:trPr>
          <w:trHeight w:val="180"/>
        </w:trPr>
        <w:tc>
          <w:tcPr>
            <w:tcW w:w="800" w:type="dxa"/>
            <w:vAlign w:val="bottom"/>
          </w:tcPr>
          <w:p>
            <w:pPr>
              <w:spacing w:after="0"/>
              <w:rPr>
                <w:sz w:val="15"/>
                <w:szCs w:val="15"/>
                <w:color w:val="auto"/>
              </w:rPr>
            </w:pPr>
          </w:p>
        </w:tc>
        <w:tc>
          <w:tcPr>
            <w:tcW w:w="9700" w:type="dxa"/>
            <w:vAlign w:val="bottom"/>
          </w:tcPr>
          <w:p>
            <w:pPr>
              <w:ind w:left="180"/>
              <w:spacing w:after="0"/>
              <w:rPr>
                <w:rFonts w:ascii="Arial" w:cs="Arial" w:eastAsia="Arial" w:hAnsi="Arial"/>
                <w:sz w:val="14"/>
                <w:szCs w:val="14"/>
                <w:color w:val="auto"/>
              </w:rPr>
            </w:pPr>
            <w:hyperlink w:anchor="page4">
              <w:r>
                <w:rPr>
                  <w:rFonts w:ascii="Arial" w:cs="Arial" w:eastAsia="Arial" w:hAnsi="Arial"/>
                  <w:sz w:val="14"/>
                  <w:szCs w:val="14"/>
                  <w:color w:val="auto"/>
                </w:rPr>
                <w:t xml:space="preserve">Condensed Consolidated Statements Of Operations For The Three Months Ended </w:t>
              </w:r>
            </w:hyperlink>
            <w:r>
              <w:rPr>
                <w:rFonts w:ascii="Arial" w:cs="Arial" w:eastAsia="Arial" w:hAnsi="Arial"/>
                <w:sz w:val="14"/>
                <w:szCs w:val="14"/>
                <w:color w:val="auto"/>
              </w:rPr>
              <w:t xml:space="preserve">March 31, 2022 </w:t>
            </w:r>
            <w:hyperlink w:anchor="page4">
              <w:r>
                <w:rPr>
                  <w:rFonts w:ascii="Arial" w:cs="Arial" w:eastAsia="Arial" w:hAnsi="Arial"/>
                  <w:sz w:val="14"/>
                  <w:szCs w:val="14"/>
                  <w:color w:val="auto"/>
                </w:rPr>
                <w:t xml:space="preserve">(Unaudited) And </w:t>
              </w:r>
            </w:hyperlink>
            <w:r>
              <w:rPr>
                <w:rFonts w:ascii="Arial" w:cs="Arial" w:eastAsia="Arial" w:hAnsi="Arial"/>
                <w:sz w:val="14"/>
                <w:szCs w:val="14"/>
                <w:color w:val="auto"/>
              </w:rPr>
              <w:t xml:space="preserve">March 31, 2021 </w:t>
            </w:r>
            <w:hyperlink w:anchor="page4">
              <w:r>
                <w:rPr>
                  <w:rFonts w:ascii="Arial" w:cs="Arial" w:eastAsia="Arial" w:hAnsi="Arial"/>
                  <w:sz w:val="14"/>
                  <w:szCs w:val="14"/>
                  <w:color w:val="auto"/>
                </w:rPr>
                <w:t>(Unaudited)</w:t>
              </w:r>
            </w:hyperlink>
          </w:p>
        </w:tc>
        <w:tc>
          <w:tcPr>
            <w:tcW w:w="780" w:type="dxa"/>
            <w:vAlign w:val="bottom"/>
          </w:tcPr>
          <w:p>
            <w:pPr>
              <w:jc w:val="center"/>
              <w:spacing w:after="0"/>
              <w:rPr>
                <w:rFonts w:ascii="Arial" w:cs="Arial" w:eastAsia="Arial" w:hAnsi="Arial"/>
                <w:sz w:val="14"/>
                <w:szCs w:val="14"/>
                <w:color w:val="auto"/>
              </w:rPr>
            </w:pPr>
            <w:hyperlink w:anchor="page4">
              <w:r>
                <w:rPr>
                  <w:rFonts w:ascii="Arial" w:cs="Arial" w:eastAsia="Arial" w:hAnsi="Arial"/>
                  <w:sz w:val="14"/>
                  <w:szCs w:val="14"/>
                  <w:color w:val="auto"/>
                </w:rPr>
                <w:t>4</w:t>
              </w:r>
            </w:hyperlink>
          </w:p>
        </w:tc>
      </w:tr>
      <w:tr>
        <w:trPr>
          <w:trHeight w:val="181"/>
        </w:trPr>
        <w:tc>
          <w:tcPr>
            <w:tcW w:w="800" w:type="dxa"/>
            <w:vAlign w:val="bottom"/>
            <w:shd w:val="clear" w:color="auto" w:fill="CCEEFF"/>
          </w:tcPr>
          <w:p>
            <w:pPr>
              <w:spacing w:after="0"/>
              <w:rPr>
                <w:sz w:val="15"/>
                <w:szCs w:val="15"/>
                <w:color w:val="auto"/>
              </w:rPr>
            </w:pPr>
          </w:p>
        </w:tc>
        <w:tc>
          <w:tcPr>
            <w:tcW w:w="9700" w:type="dxa"/>
            <w:vAlign w:val="bottom"/>
            <w:shd w:val="clear" w:color="auto" w:fill="CCEEFF"/>
          </w:tcPr>
          <w:p>
            <w:pPr>
              <w:ind w:left="180"/>
              <w:spacing w:after="0"/>
              <w:rPr>
                <w:rFonts w:ascii="Arial" w:cs="Arial" w:eastAsia="Arial" w:hAnsi="Arial"/>
                <w:sz w:val="14"/>
                <w:szCs w:val="14"/>
                <w:color w:val="auto"/>
                <w:w w:val="94"/>
              </w:rPr>
            </w:pPr>
            <w:hyperlink w:anchor="page5">
              <w:r>
                <w:rPr>
                  <w:rFonts w:ascii="Arial" w:cs="Arial" w:eastAsia="Arial" w:hAnsi="Arial"/>
                  <w:sz w:val="14"/>
                  <w:szCs w:val="14"/>
                  <w:color w:val="auto"/>
                  <w:w w:val="94"/>
                </w:rPr>
                <w:t xml:space="preserve">Condensed Consolidated Statements Of Shareholders’ Equity (Deficit) For The Three Months Ended </w:t>
              </w:r>
            </w:hyperlink>
            <w:r>
              <w:rPr>
                <w:rFonts w:ascii="Arial" w:cs="Arial" w:eastAsia="Arial" w:hAnsi="Arial"/>
                <w:sz w:val="14"/>
                <w:szCs w:val="14"/>
                <w:color w:val="auto"/>
                <w:w w:val="94"/>
              </w:rPr>
              <w:t xml:space="preserve">March 31, 2022 </w:t>
            </w:r>
            <w:hyperlink w:anchor="page4">
              <w:r>
                <w:rPr>
                  <w:rFonts w:ascii="Arial" w:cs="Arial" w:eastAsia="Arial" w:hAnsi="Arial"/>
                  <w:sz w:val="14"/>
                  <w:szCs w:val="14"/>
                  <w:color w:val="auto"/>
                  <w:w w:val="94"/>
                </w:rPr>
                <w:t xml:space="preserve">(Unaudited) And </w:t>
              </w:r>
            </w:hyperlink>
            <w:r>
              <w:rPr>
                <w:rFonts w:ascii="Arial" w:cs="Arial" w:eastAsia="Arial" w:hAnsi="Arial"/>
                <w:sz w:val="14"/>
                <w:szCs w:val="14"/>
                <w:color w:val="auto"/>
                <w:w w:val="94"/>
              </w:rPr>
              <w:t xml:space="preserve">March 31, 2021 </w:t>
            </w:r>
            <w:hyperlink w:anchor="page4">
              <w:r>
                <w:rPr>
                  <w:rFonts w:ascii="Arial" w:cs="Arial" w:eastAsia="Arial" w:hAnsi="Arial"/>
                  <w:sz w:val="14"/>
                  <w:szCs w:val="14"/>
                  <w:color w:val="auto"/>
                  <w:w w:val="94"/>
                </w:rPr>
                <w:t>(Unaudited)</w:t>
              </w:r>
            </w:hyperlink>
          </w:p>
        </w:tc>
        <w:tc>
          <w:tcPr>
            <w:tcW w:w="780" w:type="dxa"/>
            <w:vAlign w:val="bottom"/>
            <w:shd w:val="clear" w:color="auto" w:fill="CCEEFF"/>
          </w:tcPr>
          <w:p>
            <w:pPr>
              <w:jc w:val="center"/>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180"/>
        </w:trPr>
        <w:tc>
          <w:tcPr>
            <w:tcW w:w="800" w:type="dxa"/>
            <w:vAlign w:val="bottom"/>
          </w:tcPr>
          <w:p>
            <w:pPr>
              <w:spacing w:after="0"/>
              <w:rPr>
                <w:sz w:val="15"/>
                <w:szCs w:val="15"/>
                <w:color w:val="auto"/>
              </w:rPr>
            </w:pPr>
          </w:p>
        </w:tc>
        <w:tc>
          <w:tcPr>
            <w:tcW w:w="9700" w:type="dxa"/>
            <w:vAlign w:val="bottom"/>
          </w:tcPr>
          <w:p>
            <w:pPr>
              <w:ind w:left="180"/>
              <w:spacing w:after="0"/>
              <w:rPr>
                <w:rFonts w:ascii="Arial" w:cs="Arial" w:eastAsia="Arial" w:hAnsi="Arial"/>
                <w:sz w:val="14"/>
                <w:szCs w:val="14"/>
                <w:color w:val="auto"/>
              </w:rPr>
            </w:pPr>
            <w:hyperlink w:anchor="page6">
              <w:r>
                <w:rPr>
                  <w:rFonts w:ascii="Arial" w:cs="Arial" w:eastAsia="Arial" w:hAnsi="Arial"/>
                  <w:sz w:val="14"/>
                  <w:szCs w:val="14"/>
                  <w:color w:val="auto"/>
                </w:rPr>
                <w:t xml:space="preserve">Condensed Consolidated Statements Of Cash Flows For </w:t>
              </w:r>
            </w:hyperlink>
            <w:hyperlink w:anchor="page5">
              <w:r>
                <w:rPr>
                  <w:rFonts w:ascii="Arial" w:cs="Arial" w:eastAsia="Arial" w:hAnsi="Arial"/>
                  <w:sz w:val="14"/>
                  <w:szCs w:val="14"/>
                  <w:color w:val="auto"/>
                </w:rPr>
                <w:t xml:space="preserve">The Three Months Ended </w:t>
              </w:r>
            </w:hyperlink>
            <w:r>
              <w:rPr>
                <w:rFonts w:ascii="Arial" w:cs="Arial" w:eastAsia="Arial" w:hAnsi="Arial"/>
                <w:sz w:val="14"/>
                <w:szCs w:val="14"/>
                <w:color w:val="auto"/>
              </w:rPr>
              <w:t xml:space="preserve">March 31, 2022 </w:t>
            </w:r>
            <w:hyperlink w:anchor="page4">
              <w:r>
                <w:rPr>
                  <w:rFonts w:ascii="Arial" w:cs="Arial" w:eastAsia="Arial" w:hAnsi="Arial"/>
                  <w:sz w:val="14"/>
                  <w:szCs w:val="14"/>
                  <w:color w:val="auto"/>
                </w:rPr>
                <w:t xml:space="preserve">(Unaudited) And </w:t>
              </w:r>
            </w:hyperlink>
            <w:r>
              <w:rPr>
                <w:rFonts w:ascii="Arial" w:cs="Arial" w:eastAsia="Arial" w:hAnsi="Arial"/>
                <w:sz w:val="14"/>
                <w:szCs w:val="14"/>
                <w:color w:val="auto"/>
              </w:rPr>
              <w:t xml:space="preserve">March 31, 2021 </w:t>
            </w:r>
            <w:hyperlink w:anchor="page4">
              <w:r>
                <w:rPr>
                  <w:rFonts w:ascii="Arial" w:cs="Arial" w:eastAsia="Arial" w:hAnsi="Arial"/>
                  <w:sz w:val="14"/>
                  <w:szCs w:val="14"/>
                  <w:color w:val="auto"/>
                </w:rPr>
                <w:t>(Unaudited)</w:t>
              </w:r>
            </w:hyperlink>
          </w:p>
        </w:tc>
        <w:tc>
          <w:tcPr>
            <w:tcW w:w="780" w:type="dxa"/>
            <w:vAlign w:val="bottom"/>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6</w:t>
              </w:r>
            </w:hyperlink>
          </w:p>
        </w:tc>
      </w:tr>
      <w:tr>
        <w:trPr>
          <w:trHeight w:val="181"/>
        </w:trPr>
        <w:tc>
          <w:tcPr>
            <w:tcW w:w="800" w:type="dxa"/>
            <w:vAlign w:val="bottom"/>
            <w:shd w:val="clear" w:color="auto" w:fill="CCEEFF"/>
          </w:tcPr>
          <w:p>
            <w:pPr>
              <w:spacing w:after="0"/>
              <w:rPr>
                <w:sz w:val="15"/>
                <w:szCs w:val="15"/>
                <w:color w:val="auto"/>
              </w:rPr>
            </w:pPr>
          </w:p>
        </w:tc>
        <w:tc>
          <w:tcPr>
            <w:tcW w:w="9700" w:type="dxa"/>
            <w:vAlign w:val="bottom"/>
            <w:shd w:val="clear" w:color="auto" w:fill="CCEEFF"/>
          </w:tcPr>
          <w:p>
            <w:pPr>
              <w:ind w:left="180"/>
              <w:spacing w:after="0"/>
              <w:rPr>
                <w:rFonts w:ascii="Arial" w:cs="Arial" w:eastAsia="Arial" w:hAnsi="Arial"/>
                <w:sz w:val="14"/>
                <w:szCs w:val="14"/>
                <w:color w:val="auto"/>
              </w:rPr>
            </w:pPr>
            <w:hyperlink w:anchor="page8">
              <w:r>
                <w:rPr>
                  <w:rFonts w:ascii="Arial" w:cs="Arial" w:eastAsia="Arial" w:hAnsi="Arial"/>
                  <w:sz w:val="14"/>
                  <w:szCs w:val="14"/>
                  <w:color w:val="auto"/>
                </w:rPr>
                <w:t>Notes To Unaudited Condensed Consolidated Financial Statements</w:t>
              </w:r>
            </w:hyperlink>
          </w:p>
        </w:tc>
        <w:tc>
          <w:tcPr>
            <w:tcW w:w="780" w:type="dxa"/>
            <w:vAlign w:val="bottom"/>
            <w:shd w:val="clear" w:color="auto" w:fill="CCEEFF"/>
          </w:tcPr>
          <w:p>
            <w:pPr>
              <w:jc w:val="center"/>
              <w:spacing w:after="0"/>
              <w:rPr>
                <w:rFonts w:ascii="Arial" w:cs="Arial" w:eastAsia="Arial" w:hAnsi="Arial"/>
                <w:sz w:val="14"/>
                <w:szCs w:val="14"/>
                <w:color w:val="auto"/>
              </w:rPr>
            </w:pPr>
            <w:hyperlink w:anchor="page8">
              <w:r>
                <w:rPr>
                  <w:rFonts w:ascii="Arial" w:cs="Arial" w:eastAsia="Arial" w:hAnsi="Arial"/>
                  <w:sz w:val="14"/>
                  <w:szCs w:val="14"/>
                  <w:color w:val="auto"/>
                </w:rPr>
                <w:t>8</w:t>
              </w:r>
            </w:hyperlink>
          </w:p>
        </w:tc>
      </w:tr>
      <w:tr>
        <w:trPr>
          <w:trHeight w:val="180"/>
        </w:trPr>
        <w:tc>
          <w:tcPr>
            <w:tcW w:w="800" w:type="dxa"/>
            <w:vAlign w:val="bottom"/>
          </w:tcPr>
          <w:p>
            <w:pPr>
              <w:ind w:left="20"/>
              <w:spacing w:after="0"/>
              <w:rPr>
                <w:rFonts w:ascii="Arial" w:cs="Arial" w:eastAsia="Arial" w:hAnsi="Arial"/>
                <w:sz w:val="14"/>
                <w:szCs w:val="14"/>
                <w:color w:val="auto"/>
              </w:rPr>
            </w:pPr>
            <w:hyperlink w:anchor="page25">
              <w:r>
                <w:rPr>
                  <w:rFonts w:ascii="Arial" w:cs="Arial" w:eastAsia="Arial" w:hAnsi="Arial"/>
                  <w:sz w:val="14"/>
                  <w:szCs w:val="14"/>
                  <w:color w:val="auto"/>
                </w:rPr>
                <w:t>Item 2.</w:t>
              </w:r>
            </w:hyperlink>
          </w:p>
        </w:tc>
        <w:tc>
          <w:tcPr>
            <w:tcW w:w="9700" w:type="dxa"/>
            <w:vAlign w:val="bottom"/>
          </w:tcPr>
          <w:p>
            <w:pPr>
              <w:ind w:left="180"/>
              <w:spacing w:after="0"/>
              <w:rPr>
                <w:rFonts w:ascii="Arial" w:cs="Arial" w:eastAsia="Arial" w:hAnsi="Arial"/>
                <w:sz w:val="14"/>
                <w:szCs w:val="14"/>
                <w:color w:val="auto"/>
              </w:rPr>
            </w:pPr>
            <w:hyperlink w:anchor="page25">
              <w:r>
                <w:rPr>
                  <w:rFonts w:ascii="Arial" w:cs="Arial" w:eastAsia="Arial" w:hAnsi="Arial"/>
                  <w:sz w:val="14"/>
                  <w:szCs w:val="14"/>
                  <w:color w:val="auto"/>
                </w:rPr>
                <w:t>Management's Discussion And Analysis Of Financial Condition And Results Of Operations</w:t>
              </w:r>
            </w:hyperlink>
          </w:p>
        </w:tc>
        <w:tc>
          <w:tcPr>
            <w:tcW w:w="780" w:type="dxa"/>
            <w:vAlign w:val="bottom"/>
          </w:tcPr>
          <w:p>
            <w:pPr>
              <w:jc w:val="center"/>
              <w:ind w:right="9"/>
              <w:spacing w:after="0"/>
              <w:rPr>
                <w:rFonts w:ascii="Arial" w:cs="Arial" w:eastAsia="Arial" w:hAnsi="Arial"/>
                <w:sz w:val="14"/>
                <w:szCs w:val="14"/>
                <w:color w:val="auto"/>
                <w:w w:val="89"/>
              </w:rPr>
            </w:pPr>
            <w:hyperlink w:anchor="page25">
              <w:r>
                <w:rPr>
                  <w:rFonts w:ascii="Arial" w:cs="Arial" w:eastAsia="Arial" w:hAnsi="Arial"/>
                  <w:sz w:val="14"/>
                  <w:szCs w:val="14"/>
                  <w:color w:val="auto"/>
                  <w:w w:val="89"/>
                </w:rPr>
                <w:t>25</w:t>
              </w:r>
            </w:hyperlink>
          </w:p>
        </w:tc>
      </w:tr>
      <w:tr>
        <w:trPr>
          <w:trHeight w:val="181"/>
        </w:trPr>
        <w:tc>
          <w:tcPr>
            <w:tcW w:w="800" w:type="dxa"/>
            <w:vAlign w:val="bottom"/>
            <w:shd w:val="clear" w:color="auto" w:fill="CCEEFF"/>
          </w:tcPr>
          <w:p>
            <w:pPr>
              <w:ind w:left="20"/>
              <w:spacing w:after="0"/>
              <w:rPr>
                <w:rFonts w:ascii="Arial" w:cs="Arial" w:eastAsia="Arial" w:hAnsi="Arial"/>
                <w:sz w:val="14"/>
                <w:szCs w:val="14"/>
                <w:color w:val="auto"/>
              </w:rPr>
            </w:pPr>
            <w:hyperlink w:anchor="page33">
              <w:r>
                <w:rPr>
                  <w:rFonts w:ascii="Arial" w:cs="Arial" w:eastAsia="Arial" w:hAnsi="Arial"/>
                  <w:sz w:val="14"/>
                  <w:szCs w:val="14"/>
                  <w:color w:val="auto"/>
                </w:rPr>
                <w:t>Item 3.</w:t>
              </w:r>
            </w:hyperlink>
          </w:p>
        </w:tc>
        <w:tc>
          <w:tcPr>
            <w:tcW w:w="9700" w:type="dxa"/>
            <w:vAlign w:val="bottom"/>
            <w:shd w:val="clear" w:color="auto" w:fill="CCEEFF"/>
          </w:tcPr>
          <w:p>
            <w:pPr>
              <w:ind w:left="180"/>
              <w:spacing w:after="0"/>
              <w:rPr>
                <w:rFonts w:ascii="Arial" w:cs="Arial" w:eastAsia="Arial" w:hAnsi="Arial"/>
                <w:sz w:val="14"/>
                <w:szCs w:val="14"/>
                <w:color w:val="auto"/>
              </w:rPr>
            </w:pPr>
            <w:hyperlink w:anchor="page33">
              <w:r>
                <w:rPr>
                  <w:rFonts w:ascii="Arial" w:cs="Arial" w:eastAsia="Arial" w:hAnsi="Arial"/>
                  <w:sz w:val="14"/>
                  <w:szCs w:val="14"/>
                  <w:color w:val="auto"/>
                </w:rPr>
                <w:t>Quantitative And Qualitative Disclosures About Market Risk</w:t>
              </w:r>
            </w:hyperlink>
          </w:p>
        </w:tc>
        <w:tc>
          <w:tcPr>
            <w:tcW w:w="780" w:type="dxa"/>
            <w:vAlign w:val="bottom"/>
            <w:shd w:val="clear" w:color="auto" w:fill="CCEEFF"/>
          </w:tcPr>
          <w:p>
            <w:pPr>
              <w:jc w:val="center"/>
              <w:ind w:right="9"/>
              <w:spacing w:after="0"/>
              <w:rPr>
                <w:rFonts w:ascii="Arial" w:cs="Arial" w:eastAsia="Arial" w:hAnsi="Arial"/>
                <w:sz w:val="14"/>
                <w:szCs w:val="14"/>
                <w:color w:val="auto"/>
                <w:w w:val="89"/>
              </w:rPr>
            </w:pPr>
            <w:hyperlink w:anchor="page33">
              <w:r>
                <w:rPr>
                  <w:rFonts w:ascii="Arial" w:cs="Arial" w:eastAsia="Arial" w:hAnsi="Arial"/>
                  <w:sz w:val="14"/>
                  <w:szCs w:val="14"/>
                  <w:color w:val="auto"/>
                  <w:w w:val="89"/>
                </w:rPr>
                <w:t>33</w:t>
              </w:r>
            </w:hyperlink>
          </w:p>
        </w:tc>
      </w:tr>
      <w:tr>
        <w:trPr>
          <w:trHeight w:val="180"/>
        </w:trPr>
        <w:tc>
          <w:tcPr>
            <w:tcW w:w="800" w:type="dxa"/>
            <w:vAlign w:val="bottom"/>
          </w:tcPr>
          <w:p>
            <w:pPr>
              <w:ind w:left="20"/>
              <w:spacing w:after="0"/>
              <w:rPr>
                <w:rFonts w:ascii="Arial" w:cs="Arial" w:eastAsia="Arial" w:hAnsi="Arial"/>
                <w:sz w:val="14"/>
                <w:szCs w:val="14"/>
                <w:color w:val="auto"/>
              </w:rPr>
            </w:pPr>
            <w:hyperlink w:anchor="page34">
              <w:r>
                <w:rPr>
                  <w:rFonts w:ascii="Arial" w:cs="Arial" w:eastAsia="Arial" w:hAnsi="Arial"/>
                  <w:sz w:val="14"/>
                  <w:szCs w:val="14"/>
                  <w:color w:val="auto"/>
                </w:rPr>
                <w:t>Item 4.</w:t>
              </w:r>
            </w:hyperlink>
          </w:p>
        </w:tc>
        <w:tc>
          <w:tcPr>
            <w:tcW w:w="9700" w:type="dxa"/>
            <w:vAlign w:val="bottom"/>
          </w:tcPr>
          <w:p>
            <w:pPr>
              <w:ind w:left="180"/>
              <w:spacing w:after="0"/>
              <w:rPr>
                <w:rFonts w:ascii="Arial" w:cs="Arial" w:eastAsia="Arial" w:hAnsi="Arial"/>
                <w:sz w:val="14"/>
                <w:szCs w:val="14"/>
                <w:color w:val="auto"/>
              </w:rPr>
            </w:pPr>
            <w:hyperlink w:anchor="page34">
              <w:r>
                <w:rPr>
                  <w:rFonts w:ascii="Arial" w:cs="Arial" w:eastAsia="Arial" w:hAnsi="Arial"/>
                  <w:sz w:val="14"/>
                  <w:szCs w:val="14"/>
                  <w:color w:val="auto"/>
                </w:rPr>
                <w:t>Controls And Procedures</w:t>
              </w:r>
            </w:hyperlink>
          </w:p>
        </w:tc>
        <w:tc>
          <w:tcPr>
            <w:tcW w:w="780" w:type="dxa"/>
            <w:vAlign w:val="bottom"/>
          </w:tcPr>
          <w:p>
            <w:pPr>
              <w:jc w:val="center"/>
              <w:ind w:right="9"/>
              <w:spacing w:after="0"/>
              <w:rPr>
                <w:rFonts w:ascii="Arial" w:cs="Arial" w:eastAsia="Arial" w:hAnsi="Arial"/>
                <w:sz w:val="14"/>
                <w:szCs w:val="14"/>
                <w:color w:val="auto"/>
                <w:w w:val="89"/>
              </w:rPr>
            </w:pPr>
            <w:hyperlink w:anchor="page34">
              <w:r>
                <w:rPr>
                  <w:rFonts w:ascii="Arial" w:cs="Arial" w:eastAsia="Arial" w:hAnsi="Arial"/>
                  <w:sz w:val="14"/>
                  <w:szCs w:val="14"/>
                  <w:color w:val="auto"/>
                  <w:w w:val="89"/>
                </w:rPr>
                <w:t>33</w:t>
              </w:r>
            </w:hyperlink>
          </w:p>
        </w:tc>
      </w:tr>
      <w:tr>
        <w:trPr>
          <w:trHeight w:val="202"/>
        </w:trPr>
        <w:tc>
          <w:tcPr>
            <w:tcW w:w="800" w:type="dxa"/>
            <w:vAlign w:val="bottom"/>
            <w:shd w:val="clear" w:color="auto" w:fill="CCEEFF"/>
          </w:tcPr>
          <w:p>
            <w:pPr>
              <w:spacing w:after="0"/>
              <w:rPr>
                <w:sz w:val="17"/>
                <w:szCs w:val="17"/>
                <w:color w:val="auto"/>
              </w:rPr>
            </w:pPr>
          </w:p>
        </w:tc>
        <w:tc>
          <w:tcPr>
            <w:tcW w:w="9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0"/>
        </w:trPr>
        <w:tc>
          <w:tcPr>
            <w:tcW w:w="800" w:type="dxa"/>
            <w:vAlign w:val="bottom"/>
          </w:tcPr>
          <w:p>
            <w:pPr>
              <w:spacing w:after="0"/>
              <w:rPr>
                <w:sz w:val="15"/>
                <w:szCs w:val="15"/>
                <w:color w:val="auto"/>
              </w:rPr>
            </w:pPr>
          </w:p>
        </w:tc>
        <w:tc>
          <w:tcPr>
            <w:tcW w:w="9700" w:type="dxa"/>
            <w:vAlign w:val="bottom"/>
          </w:tcPr>
          <w:p>
            <w:pPr>
              <w:ind w:left="3860"/>
              <w:spacing w:after="0"/>
              <w:rPr>
                <w:rFonts w:ascii="Arial" w:cs="Arial" w:eastAsia="Arial" w:hAnsi="Arial"/>
                <w:sz w:val="14"/>
                <w:szCs w:val="14"/>
                <w:color w:val="auto"/>
              </w:rPr>
            </w:pPr>
            <w:hyperlink w:anchor="page34">
              <w:r>
                <w:rPr>
                  <w:rFonts w:ascii="Arial" w:cs="Arial" w:eastAsia="Arial" w:hAnsi="Arial"/>
                  <w:sz w:val="14"/>
                  <w:szCs w:val="14"/>
                  <w:color w:val="auto"/>
                </w:rPr>
                <w:t>PART II - OTHER INFORMATION</w:t>
              </w:r>
            </w:hyperlink>
          </w:p>
        </w:tc>
        <w:tc>
          <w:tcPr>
            <w:tcW w:w="780" w:type="dxa"/>
            <w:vAlign w:val="bottom"/>
          </w:tcPr>
          <w:p>
            <w:pPr>
              <w:spacing w:after="0"/>
              <w:rPr>
                <w:sz w:val="15"/>
                <w:szCs w:val="15"/>
                <w:color w:val="auto"/>
              </w:rPr>
            </w:pPr>
          </w:p>
        </w:tc>
      </w:tr>
      <w:tr>
        <w:trPr>
          <w:trHeight w:val="181"/>
        </w:trPr>
        <w:tc>
          <w:tcPr>
            <w:tcW w:w="800" w:type="dxa"/>
            <w:vAlign w:val="bottom"/>
            <w:shd w:val="clear" w:color="auto" w:fill="CCEEFF"/>
          </w:tcPr>
          <w:p>
            <w:pPr>
              <w:ind w:left="20"/>
              <w:spacing w:after="0"/>
              <w:rPr>
                <w:rFonts w:ascii="Arial" w:cs="Arial" w:eastAsia="Arial" w:hAnsi="Arial"/>
                <w:sz w:val="14"/>
                <w:szCs w:val="14"/>
                <w:color w:val="auto"/>
              </w:rPr>
            </w:pPr>
            <w:hyperlink w:anchor="page34">
              <w:r>
                <w:rPr>
                  <w:rFonts w:ascii="Arial" w:cs="Arial" w:eastAsia="Arial" w:hAnsi="Arial"/>
                  <w:sz w:val="14"/>
                  <w:szCs w:val="14"/>
                  <w:color w:val="auto"/>
                </w:rPr>
                <w:t xml:space="preserve">Item </w:t>
              </w:r>
            </w:hyperlink>
            <w:r>
              <w:rPr>
                <w:rFonts w:ascii="Arial" w:cs="Arial" w:eastAsia="Arial" w:hAnsi="Arial"/>
                <w:sz w:val="14"/>
                <w:szCs w:val="14"/>
                <w:color w:val="auto"/>
              </w:rPr>
              <w:t>1.</w:t>
            </w:r>
          </w:p>
        </w:tc>
        <w:tc>
          <w:tcPr>
            <w:tcW w:w="9700" w:type="dxa"/>
            <w:vAlign w:val="bottom"/>
            <w:shd w:val="clear" w:color="auto" w:fill="CCEEFF"/>
          </w:tcPr>
          <w:p>
            <w:pPr>
              <w:ind w:left="180"/>
              <w:spacing w:after="0"/>
              <w:rPr>
                <w:rFonts w:ascii="Arial" w:cs="Arial" w:eastAsia="Arial" w:hAnsi="Arial"/>
                <w:sz w:val="14"/>
                <w:szCs w:val="14"/>
                <w:color w:val="auto"/>
              </w:rPr>
            </w:pPr>
            <w:hyperlink w:anchor="page34">
              <w:r>
                <w:rPr>
                  <w:rFonts w:ascii="Arial" w:cs="Arial" w:eastAsia="Arial" w:hAnsi="Arial"/>
                  <w:sz w:val="14"/>
                  <w:szCs w:val="14"/>
                  <w:color w:val="auto"/>
                </w:rPr>
                <w:t>Legal Proceedings</w:t>
              </w:r>
            </w:hyperlink>
          </w:p>
        </w:tc>
        <w:tc>
          <w:tcPr>
            <w:tcW w:w="780" w:type="dxa"/>
            <w:vAlign w:val="bottom"/>
            <w:shd w:val="clear" w:color="auto" w:fill="CCEEFF"/>
          </w:tcPr>
          <w:p>
            <w:pPr>
              <w:jc w:val="center"/>
              <w:ind w:right="9"/>
              <w:spacing w:after="0"/>
              <w:rPr>
                <w:rFonts w:ascii="Arial" w:cs="Arial" w:eastAsia="Arial" w:hAnsi="Arial"/>
                <w:sz w:val="14"/>
                <w:szCs w:val="14"/>
                <w:color w:val="auto"/>
                <w:w w:val="89"/>
              </w:rPr>
            </w:pPr>
            <w:hyperlink w:anchor="page34">
              <w:r>
                <w:rPr>
                  <w:rFonts w:ascii="Arial" w:cs="Arial" w:eastAsia="Arial" w:hAnsi="Arial"/>
                  <w:sz w:val="14"/>
                  <w:szCs w:val="14"/>
                  <w:color w:val="auto"/>
                  <w:w w:val="89"/>
                </w:rPr>
                <w:t>33</w:t>
              </w:r>
            </w:hyperlink>
          </w:p>
        </w:tc>
      </w:tr>
      <w:tr>
        <w:trPr>
          <w:trHeight w:val="180"/>
        </w:trPr>
        <w:tc>
          <w:tcPr>
            <w:tcW w:w="800" w:type="dxa"/>
            <w:vAlign w:val="bottom"/>
          </w:tcPr>
          <w:p>
            <w:pPr>
              <w:ind w:left="20"/>
              <w:spacing w:after="0"/>
              <w:rPr>
                <w:sz w:val="20"/>
                <w:szCs w:val="20"/>
                <w:color w:val="auto"/>
              </w:rPr>
            </w:pPr>
            <w:r>
              <w:rPr>
                <w:rFonts w:ascii="Arial" w:cs="Arial" w:eastAsia="Arial" w:hAnsi="Arial"/>
                <w:sz w:val="14"/>
                <w:szCs w:val="14"/>
                <w:color w:val="auto"/>
              </w:rPr>
              <w:t>Item 1a.</w:t>
            </w:r>
          </w:p>
        </w:tc>
        <w:tc>
          <w:tcPr>
            <w:tcW w:w="9700" w:type="dxa"/>
            <w:vAlign w:val="bottom"/>
          </w:tcPr>
          <w:p>
            <w:pPr>
              <w:ind w:left="180"/>
              <w:spacing w:after="0"/>
              <w:rPr>
                <w:sz w:val="20"/>
                <w:szCs w:val="20"/>
                <w:color w:val="auto"/>
              </w:rPr>
            </w:pPr>
            <w:r>
              <w:rPr>
                <w:rFonts w:ascii="Arial" w:cs="Arial" w:eastAsia="Arial" w:hAnsi="Arial"/>
                <w:sz w:val="14"/>
                <w:szCs w:val="14"/>
                <w:color w:val="auto"/>
              </w:rPr>
              <w:t>Risk Factors</w:t>
            </w:r>
          </w:p>
        </w:tc>
        <w:tc>
          <w:tcPr>
            <w:tcW w:w="780" w:type="dxa"/>
            <w:vAlign w:val="bottom"/>
          </w:tcPr>
          <w:p>
            <w:pPr>
              <w:jc w:val="center"/>
              <w:ind w:right="9"/>
              <w:spacing w:after="0"/>
              <w:rPr>
                <w:rFonts w:ascii="Arial" w:cs="Arial" w:eastAsia="Arial" w:hAnsi="Arial"/>
                <w:sz w:val="14"/>
                <w:szCs w:val="14"/>
                <w:color w:val="auto"/>
                <w:w w:val="89"/>
              </w:rPr>
            </w:pPr>
            <w:hyperlink w:anchor="page34">
              <w:r>
                <w:rPr>
                  <w:rFonts w:ascii="Arial" w:cs="Arial" w:eastAsia="Arial" w:hAnsi="Arial"/>
                  <w:sz w:val="14"/>
                  <w:szCs w:val="14"/>
                  <w:color w:val="auto"/>
                  <w:w w:val="89"/>
                </w:rPr>
                <w:t>33</w:t>
              </w:r>
            </w:hyperlink>
          </w:p>
        </w:tc>
      </w:tr>
      <w:tr>
        <w:trPr>
          <w:trHeight w:val="181"/>
        </w:trPr>
        <w:tc>
          <w:tcPr>
            <w:tcW w:w="800" w:type="dxa"/>
            <w:vAlign w:val="bottom"/>
            <w:shd w:val="clear" w:color="auto" w:fill="CCEEFF"/>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Item 2.</w:t>
              </w:r>
            </w:hyperlink>
          </w:p>
        </w:tc>
        <w:tc>
          <w:tcPr>
            <w:tcW w:w="9700" w:type="dxa"/>
            <w:vAlign w:val="bottom"/>
            <w:shd w:val="clear" w:color="auto" w:fill="CCEEFF"/>
          </w:tcPr>
          <w:p>
            <w:pPr>
              <w:ind w:left="180"/>
              <w:spacing w:after="0"/>
              <w:rPr>
                <w:rFonts w:ascii="Arial" w:cs="Arial" w:eastAsia="Arial" w:hAnsi="Arial"/>
                <w:sz w:val="14"/>
                <w:szCs w:val="14"/>
                <w:color w:val="auto"/>
              </w:rPr>
            </w:pPr>
            <w:hyperlink w:anchor="page35">
              <w:r>
                <w:rPr>
                  <w:rFonts w:ascii="Arial" w:cs="Arial" w:eastAsia="Arial" w:hAnsi="Arial"/>
                  <w:sz w:val="14"/>
                  <w:szCs w:val="14"/>
                  <w:color w:val="auto"/>
                </w:rPr>
                <w:t>Unregistered Sales Of Equity Securities And Use Of Proceeds</w:t>
              </w:r>
            </w:hyperlink>
          </w:p>
        </w:tc>
        <w:tc>
          <w:tcPr>
            <w:tcW w:w="780" w:type="dxa"/>
            <w:vAlign w:val="bottom"/>
            <w:shd w:val="clear" w:color="auto" w:fill="CCEEFF"/>
          </w:tcPr>
          <w:p>
            <w:pPr>
              <w:jc w:val="center"/>
              <w:ind w:right="9"/>
              <w:spacing w:after="0"/>
              <w:rPr>
                <w:rFonts w:ascii="Arial" w:cs="Arial" w:eastAsia="Arial" w:hAnsi="Arial"/>
                <w:sz w:val="14"/>
                <w:szCs w:val="14"/>
                <w:color w:val="auto"/>
                <w:w w:val="89"/>
              </w:rPr>
            </w:pPr>
            <w:hyperlink w:anchor="page35">
              <w:r>
                <w:rPr>
                  <w:rFonts w:ascii="Arial" w:cs="Arial" w:eastAsia="Arial" w:hAnsi="Arial"/>
                  <w:sz w:val="14"/>
                  <w:szCs w:val="14"/>
                  <w:color w:val="auto"/>
                  <w:w w:val="89"/>
                </w:rPr>
                <w:t>34</w:t>
              </w:r>
            </w:hyperlink>
          </w:p>
        </w:tc>
      </w:tr>
      <w:tr>
        <w:trPr>
          <w:trHeight w:val="180"/>
        </w:trPr>
        <w:tc>
          <w:tcPr>
            <w:tcW w:w="800" w:type="dxa"/>
            <w:vAlign w:val="bottom"/>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Item 3.</w:t>
              </w:r>
            </w:hyperlink>
          </w:p>
        </w:tc>
        <w:tc>
          <w:tcPr>
            <w:tcW w:w="9700" w:type="dxa"/>
            <w:vAlign w:val="bottom"/>
          </w:tcPr>
          <w:p>
            <w:pPr>
              <w:ind w:left="180"/>
              <w:spacing w:after="0"/>
              <w:rPr>
                <w:rFonts w:ascii="Arial" w:cs="Arial" w:eastAsia="Arial" w:hAnsi="Arial"/>
                <w:sz w:val="14"/>
                <w:szCs w:val="14"/>
                <w:color w:val="auto"/>
              </w:rPr>
            </w:pPr>
            <w:hyperlink w:anchor="page35">
              <w:r>
                <w:rPr>
                  <w:rFonts w:ascii="Arial" w:cs="Arial" w:eastAsia="Arial" w:hAnsi="Arial"/>
                  <w:sz w:val="14"/>
                  <w:szCs w:val="14"/>
                  <w:color w:val="auto"/>
                </w:rPr>
                <w:t>Defaults Upon Senior Securities</w:t>
              </w:r>
            </w:hyperlink>
          </w:p>
        </w:tc>
        <w:tc>
          <w:tcPr>
            <w:tcW w:w="780" w:type="dxa"/>
            <w:vAlign w:val="bottom"/>
          </w:tcPr>
          <w:p>
            <w:pPr>
              <w:jc w:val="center"/>
              <w:ind w:right="9"/>
              <w:spacing w:after="0"/>
              <w:rPr>
                <w:rFonts w:ascii="Arial" w:cs="Arial" w:eastAsia="Arial" w:hAnsi="Arial"/>
                <w:sz w:val="14"/>
                <w:szCs w:val="14"/>
                <w:color w:val="auto"/>
                <w:w w:val="89"/>
              </w:rPr>
            </w:pPr>
            <w:hyperlink w:anchor="page35">
              <w:r>
                <w:rPr>
                  <w:rFonts w:ascii="Arial" w:cs="Arial" w:eastAsia="Arial" w:hAnsi="Arial"/>
                  <w:sz w:val="14"/>
                  <w:szCs w:val="14"/>
                  <w:color w:val="auto"/>
                  <w:w w:val="89"/>
                </w:rPr>
                <w:t>34</w:t>
              </w:r>
            </w:hyperlink>
          </w:p>
        </w:tc>
      </w:tr>
      <w:tr>
        <w:trPr>
          <w:trHeight w:val="181"/>
        </w:trPr>
        <w:tc>
          <w:tcPr>
            <w:tcW w:w="800" w:type="dxa"/>
            <w:vAlign w:val="bottom"/>
            <w:shd w:val="clear" w:color="auto" w:fill="CCEEFF"/>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Item 4.</w:t>
              </w:r>
            </w:hyperlink>
          </w:p>
        </w:tc>
        <w:tc>
          <w:tcPr>
            <w:tcW w:w="9700" w:type="dxa"/>
            <w:vAlign w:val="bottom"/>
            <w:shd w:val="clear" w:color="auto" w:fill="CCEEFF"/>
          </w:tcPr>
          <w:p>
            <w:pPr>
              <w:ind w:left="180"/>
              <w:spacing w:after="0"/>
              <w:rPr>
                <w:rFonts w:ascii="Arial" w:cs="Arial" w:eastAsia="Arial" w:hAnsi="Arial"/>
                <w:sz w:val="14"/>
                <w:szCs w:val="14"/>
                <w:color w:val="auto"/>
              </w:rPr>
            </w:pPr>
            <w:hyperlink w:anchor="page35">
              <w:r>
                <w:rPr>
                  <w:rFonts w:ascii="Arial" w:cs="Arial" w:eastAsia="Arial" w:hAnsi="Arial"/>
                  <w:sz w:val="14"/>
                  <w:szCs w:val="14"/>
                  <w:color w:val="auto"/>
                </w:rPr>
                <w:t>Mine Safety Disclosures</w:t>
              </w:r>
            </w:hyperlink>
          </w:p>
        </w:tc>
        <w:tc>
          <w:tcPr>
            <w:tcW w:w="780" w:type="dxa"/>
            <w:vAlign w:val="bottom"/>
            <w:shd w:val="clear" w:color="auto" w:fill="CCEEFF"/>
          </w:tcPr>
          <w:p>
            <w:pPr>
              <w:jc w:val="center"/>
              <w:ind w:right="9"/>
              <w:spacing w:after="0"/>
              <w:rPr>
                <w:rFonts w:ascii="Arial" w:cs="Arial" w:eastAsia="Arial" w:hAnsi="Arial"/>
                <w:sz w:val="14"/>
                <w:szCs w:val="14"/>
                <w:color w:val="auto"/>
                <w:w w:val="89"/>
              </w:rPr>
            </w:pPr>
            <w:hyperlink w:anchor="page35">
              <w:r>
                <w:rPr>
                  <w:rFonts w:ascii="Arial" w:cs="Arial" w:eastAsia="Arial" w:hAnsi="Arial"/>
                  <w:sz w:val="14"/>
                  <w:szCs w:val="14"/>
                  <w:color w:val="auto"/>
                  <w:w w:val="89"/>
                </w:rPr>
                <w:t>34</w:t>
              </w:r>
            </w:hyperlink>
          </w:p>
        </w:tc>
      </w:tr>
      <w:tr>
        <w:trPr>
          <w:trHeight w:val="180"/>
        </w:trPr>
        <w:tc>
          <w:tcPr>
            <w:tcW w:w="800" w:type="dxa"/>
            <w:vAlign w:val="bottom"/>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Item 5.</w:t>
              </w:r>
            </w:hyperlink>
          </w:p>
        </w:tc>
        <w:tc>
          <w:tcPr>
            <w:tcW w:w="9700" w:type="dxa"/>
            <w:vAlign w:val="bottom"/>
          </w:tcPr>
          <w:p>
            <w:pPr>
              <w:ind w:left="180"/>
              <w:spacing w:after="0"/>
              <w:rPr>
                <w:rFonts w:ascii="Arial" w:cs="Arial" w:eastAsia="Arial" w:hAnsi="Arial"/>
                <w:sz w:val="14"/>
                <w:szCs w:val="14"/>
                <w:color w:val="auto"/>
              </w:rPr>
            </w:pPr>
            <w:hyperlink w:anchor="page35">
              <w:r>
                <w:rPr>
                  <w:rFonts w:ascii="Arial" w:cs="Arial" w:eastAsia="Arial" w:hAnsi="Arial"/>
                  <w:sz w:val="14"/>
                  <w:szCs w:val="14"/>
                  <w:color w:val="auto"/>
                </w:rPr>
                <w:t>Other Information</w:t>
              </w:r>
            </w:hyperlink>
          </w:p>
        </w:tc>
        <w:tc>
          <w:tcPr>
            <w:tcW w:w="780" w:type="dxa"/>
            <w:vAlign w:val="bottom"/>
          </w:tcPr>
          <w:p>
            <w:pPr>
              <w:jc w:val="center"/>
              <w:ind w:right="9"/>
              <w:spacing w:after="0"/>
              <w:rPr>
                <w:rFonts w:ascii="Arial" w:cs="Arial" w:eastAsia="Arial" w:hAnsi="Arial"/>
                <w:sz w:val="14"/>
                <w:szCs w:val="14"/>
                <w:color w:val="auto"/>
                <w:w w:val="89"/>
              </w:rPr>
            </w:pPr>
            <w:hyperlink w:anchor="page35">
              <w:r>
                <w:rPr>
                  <w:rFonts w:ascii="Arial" w:cs="Arial" w:eastAsia="Arial" w:hAnsi="Arial"/>
                  <w:sz w:val="14"/>
                  <w:szCs w:val="14"/>
                  <w:color w:val="auto"/>
                  <w:w w:val="89"/>
                </w:rPr>
                <w:t>34</w:t>
              </w:r>
            </w:hyperlink>
          </w:p>
        </w:tc>
      </w:tr>
      <w:tr>
        <w:trPr>
          <w:trHeight w:val="181"/>
        </w:trPr>
        <w:tc>
          <w:tcPr>
            <w:tcW w:w="800" w:type="dxa"/>
            <w:vAlign w:val="bottom"/>
            <w:shd w:val="clear" w:color="auto" w:fill="CCEEFF"/>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Item 6.</w:t>
              </w:r>
            </w:hyperlink>
          </w:p>
        </w:tc>
        <w:tc>
          <w:tcPr>
            <w:tcW w:w="9700" w:type="dxa"/>
            <w:vAlign w:val="bottom"/>
            <w:shd w:val="clear" w:color="auto" w:fill="CCEEFF"/>
          </w:tcPr>
          <w:p>
            <w:pPr>
              <w:ind w:left="180"/>
              <w:spacing w:after="0"/>
              <w:rPr>
                <w:rFonts w:ascii="Arial" w:cs="Arial" w:eastAsia="Arial" w:hAnsi="Arial"/>
                <w:sz w:val="14"/>
                <w:szCs w:val="14"/>
                <w:color w:val="auto"/>
              </w:rPr>
            </w:pPr>
            <w:hyperlink w:anchor="page35">
              <w:r>
                <w:rPr>
                  <w:rFonts w:ascii="Arial" w:cs="Arial" w:eastAsia="Arial" w:hAnsi="Arial"/>
                  <w:sz w:val="14"/>
                  <w:szCs w:val="14"/>
                  <w:color w:val="auto"/>
                </w:rPr>
                <w:t>Exhibits</w:t>
              </w:r>
            </w:hyperlink>
          </w:p>
        </w:tc>
        <w:tc>
          <w:tcPr>
            <w:tcW w:w="780" w:type="dxa"/>
            <w:vAlign w:val="bottom"/>
            <w:shd w:val="clear" w:color="auto" w:fill="CCEEFF"/>
          </w:tcPr>
          <w:p>
            <w:pPr>
              <w:jc w:val="center"/>
              <w:ind w:right="9"/>
              <w:spacing w:after="0"/>
              <w:rPr>
                <w:rFonts w:ascii="Arial" w:cs="Arial" w:eastAsia="Arial" w:hAnsi="Arial"/>
                <w:sz w:val="14"/>
                <w:szCs w:val="14"/>
                <w:color w:val="auto"/>
                <w:w w:val="89"/>
              </w:rPr>
            </w:pPr>
            <w:hyperlink w:anchor="page35">
              <w:r>
                <w:rPr>
                  <w:rFonts w:ascii="Arial" w:cs="Arial" w:eastAsia="Arial" w:hAnsi="Arial"/>
                  <w:sz w:val="14"/>
                  <w:szCs w:val="14"/>
                  <w:color w:val="auto"/>
                  <w:w w:val="89"/>
                </w:rPr>
                <w:t>35</w:t>
              </w:r>
            </w:hyperlink>
          </w:p>
        </w:tc>
      </w:tr>
      <w:tr>
        <w:trPr>
          <w:trHeight w:val="180"/>
        </w:trPr>
        <w:tc>
          <w:tcPr>
            <w:tcW w:w="800" w:type="dxa"/>
            <w:vAlign w:val="bottom"/>
          </w:tcPr>
          <w:p>
            <w:pPr>
              <w:ind w:left="20"/>
              <w:spacing w:after="0"/>
              <w:rPr>
                <w:rFonts w:ascii="Arial" w:cs="Arial" w:eastAsia="Arial" w:hAnsi="Arial"/>
                <w:sz w:val="14"/>
                <w:szCs w:val="14"/>
                <w:color w:val="auto"/>
              </w:rPr>
            </w:pPr>
            <w:hyperlink w:anchor="page37">
              <w:r>
                <w:rPr>
                  <w:rFonts w:ascii="Arial" w:cs="Arial" w:eastAsia="Arial" w:hAnsi="Arial"/>
                  <w:sz w:val="14"/>
                  <w:szCs w:val="14"/>
                  <w:color w:val="auto"/>
                </w:rPr>
                <w:t>Signatures</w:t>
              </w:r>
            </w:hyperlink>
          </w:p>
        </w:tc>
        <w:tc>
          <w:tcPr>
            <w:tcW w:w="9700" w:type="dxa"/>
            <w:vAlign w:val="bottom"/>
          </w:tcPr>
          <w:p>
            <w:pPr>
              <w:spacing w:after="0"/>
              <w:rPr>
                <w:sz w:val="15"/>
                <w:szCs w:val="15"/>
                <w:color w:val="auto"/>
              </w:rPr>
            </w:pPr>
          </w:p>
        </w:tc>
        <w:tc>
          <w:tcPr>
            <w:tcW w:w="780" w:type="dxa"/>
            <w:vAlign w:val="bottom"/>
          </w:tcPr>
          <w:p>
            <w:pPr>
              <w:jc w:val="center"/>
              <w:ind w:right="9"/>
              <w:spacing w:after="0"/>
              <w:rPr>
                <w:rFonts w:ascii="Arial" w:cs="Arial" w:eastAsia="Arial" w:hAnsi="Arial"/>
                <w:sz w:val="14"/>
                <w:szCs w:val="14"/>
                <w:color w:val="auto"/>
                <w:w w:val="89"/>
              </w:rPr>
            </w:pPr>
            <w:hyperlink w:anchor="page37">
              <w:r>
                <w:rPr>
                  <w:rFonts w:ascii="Arial" w:cs="Arial" w:eastAsia="Arial" w:hAnsi="Arial"/>
                  <w:sz w:val="14"/>
                  <w:szCs w:val="14"/>
                  <w:color w:val="auto"/>
                  <w:w w:val="89"/>
                </w:rPr>
                <w:t>37</w:t>
              </w:r>
            </w:hyperlink>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15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UNAUDITED CONDENSED CONSOLIDATED BALANCE SHEETS</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4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0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6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Current assets:</w:t>
            </w:r>
          </w:p>
        </w:tc>
        <w:tc>
          <w:tcPr>
            <w:tcW w:w="4920" w:type="dxa"/>
            <w:vAlign w:val="bottom"/>
          </w:tcPr>
          <w:p>
            <w:pPr>
              <w:ind w:left="760"/>
              <w:spacing w:after="0"/>
              <w:rPr>
                <w:sz w:val="20"/>
                <w:szCs w:val="20"/>
                <w:color w:val="auto"/>
              </w:rPr>
            </w:pPr>
            <w:r>
              <w:rPr>
                <w:rFonts w:ascii="Arial" w:cs="Arial" w:eastAsia="Arial" w:hAnsi="Arial"/>
                <w:sz w:val="14"/>
                <w:szCs w:val="14"/>
                <w:b w:val="1"/>
                <w:bCs w:val="1"/>
                <w:color w:val="auto"/>
              </w:rPr>
              <w:t>ASSETS</w:t>
            </w:r>
          </w:p>
        </w:tc>
        <w:tc>
          <w:tcPr>
            <w:tcW w:w="1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vMerge w:val="continue"/>
          </w:tcPr>
          <w:p>
            <w:pPr>
              <w:spacing w:after="0"/>
              <w:rPr>
                <w:sz w:val="15"/>
                <w:szCs w:val="15"/>
                <w:color w:val="auto"/>
              </w:rPr>
            </w:pP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608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104,831</w:t>
            </w:r>
          </w:p>
        </w:tc>
        <w:tc>
          <w:tcPr>
            <w:tcW w:w="0" w:type="dxa"/>
            <w:vAlign w:val="bottom"/>
          </w:tcPr>
          <w:p>
            <w:pPr>
              <w:spacing w:after="0"/>
              <w:rPr>
                <w:sz w:val="1"/>
                <w:szCs w:val="1"/>
                <w:color w:val="auto"/>
              </w:rPr>
            </w:pPr>
          </w:p>
        </w:tc>
      </w:tr>
      <w:tr>
        <w:trPr>
          <w:trHeight w:val="180"/>
        </w:trPr>
        <w:tc>
          <w:tcPr>
            <w:tcW w:w="29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4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80"/>
        </w:trPr>
        <w:tc>
          <w:tcPr>
            <w:tcW w:w="2900" w:type="dxa"/>
            <w:vAlign w:val="bottom"/>
          </w:tcPr>
          <w:p>
            <w:pPr>
              <w:ind w:left="140"/>
              <w:spacing w:after="0"/>
              <w:rPr>
                <w:sz w:val="20"/>
                <w:szCs w:val="20"/>
                <w:color w:val="auto"/>
              </w:rPr>
            </w:pPr>
            <w:r>
              <w:rPr>
                <w:rFonts w:ascii="Arial" w:cs="Arial" w:eastAsia="Arial" w:hAnsi="Arial"/>
                <w:sz w:val="14"/>
                <w:szCs w:val="14"/>
                <w:color w:val="auto"/>
              </w:rPr>
              <w:t>Inventory, net</w:t>
            </w: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12,976</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Vendor deposits</w:t>
            </w:r>
          </w:p>
        </w:tc>
        <w:tc>
          <w:tcPr>
            <w:tcW w:w="4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16,653</w:t>
            </w:r>
          </w:p>
        </w:tc>
        <w:tc>
          <w:tcPr>
            <w:tcW w:w="0" w:type="dxa"/>
            <w:vAlign w:val="bottom"/>
          </w:tcPr>
          <w:p>
            <w:pPr>
              <w:spacing w:after="0"/>
              <w:rPr>
                <w:sz w:val="1"/>
                <w:szCs w:val="1"/>
                <w:color w:val="auto"/>
              </w:rPr>
            </w:pPr>
          </w:p>
        </w:tc>
      </w:tr>
      <w:tr>
        <w:trPr>
          <w:trHeight w:val="180"/>
        </w:trPr>
        <w:tc>
          <w:tcPr>
            <w:tcW w:w="2900" w:type="dxa"/>
            <w:vAlign w:val="bottom"/>
          </w:tcPr>
          <w:p>
            <w:pPr>
              <w:ind w:left="140"/>
              <w:spacing w:after="0"/>
              <w:rPr>
                <w:sz w:val="20"/>
                <w:szCs w:val="20"/>
                <w:color w:val="auto"/>
              </w:rPr>
            </w:pPr>
            <w:r>
              <w:rPr>
                <w:rFonts w:ascii="Arial" w:cs="Arial" w:eastAsia="Arial" w:hAnsi="Arial"/>
                <w:sz w:val="14"/>
                <w:szCs w:val="14"/>
                <w:color w:val="auto"/>
              </w:rPr>
              <w:t>Notes receivable, net</w:t>
            </w: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4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assets</w:t>
            </w:r>
          </w:p>
        </w:tc>
        <w:tc>
          <w:tcPr>
            <w:tcW w:w="49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current assets</w:t>
            </w:r>
          </w:p>
        </w:tc>
        <w:tc>
          <w:tcPr>
            <w:tcW w:w="49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142,572</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4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12,890</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4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Security deposits, net</w:t>
            </w: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long-term, net</w:t>
            </w:r>
          </w:p>
        </w:tc>
        <w:tc>
          <w:tcPr>
            <w:tcW w:w="4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Operating lease right-of-use asset, net</w:t>
            </w: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3,468</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 net</w:t>
            </w:r>
          </w:p>
        </w:tc>
        <w:tc>
          <w:tcPr>
            <w:tcW w:w="492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71"/>
        </w:trPr>
        <w:tc>
          <w:tcPr>
            <w:tcW w:w="2900" w:type="dxa"/>
            <w:vAlign w:val="bottom"/>
          </w:tcPr>
          <w:p>
            <w:pPr>
              <w:ind w:left="280"/>
              <w:spacing w:after="0"/>
              <w:rPr>
                <w:sz w:val="20"/>
                <w:szCs w:val="20"/>
                <w:color w:val="auto"/>
              </w:rPr>
            </w:pPr>
            <w:r>
              <w:rPr>
                <w:rFonts w:ascii="Arial" w:cs="Arial" w:eastAsia="Arial" w:hAnsi="Arial"/>
                <w:sz w:val="14"/>
                <w:szCs w:val="14"/>
                <w:b w:val="1"/>
                <w:bCs w:val="1"/>
                <w:color w:val="auto"/>
              </w:rPr>
              <w:t>Total assets</w:t>
            </w:r>
          </w:p>
        </w:tc>
        <w:tc>
          <w:tcPr>
            <w:tcW w:w="4920" w:type="dxa"/>
            <w:vAlign w:val="bottom"/>
          </w:tcPr>
          <w:p>
            <w:pPr>
              <w:spacing w:after="0"/>
              <w:rPr>
                <w:sz w:val="14"/>
                <w:szCs w:val="14"/>
                <w:color w:val="auto"/>
              </w:rPr>
            </w:pPr>
          </w:p>
        </w:tc>
        <w:tc>
          <w:tcPr>
            <w:tcW w:w="1160" w:type="dxa"/>
            <w:vAlign w:val="bottom"/>
            <w:tcBorders>
              <w:bottom w:val="single" w:sz="8" w:color="auto"/>
            </w:tcBorders>
          </w:tcPr>
          <w:p>
            <w:pPr>
              <w:jc w:val="right"/>
              <w:ind w:right="100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126,859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169,175</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0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0" w:type="dxa"/>
            <w:vAlign w:val="bottom"/>
          </w:tcPr>
          <w:p>
            <w:pPr>
              <w:spacing w:after="0"/>
              <w:rPr>
                <w:sz w:val="15"/>
                <w:szCs w:val="15"/>
                <w:color w:val="auto"/>
              </w:rPr>
            </w:pPr>
          </w:p>
        </w:tc>
        <w:tc>
          <w:tcPr>
            <w:tcW w:w="5040" w:type="dxa"/>
            <w:vAlign w:val="bottom"/>
            <w:gridSpan w:val="2"/>
          </w:tcPr>
          <w:p>
            <w:pPr>
              <w:jc w:val="right"/>
              <w:ind w:right="4080"/>
              <w:spacing w:after="0"/>
              <w:rPr>
                <w:sz w:val="20"/>
                <w:szCs w:val="20"/>
                <w:color w:val="auto"/>
              </w:rPr>
            </w:pPr>
            <w:r>
              <w:rPr>
                <w:rFonts w:ascii="Arial" w:cs="Arial" w:eastAsia="Arial" w:hAnsi="Arial"/>
                <w:sz w:val="14"/>
                <w:szCs w:val="14"/>
                <w:b w:val="1"/>
                <w:bCs w:val="1"/>
                <w:color w:val="auto"/>
              </w:rPr>
              <w:t>LIABILITIES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0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11,660</w:t>
            </w:r>
          </w:p>
        </w:tc>
        <w:tc>
          <w:tcPr>
            <w:tcW w:w="10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12,531</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7,674</w:t>
            </w: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w w:val="90"/>
              </w:rPr>
              <w:t>Accounts payable and accrued expenses - related parties</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liability, current portion</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w:t>
            </w: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rPr>
              <w:t>Note payable, current portion</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4,926</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current portion</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rPr>
              <w:t>Contract liabilities, current portion</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849</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44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3400" w:type="dxa"/>
            <w:vAlign w:val="bottom"/>
          </w:tcPr>
          <w:p>
            <w:pPr>
              <w:ind w:left="280"/>
              <w:spacing w:after="0"/>
              <w:rPr>
                <w:sz w:val="20"/>
                <w:szCs w:val="20"/>
                <w:color w:val="auto"/>
              </w:rPr>
            </w:pPr>
            <w:r>
              <w:rPr>
                <w:rFonts w:ascii="Arial" w:cs="Arial" w:eastAsia="Arial" w:hAnsi="Arial"/>
                <w:sz w:val="14"/>
                <w:szCs w:val="14"/>
                <w:b w:val="1"/>
                <w:bCs w:val="1"/>
                <w:color w:val="auto"/>
              </w:rPr>
              <w:t>Total current liabilities</w:t>
            </w:r>
          </w:p>
        </w:tc>
        <w:tc>
          <w:tcPr>
            <w:tcW w:w="4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33,799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29,917</w:t>
            </w:r>
          </w:p>
        </w:tc>
      </w:tr>
      <w:tr>
        <w:trPr>
          <w:trHeight w:val="202"/>
        </w:trPr>
        <w:tc>
          <w:tcPr>
            <w:tcW w:w="34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liability, long-term</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w:t>
            </w: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rPr>
              <w:t>Note payable, excluding current portion</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13,892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13,769</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excluding current portion</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4,727</w:t>
            </w: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rPr>
              <w:t>Convertible note payable - related party</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77,083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84,148</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payable - related party</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400" w:type="dxa"/>
            <w:vAlign w:val="bottom"/>
          </w:tcPr>
          <w:p>
            <w:pPr>
              <w:ind w:left="140"/>
              <w:spacing w:after="0"/>
              <w:rPr>
                <w:sz w:val="20"/>
                <w:szCs w:val="20"/>
                <w:color w:val="auto"/>
              </w:rPr>
            </w:pPr>
            <w:r>
              <w:rPr>
                <w:rFonts w:ascii="Arial" w:cs="Arial" w:eastAsia="Arial" w:hAnsi="Arial"/>
                <w:sz w:val="14"/>
                <w:szCs w:val="14"/>
                <w:color w:val="auto"/>
              </w:rPr>
              <w:t>Contract liabilities, long-term</w:t>
            </w: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 liability - related party</w:t>
            </w:r>
          </w:p>
        </w:tc>
        <w:tc>
          <w:tcPr>
            <w:tcW w:w="4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r>
      <w:tr>
        <w:trPr>
          <w:trHeight w:val="180"/>
        </w:trPr>
        <w:tc>
          <w:tcPr>
            <w:tcW w:w="3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44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7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long-term liabilities</w:t>
            </w:r>
          </w:p>
        </w:tc>
        <w:tc>
          <w:tcPr>
            <w:tcW w:w="44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103,280</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106,811</w:t>
            </w:r>
          </w:p>
        </w:tc>
      </w:tr>
      <w:tr>
        <w:trPr>
          <w:trHeight w:val="171"/>
        </w:trPr>
        <w:tc>
          <w:tcPr>
            <w:tcW w:w="3400" w:type="dxa"/>
            <w:vAlign w:val="bottom"/>
          </w:tcPr>
          <w:p>
            <w:pPr>
              <w:ind w:left="280"/>
              <w:spacing w:after="0"/>
              <w:rPr>
                <w:sz w:val="20"/>
                <w:szCs w:val="20"/>
                <w:color w:val="auto"/>
              </w:rPr>
            </w:pPr>
            <w:r>
              <w:rPr>
                <w:rFonts w:ascii="Arial" w:cs="Arial" w:eastAsia="Arial" w:hAnsi="Arial"/>
                <w:sz w:val="14"/>
                <w:szCs w:val="14"/>
                <w:b w:val="1"/>
                <w:bCs w:val="1"/>
                <w:color w:val="auto"/>
              </w:rPr>
              <w:t>Total liabilities</w:t>
            </w:r>
          </w:p>
        </w:tc>
        <w:tc>
          <w:tcPr>
            <w:tcW w:w="4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137,079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136,728</w:t>
            </w:r>
          </w:p>
        </w:tc>
      </w:tr>
      <w:tr>
        <w:trPr>
          <w:trHeight w:val="563"/>
        </w:trPr>
        <w:tc>
          <w:tcPr>
            <w:tcW w:w="3400" w:type="dxa"/>
            <w:vAlign w:val="bottom"/>
          </w:tcPr>
          <w:p>
            <w:pPr>
              <w:spacing w:after="0"/>
              <w:rPr>
                <w:sz w:val="24"/>
                <w:szCs w:val="24"/>
                <w:color w:val="auto"/>
              </w:rPr>
            </w:pPr>
          </w:p>
        </w:tc>
        <w:tc>
          <w:tcPr>
            <w:tcW w:w="4420" w:type="dxa"/>
            <w:vAlign w:val="bottom"/>
          </w:tcPr>
          <w:p>
            <w:pPr>
              <w:jc w:val="right"/>
              <w:ind w:right="2069"/>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4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15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UNAUDITED CONDENSED CONSOLIDATED BALANCE SHEETS</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20" w:type="dxa"/>
            <w:vAlign w:val="bottom"/>
          </w:tcPr>
          <w:p>
            <w:pPr>
              <w:jc w:val="right"/>
              <w:ind w:right="34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65"/>
        </w:trPr>
        <w:tc>
          <w:tcPr>
            <w:tcW w:w="78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640"/>
              <w:spacing w:after="0"/>
              <w:rPr>
                <w:sz w:val="20"/>
                <w:szCs w:val="20"/>
                <w:color w:val="auto"/>
              </w:rPr>
            </w:pPr>
            <w:r>
              <w:rPr>
                <w:rFonts w:ascii="Arial" w:cs="Arial" w:eastAsia="Arial" w:hAnsi="Arial"/>
                <w:sz w:val="14"/>
                <w:szCs w:val="14"/>
                <w:b w:val="1"/>
                <w:bCs w:val="1"/>
                <w:color w:val="auto"/>
              </w:rPr>
              <w:t>SHAREHOLDERS' EQUITY (DEFICIT)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8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w w:val="91"/>
              </w:rPr>
              <w:t>Common Stock, $0.0001 par value, 200,000,000 shares authorized, 53,980,608 and 53,786,632 shares outstanding at March 31, 2022</w:t>
            </w:r>
          </w:p>
        </w:tc>
        <w:tc>
          <w:tcPr>
            <w:tcW w:w="32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December 31, 2021, respectively</w:t>
            </w:r>
          </w:p>
        </w:tc>
        <w:tc>
          <w:tcPr>
            <w:tcW w:w="32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140"/>
              <w:spacing w:after="0"/>
              <w:rPr>
                <w:sz w:val="20"/>
                <w:szCs w:val="20"/>
                <w:color w:val="auto"/>
              </w:rPr>
            </w:pPr>
            <w:r>
              <w:rPr>
                <w:rFonts w:ascii="Arial" w:cs="Arial" w:eastAsia="Arial" w:hAnsi="Arial"/>
                <w:sz w:val="14"/>
                <w:szCs w:val="14"/>
                <w:color w:val="auto"/>
                <w:w w:val="93"/>
              </w:rPr>
              <w:t>Preferred stock, $0.0001 par value, 1,000,000 shares authorized, no shares outstanding at March 31, 2022 and December 31, 2021</w:t>
            </w:r>
          </w:p>
        </w:tc>
        <w:tc>
          <w:tcPr>
            <w:tcW w:w="32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 in capital</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448,969</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(462,318)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(416,527)</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shareholders' equity (deficit)</w:t>
            </w:r>
          </w:p>
        </w:tc>
        <w:tc>
          <w:tcPr>
            <w:tcW w:w="3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32,447</w:t>
            </w:r>
          </w:p>
        </w:tc>
        <w:tc>
          <w:tcPr>
            <w:tcW w:w="0" w:type="dxa"/>
            <w:vAlign w:val="bottom"/>
          </w:tcPr>
          <w:p>
            <w:pPr>
              <w:spacing w:after="0"/>
              <w:rPr>
                <w:sz w:val="1"/>
                <w:szCs w:val="1"/>
                <w:color w:val="auto"/>
              </w:rPr>
            </w:pPr>
          </w:p>
        </w:tc>
      </w:tr>
      <w:tr>
        <w:trPr>
          <w:trHeight w:val="171"/>
        </w:trPr>
        <w:tc>
          <w:tcPr>
            <w:tcW w:w="7820" w:type="dxa"/>
            <w:vAlign w:val="bottom"/>
          </w:tcPr>
          <w:p>
            <w:pPr>
              <w:ind w:left="280"/>
              <w:spacing w:after="0"/>
              <w:rPr>
                <w:sz w:val="20"/>
                <w:szCs w:val="20"/>
                <w:color w:val="auto"/>
              </w:rPr>
            </w:pPr>
            <w:r>
              <w:rPr>
                <w:rFonts w:ascii="Arial" w:cs="Arial" w:eastAsia="Arial" w:hAnsi="Arial"/>
                <w:sz w:val="14"/>
                <w:szCs w:val="14"/>
                <w:b w:val="1"/>
                <w:bCs w:val="1"/>
                <w:color w:val="auto"/>
              </w:rPr>
              <w:t>Total liabilities and shareholders’ equity (deficit)</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126,859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169,175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6"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auto"/>
        </w:rPr>
        <w:t>EOS ENERGY ENTERPRISES, INC.</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UNAUDITED CONDENSED CONSOLIDATED STATEMENTS OF OPERATIONS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 thousands, except share and per share amounts)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380" w:type="dxa"/>
            <w:vAlign w:val="bottom"/>
          </w:tcPr>
          <w:p>
            <w:pPr>
              <w:jc w:val="right"/>
              <w:ind w:right="469"/>
              <w:spacing w:after="0"/>
              <w:rPr>
                <w:sz w:val="20"/>
                <w:szCs w:val="20"/>
                <w:color w:val="auto"/>
              </w:rPr>
            </w:pPr>
            <w:r>
              <w:rPr>
                <w:rFonts w:ascii="Arial" w:cs="Arial" w:eastAsia="Arial" w:hAnsi="Arial"/>
                <w:sz w:val="14"/>
                <w:szCs w:val="14"/>
                <w:b w:val="1"/>
                <w:bCs w:val="1"/>
                <w:color w:val="auto"/>
              </w:rPr>
              <w:t>March 31,</w:t>
            </w:r>
          </w:p>
        </w:tc>
      </w:tr>
      <w:tr>
        <w:trPr>
          <w:trHeight w:val="180"/>
        </w:trPr>
        <w:tc>
          <w:tcPr>
            <w:tcW w:w="7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2021</w:t>
            </w:r>
          </w:p>
        </w:tc>
      </w:tr>
      <w:tr>
        <w:trPr>
          <w:trHeight w:val="17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0"/>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r>
      <w:tr>
        <w:trPr>
          <w:trHeight w:val="182"/>
        </w:trPr>
        <w:tc>
          <w:tcPr>
            <w:tcW w:w="7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goods sold</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7320" w:type="dxa"/>
            <w:vAlign w:val="bottom"/>
          </w:tcPr>
          <w:p>
            <w:pPr>
              <w:ind w:left="14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5,053</w:t>
            </w:r>
          </w:p>
        </w:tc>
      </w:tr>
      <w:tr>
        <w:trPr>
          <w:trHeight w:val="181"/>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8,802</w:t>
            </w:r>
          </w:p>
        </w:tc>
      </w:tr>
      <w:tr>
        <w:trPr>
          <w:trHeight w:val="180"/>
        </w:trPr>
        <w:tc>
          <w:tcPr>
            <w:tcW w:w="7320" w:type="dxa"/>
            <w:vAlign w:val="bottom"/>
          </w:tcPr>
          <w:p>
            <w:pPr>
              <w:ind w:left="140"/>
              <w:spacing w:after="0"/>
              <w:rPr>
                <w:sz w:val="20"/>
                <w:szCs w:val="20"/>
                <w:color w:val="auto"/>
              </w:rPr>
            </w:pPr>
            <w:r>
              <w:rPr>
                <w:rFonts w:ascii="Arial" w:cs="Arial" w:eastAsia="Arial" w:hAnsi="Arial"/>
                <w:sz w:val="14"/>
                <w:szCs w:val="14"/>
                <w:color w:val="auto"/>
              </w:rPr>
              <w:t>Loss on pre-existing agreement</w:t>
            </w:r>
          </w:p>
        </w:tc>
        <w:tc>
          <w:tcPr>
            <w:tcW w:w="3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7,852</w:t>
            </w:r>
          </w:p>
        </w:tc>
      </w:tr>
      <w:tr>
        <w:trPr>
          <w:trHeight w:val="181"/>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Grant expense, net</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71"/>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21,815</w:t>
            </w:r>
          </w:p>
        </w:tc>
      </w:tr>
      <w:tr>
        <w:trPr>
          <w:trHeight w:val="182"/>
        </w:trPr>
        <w:tc>
          <w:tcPr>
            <w:tcW w:w="7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Operating loss</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(51,702)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(21,651)</w:t>
            </w:r>
          </w:p>
        </w:tc>
      </w:tr>
      <w:tr>
        <w:trPr>
          <w:trHeight w:val="202"/>
        </w:trPr>
        <w:tc>
          <w:tcPr>
            <w:tcW w:w="7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0"/>
        </w:trPr>
        <w:tc>
          <w:tcPr>
            <w:tcW w:w="7320" w:type="dxa"/>
            <w:vAlign w:val="bottom"/>
          </w:tcPr>
          <w:p>
            <w:pPr>
              <w:ind w:left="140"/>
              <w:spacing w:after="0"/>
              <w:rPr>
                <w:sz w:val="20"/>
                <w:szCs w:val="20"/>
                <w:color w:val="auto"/>
              </w:rPr>
            </w:pPr>
            <w:r>
              <w:rPr>
                <w:rFonts w:ascii="Arial" w:cs="Arial" w:eastAsia="Arial" w:hAnsi="Arial"/>
                <w:sz w:val="14"/>
                <w:szCs w:val="14"/>
                <w:color w:val="auto"/>
              </w:rPr>
              <w:t>Interest expense - related party</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embedded derivative - related party</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320" w:type="dxa"/>
            <w:vAlign w:val="bottom"/>
          </w:tcPr>
          <w:p>
            <w:pPr>
              <w:ind w:left="140"/>
              <w:spacing w:after="0"/>
              <w:rPr>
                <w:sz w:val="20"/>
                <w:szCs w:val="20"/>
                <w:color w:val="auto"/>
              </w:rPr>
            </w:pPr>
            <w:r>
              <w:rPr>
                <w:rFonts w:ascii="Arial" w:cs="Arial" w:eastAsia="Arial" w:hAnsi="Arial"/>
                <w:sz w:val="14"/>
                <w:szCs w:val="14"/>
                <w:color w:val="auto"/>
              </w:rPr>
              <w:t>Change in fair value, warrants liability - related party</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81"/>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from equity in unconsolidated joint venture</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80"/>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(21,456)</w:t>
            </w:r>
          </w:p>
        </w:tc>
      </w:tr>
      <w:tr>
        <w:trPr>
          <w:trHeight w:val="180"/>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benefit</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(45,791)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and diluted loss per share attributable to common shareholders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of common stock</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53,961,553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51,126,863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53,961,553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51,126,863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UNAUDITED CONDENSED CONSOLIDATED STATEMENTS OF SHAREHOLDERS' EQUITY (DEFICIT)</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2"/>
          <w:szCs w:val="12"/>
          <w:color w:val="auto"/>
        </w:rPr>
        <w:t>(In thousands, except share and per share amounts)</w:t>
      </w:r>
    </w:p>
    <w:p>
      <w:pPr>
        <w:spacing w:after="0" w:line="191"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wp:posOffset>
            </wp:positionV>
            <wp:extent cx="617156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15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760" w:type="dxa"/>
            <w:vAlign w:val="bottom"/>
          </w:tcPr>
          <w:p>
            <w:pPr>
              <w:spacing w:after="0"/>
              <w:rPr>
                <w:sz w:val="14"/>
                <w:szCs w:val="14"/>
                <w:color w:val="auto"/>
              </w:rPr>
            </w:pPr>
          </w:p>
        </w:tc>
        <w:tc>
          <w:tcPr>
            <w:tcW w:w="1920" w:type="dxa"/>
            <w:vAlign w:val="bottom"/>
            <w:gridSpan w:val="3"/>
          </w:tcPr>
          <w:p>
            <w:pPr>
              <w:jc w:val="right"/>
              <w:ind w:right="351"/>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Contingently</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Paid in capital</w:t>
            </w:r>
          </w:p>
        </w:tc>
        <w:tc>
          <w:tcPr>
            <w:tcW w:w="124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87"/>
              </w:rPr>
              <w:t>Issuable Common</w:t>
            </w:r>
          </w:p>
        </w:tc>
        <w:tc>
          <w:tcPr>
            <w:tcW w:w="140" w:type="dxa"/>
            <w:vAlign w:val="bottom"/>
          </w:tcPr>
          <w:p>
            <w:pPr>
              <w:spacing w:after="0"/>
              <w:rPr>
                <w:sz w:val="11"/>
                <w:szCs w:val="11"/>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1"/>
                <w:szCs w:val="11"/>
                <w:color w:val="auto"/>
              </w:rPr>
            </w:pPr>
          </w:p>
        </w:tc>
        <w:tc>
          <w:tcPr>
            <w:tcW w:w="82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48,943,082</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395,491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(292,311)</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120,785</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2,478</w:t>
            </w:r>
          </w:p>
        </w:tc>
        <w:tc>
          <w:tcPr>
            <w:tcW w:w="0" w:type="dxa"/>
            <w:vAlign w:val="bottom"/>
          </w:tcPr>
          <w:p>
            <w:pPr>
              <w:spacing w:after="0"/>
              <w:rPr>
                <w:sz w:val="1"/>
                <w:szCs w:val="1"/>
                <w:color w:val="auto"/>
              </w:rPr>
            </w:pPr>
          </w:p>
        </w:tc>
      </w:tr>
      <w:tr>
        <w:trPr>
          <w:trHeight w:val="138"/>
        </w:trPr>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Release of Block B Sponsor Earnout Shares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859,000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from restriction</w:t>
            </w:r>
          </w:p>
        </w:tc>
        <w:tc>
          <w:tcPr>
            <w:tcW w:w="10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Arial" w:cs="Arial" w:eastAsia="Arial" w:hAnsi="Arial"/>
                <w:sz w:val="14"/>
                <w:szCs w:val="14"/>
                <w:color w:val="auto"/>
              </w:rPr>
              <w:t>Issuance of Contingently Issuable Common</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1,999,185</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17,600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(17,600)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Stock</w:t>
            </w: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(21,456)</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51,801,267</w:t>
            </w:r>
          </w:p>
        </w:tc>
        <w:tc>
          <w:tcPr>
            <w:tcW w:w="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415,569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(313,767)</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101,807</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Arial" w:cs="Arial" w:eastAsia="Arial" w:hAnsi="Arial"/>
                <w:sz w:val="14"/>
                <w:szCs w:val="14"/>
                <w:b w:val="1"/>
                <w:bCs w:val="1"/>
                <w:color w:val="auto"/>
              </w:rPr>
              <w:t>Balance, December 31, 2021</w:t>
            </w:r>
          </w:p>
        </w:tc>
        <w:tc>
          <w:tcPr>
            <w:tcW w:w="1060" w:type="dxa"/>
            <w:vAlign w:val="bottom"/>
          </w:tcPr>
          <w:p>
            <w:pPr>
              <w:jc w:val="right"/>
              <w:spacing w:after="0"/>
              <w:rPr>
                <w:sz w:val="20"/>
                <w:szCs w:val="20"/>
                <w:color w:val="auto"/>
              </w:rPr>
            </w:pPr>
            <w:r>
              <w:rPr>
                <w:rFonts w:ascii="Arial" w:cs="Arial" w:eastAsia="Arial" w:hAnsi="Arial"/>
                <w:sz w:val="14"/>
                <w:szCs w:val="14"/>
                <w:color w:val="auto"/>
              </w:rPr>
              <w:t>53,786,632</w:t>
            </w:r>
          </w:p>
        </w:tc>
        <w:tc>
          <w:tcPr>
            <w:tcW w:w="60" w:type="dxa"/>
            <w:vAlign w:val="bottom"/>
          </w:tcPr>
          <w:p>
            <w:pPr>
              <w:spacing w:after="0"/>
              <w:rPr>
                <w:sz w:val="14"/>
                <w:szCs w:val="14"/>
                <w:color w:val="auto"/>
              </w:rPr>
            </w:pPr>
          </w:p>
        </w:tc>
        <w:tc>
          <w:tcPr>
            <w:tcW w:w="800" w:type="dxa"/>
            <w:vAlign w:val="bottom"/>
          </w:tcPr>
          <w:p>
            <w:pPr>
              <w:jc w:val="right"/>
              <w:ind w:right="651"/>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448,969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(416,527)</w:t>
            </w:r>
          </w:p>
        </w:tc>
        <w:tc>
          <w:tcPr>
            <w:tcW w:w="6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32,447</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Exercise of warrants</w:t>
            </w:r>
          </w:p>
        </w:tc>
        <w:tc>
          <w:tcPr>
            <w:tcW w:w="106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Release of restricted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305,651</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Arial" w:cs="Arial" w:eastAsia="Arial" w:hAnsi="Arial"/>
                <w:sz w:val="14"/>
                <w:szCs w:val="14"/>
                <w:color w:val="auto"/>
                <w:w w:val="93"/>
              </w:rPr>
              <w:t>Cancellation of shares used to settle payroll tax</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(112,275)</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withholding</w:t>
            </w: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(45,791)</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Arial" w:cs="Arial" w:eastAsia="Arial" w:hAnsi="Arial"/>
                <w:sz w:val="14"/>
                <w:szCs w:val="14"/>
                <w:b w:val="1"/>
                <w:bCs w:val="1"/>
                <w:color w:val="auto"/>
              </w:rPr>
              <w:t>Balance, March 31,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53,980,608</w:t>
            </w:r>
          </w:p>
        </w:tc>
        <w:tc>
          <w:tcPr>
            <w:tcW w:w="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452,093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(462,318)</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(10,220)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960"/>
          </w:cols>
          <w:pgMar w:left="820" w:top="277" w:right="11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157" w:lineRule="exact"/>
        <w:rPr>
          <w:sz w:val="20"/>
          <w:szCs w:val="20"/>
          <w:color w:val="auto"/>
        </w:rPr>
      </w:pPr>
    </w:p>
    <w:p>
      <w:pPr>
        <w:ind w:left="8220"/>
        <w:spacing w:after="0"/>
        <w:rPr>
          <w:sz w:val="20"/>
          <w:szCs w:val="20"/>
          <w:color w:val="auto"/>
        </w:rPr>
      </w:pPr>
      <w:r>
        <w:rPr>
          <w:rFonts w:ascii="Arial" w:cs="Arial" w:eastAsia="Arial" w:hAnsi="Arial"/>
          <w:sz w:val="12"/>
          <w:szCs w:val="12"/>
          <w:color w:val="auto"/>
        </w:rPr>
        <w:t>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440" w:type="dxa"/>
            <w:vAlign w:val="bottom"/>
          </w:tcPr>
          <w:p>
            <w:pPr>
              <w:jc w:val="right"/>
              <w:ind w:right="289"/>
              <w:spacing w:after="0"/>
              <w:rPr>
                <w:sz w:val="20"/>
                <w:szCs w:val="20"/>
                <w:color w:val="auto"/>
              </w:rPr>
            </w:pPr>
            <w:r>
              <w:rPr>
                <w:rFonts w:ascii="Arial" w:cs="Arial" w:eastAsia="Arial" w:hAnsi="Arial"/>
                <w:sz w:val="14"/>
                <w:szCs w:val="14"/>
                <w:b w:val="1"/>
                <w:bCs w:val="1"/>
                <w:color w:val="auto"/>
              </w:rPr>
              <w:t>March 31, 2021</w:t>
            </w:r>
          </w:p>
        </w:tc>
      </w:tr>
      <w:tr>
        <w:trPr>
          <w:trHeight w:val="171"/>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(45,791)</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(21,456)</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reconcile net loss to net cash used in operating activities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2,478</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Non-cash lease expense</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from equity in unconsolidated joint venture</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Accreted interest on convertible note payable - related party</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debt issuance cost</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Change in fair value, embedded derivative - related party</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fair value, warrants liability - related party</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Vendor deposits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Security deposits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Accounts payable and accrued expenses - related parties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8,719</w:t>
            </w: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firm purchase commitments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Operating lease liabilities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Contract liabilities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Interest payable - related party</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payable</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28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r>
      <w:tr>
        <w:trPr>
          <w:trHeight w:val="17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28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(9,703)</w:t>
            </w:r>
          </w:p>
        </w:tc>
      </w:tr>
      <w:tr>
        <w:trPr>
          <w:trHeight w:val="97"/>
        </w:trPr>
        <w:tc>
          <w:tcPr>
            <w:tcW w:w="50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Investment in notes receivable</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(2,870)</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 in joint venture</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r>
      <w:tr>
        <w:trPr>
          <w:trHeight w:val="180"/>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28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w:t>
            </w:r>
          </w:p>
        </w:tc>
      </w:tr>
      <w:tr>
        <w:trPr>
          <w:trHeight w:val="17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(11,360)</w:t>
            </w:r>
          </w:p>
        </w:tc>
      </w:tr>
      <w:tr>
        <w:trPr>
          <w:trHeight w:val="139"/>
        </w:trPr>
        <w:tc>
          <w:tcPr>
            <w:tcW w:w="5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Principal payments on finance (capital) lease obligations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exercise of public warrants</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000" w:type="dxa"/>
            <w:vAlign w:val="bottom"/>
          </w:tcPr>
          <w:p>
            <w:pPr>
              <w:ind w:left="100"/>
              <w:spacing w:after="0"/>
              <w:rPr>
                <w:sz w:val="20"/>
                <w:szCs w:val="20"/>
                <w:color w:val="auto"/>
              </w:rPr>
            </w:pPr>
            <w:r>
              <w:rPr>
                <w:rFonts w:ascii="Arial" w:cs="Arial" w:eastAsia="Arial" w:hAnsi="Arial"/>
                <w:sz w:val="14"/>
                <w:szCs w:val="14"/>
                <w:color w:val="auto"/>
              </w:rPr>
              <w:t>Repurchase of shares from employees for income tax withholding purposes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Repayment of other financing</w:t>
            </w:r>
          </w:p>
        </w:tc>
        <w:tc>
          <w:tcPr>
            <w:tcW w:w="2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0"/>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Repayment of equipment financing facility</w:t>
            </w:r>
          </w:p>
        </w:tc>
        <w:tc>
          <w:tcPr>
            <w:tcW w:w="28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8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818"/>
        </w:trPr>
        <w:tc>
          <w:tcPr>
            <w:tcW w:w="5000" w:type="dxa"/>
            <w:vAlign w:val="bottom"/>
          </w:tcPr>
          <w:p>
            <w:pPr>
              <w:spacing w:after="0"/>
              <w:rPr>
                <w:sz w:val="24"/>
                <w:szCs w:val="24"/>
                <w:color w:val="auto"/>
              </w:rPr>
            </w:pPr>
          </w:p>
        </w:tc>
        <w:tc>
          <w:tcPr>
            <w:tcW w:w="2820" w:type="dxa"/>
            <w:vAlign w:val="bottom"/>
          </w:tcPr>
          <w:p>
            <w:pPr>
              <w:jc w:val="right"/>
              <w:ind w:right="2069"/>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7"/>
        </w:trPr>
        <w:tc>
          <w:tcPr>
            <w:tcW w:w="500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157" w:lineRule="exact"/>
        <w:rPr>
          <w:sz w:val="20"/>
          <w:szCs w:val="20"/>
          <w:color w:val="auto"/>
        </w:rPr>
      </w:pPr>
    </w:p>
    <w:p>
      <w:pPr>
        <w:ind w:left="8220"/>
        <w:spacing w:after="0"/>
        <w:rPr>
          <w:sz w:val="20"/>
          <w:szCs w:val="20"/>
          <w:color w:val="auto"/>
        </w:rPr>
      </w:pPr>
      <w:r>
        <w:rPr>
          <w:rFonts w:ascii="Arial" w:cs="Arial" w:eastAsia="Arial" w:hAnsi="Arial"/>
          <w:sz w:val="12"/>
          <w:szCs w:val="12"/>
          <w:color w:val="auto"/>
        </w:rPr>
        <w:t>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15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440" w:type="dxa"/>
            <w:vAlign w:val="bottom"/>
          </w:tcPr>
          <w:p>
            <w:pPr>
              <w:jc w:val="right"/>
              <w:ind w:right="289"/>
              <w:spacing w:after="0"/>
              <w:rPr>
                <w:sz w:val="20"/>
                <w:szCs w:val="20"/>
                <w:color w:val="auto"/>
              </w:rPr>
            </w:pPr>
            <w:r>
              <w:rPr>
                <w:rFonts w:ascii="Arial" w:cs="Arial" w:eastAsia="Arial" w:hAnsi="Arial"/>
                <w:sz w:val="14"/>
                <w:szCs w:val="14"/>
                <w:b w:val="1"/>
                <w:bCs w:val="1"/>
                <w:color w:val="auto"/>
              </w:rPr>
              <w:t>March 31, 2021</w:t>
            </w:r>
          </w:p>
        </w:tc>
      </w:tr>
      <w:tr>
        <w:trPr>
          <w:trHeight w:val="171"/>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(21,136)</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the period</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121,853</w:t>
            </w: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the period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100,717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820" w:type="dxa"/>
            <w:vAlign w:val="bottom"/>
          </w:tcPr>
          <w:p>
            <w:pPr>
              <w:ind w:left="100"/>
              <w:spacing w:after="0"/>
              <w:rPr>
                <w:sz w:val="20"/>
                <w:szCs w:val="20"/>
                <w:color w:val="auto"/>
              </w:rPr>
            </w:pPr>
            <w:r>
              <w:rPr>
                <w:rFonts w:ascii="Arial" w:cs="Arial" w:eastAsia="Arial" w:hAnsi="Arial"/>
                <w:sz w:val="14"/>
                <w:szCs w:val="14"/>
                <w:color w:val="auto"/>
              </w:rPr>
              <w:t>Accrued and unpaid capital expenditures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Right-of-use operating lease assets in exchange for lease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820" w:type="dxa"/>
            <w:vAlign w:val="bottom"/>
          </w:tcPr>
          <w:p>
            <w:pPr>
              <w:ind w:left="100"/>
              <w:spacing w:after="0"/>
              <w:rPr>
                <w:sz w:val="20"/>
                <w:szCs w:val="20"/>
                <w:color w:val="auto"/>
              </w:rPr>
            </w:pPr>
            <w:r>
              <w:rPr>
                <w:rFonts w:ascii="Arial" w:cs="Arial" w:eastAsia="Arial" w:hAnsi="Arial"/>
                <w:sz w:val="14"/>
                <w:szCs w:val="14"/>
                <w:color w:val="auto"/>
              </w:rPr>
              <w:t>Cash paid for interest</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reconciliation of cash, cash equivalents and restricted cash to amounts reported within the condensed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6"/>
                <w:szCs w:val="16"/>
                <w:color w:val="auto"/>
              </w:rPr>
            </w:pPr>
          </w:p>
        </w:tc>
        <w:tc>
          <w:tcPr>
            <w:tcW w:w="1560" w:type="dxa"/>
            <w:vAlign w:val="bottom"/>
          </w:tcPr>
          <w:p>
            <w:pPr>
              <w:jc w:val="right"/>
              <w:ind w:right="369"/>
              <w:spacing w:after="0"/>
              <w:rPr>
                <w:sz w:val="20"/>
                <w:szCs w:val="20"/>
                <w:color w:val="auto"/>
              </w:rPr>
            </w:pPr>
            <w:r>
              <w:rPr>
                <w:rFonts w:ascii="Arial" w:cs="Arial" w:eastAsia="Arial" w:hAnsi="Arial"/>
                <w:sz w:val="14"/>
                <w:szCs w:val="14"/>
                <w:b w:val="1"/>
                <w:bCs w:val="1"/>
                <w:color w:val="auto"/>
              </w:rPr>
              <w:t>March 31, 2021</w:t>
            </w:r>
          </w:p>
        </w:tc>
      </w:tr>
      <w:tr>
        <w:trPr>
          <w:trHeight w:val="171"/>
        </w:trPr>
        <w:tc>
          <w:tcPr>
            <w:tcW w:w="7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100,717</w:t>
            </w:r>
          </w:p>
        </w:tc>
      </w:tr>
      <w:tr>
        <w:trPr>
          <w:trHeight w:val="18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cash, cash equivalents and restricted cash</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Nature of Operations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Nature of Operations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Eos Energy Enterprises, Inc. (the “Company” or "Eos") designs, develops, manufactures, and sells innovative energy storage solutions for utility-scale microgrid, and commercial &amp; industrial (“C&amp;I”) applications. Eos has developed a broad range of intellectual property with multiple patents ranging from the unique battery chemistry, mechanical product design, energy block configuration and software operating system (battery management system). The Battery Management System (“BMS”) software uses proprietary Eos-developed algorithms and includes ambient and battery temperature sensors, as well as voltage and current sensors for the strings and the system. Eos focuses on developing and selling safe, reliable, long-lasting low-cost turn-key alternating current (“AC”) integrated systems using Eos’s direct current (“DC”) Battery System. The Company has a manufacturing facility in Turtle Creek, Pennsylvania to produce DC energy blocks with an integrated BMS. The Company’s primary markets focus on integrating battery storage solutions with (1) renewable energy systems that are connected to the utility power grid (2) renewable energy systems that are not connected to the utility power grid (3) renewable energy systems utilized to relieve congestion and (4) storage systems to assist C&amp;I customers in reducing their peak energy usage or participating in the utilities ancillary and demand response markets. The Company’s major market is North America with opportunistic growth opportunities in Europe, Africa, and Asia.</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Unless the context otherwise requires, the use of the terms “Eos” “the Company”, “we,” “us,” and “our” in these notes to the unaudited condensed consolidated financial statements refers to Eos Energy Enterprises, Inc. and its consolidated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 and Going Concern</w:t>
      </w:r>
    </w:p>
    <w:p>
      <w:pPr>
        <w:spacing w:after="0" w:line="125"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The Company remains in the process of product commercialization and full-scale manufacturing development and, as such, has had limited revenue generating activities to date Accordingly, the Company has incurred significant recurring losses and net operating cash outflows from operations since inception. Operating expenses consist primarily of costs related to the Company’s sales of its products, research and development costs and recurring general and administrative expenses. Management and the Company’s Board of Directors anticipate the Company will eventually reach a scale of profitability through the sale of battery storage systems and other complementary products and services, and therefore the Company believes the current stage of the Company’s lifecycle justifies continued intensive investment in the development and launch of products. Accordingly, the Company expects to continue to incur significant losses and net operating cash outflows from operations for the foreseeable future and to continue to require additional capital to fund the Company’s operations and obligations as they become due, including funding necessary to continue to scale up the Company’s operations to allow for the delivery of order backlog, to secure additional order opportunities for its battery storage systems, and to continue to invest in research and development.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March 31, 2022, Eos had total assets of $126,859, which includes total cash and cash equivalents of $55,361, total liabilities of $137,079, which includes the total amounts owed on the Company’s outstanding convertible notes payable of $77,083 (see Note 14), notes payable of $18,862 (see Note 15) and long-term debt of $5,982 (see Note 16) and a total accumulated deficit of $(462,318), which is primarily attributable to the significant recurring losses the Company has accumulated since inception. The Company has historically relied on outside capital to fund its cost structure and expects this reliance to continue for the foreseeable future until the Company reaches a scale of profitability through its planned revenue generating activities. However, as of the date the accompanying financial statements were issued, management concluded that the Company did not have sufficient capital on hand to support its current cost structure for one year after the date the accompanying financial statements were issued. Based on our current projections, the Company will need to secure additional capital, increase revenues or defer or reduce cash expenditures in the second quarter of 2022 to continue our operations.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 Nature of Operations and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31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believes these uncertainties raise substantial doubt about the Company’s ability to continue as a going concern. If the Company is unable to raise additional capital, on acceptable terms or at all, the Company may have to significantly delay, scale back or ultimately discontinue the development or commercialization of its product and/or consider a sale or other strategic transaction. The Company continues to pursue various funding options to raise additional capital to support its operations. As previously reported, the Company has moved through Part I of the application under the U.S. Department of Energy’s Loan Guarantee Solicitation for Applications for Renewable Energy Projects and Efficient Energy Projects (the “DOE Loan Program”), and currently anticipates submitting an application under Part II of the loan program in the second quarter of 2022. In addition, in April, the Company entered into a $200,000 common stock standby equity purchase agreement (the “SEPA”) with an affiliate of Yorkville Advisors (“Yorkville”). The SEPA gives Eos the right, but not the obligation, to sell up to $200,000 of common equity to an affiliate of Yorkville at times of Eos’ choosing during the two-year term of the agreement. The SEPA provides for shares to be issued to the investor at a discounted price of 97.0% of the 3-day volume-weighted average price following notification to the investor that the Company wishes to draw upon the facility (each, an “advance”). Furthermore, the SEPA allows for pre-advance loans in the aggregate principal amount not to exceed $50,000 per loan, pursuant to a promissory note subject to the mutual consent of the parties. Pre-advance loans must be repaid with the proceeds from sales of equity to Yorkville, to the extent outstanding at the time of an advance, or otherwise in cash. The Company’s rights to sell stock to the affiliate of Yorkville are subject to certain limitations, including that Yorkville may not purchase any shares that would result in it owning (1) more than 9.99% of the Company’s outstanding common stock at the time of an advance or (2) 19.99% of the Company’s outstanding common stock as of April 28, 2022 (the “Exchange Cap”), provided that the Exchange Cap does not apply to any sales of common stock under the SEPA that equal or exceed $2.15 per share. There can be no assurance that the Company will successfully complete Part II of the DOE Loan Program or that the Company will be able to utilize the SEPA to its full $200,000 capacity, or otherwise be able to obtain new funding from other sources on terms acceptable to us, on a timely basis, or at all.</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accompanying consolidated financial statements have been prepared on the basis that we will continue to operate as a going-concern, which contemplates we will be able to realize assets and settle liabilities and commitments in the normal course of business for the foreseeable future. The accompanying financial statements do not include any adjustments that may result from the outcome of these uncertainties.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These unaudited condensed consolidated financial statements should be read in conjunction with the audited consolidated financial statements, and the notes thereto, included in the Company’s Annual Report on Form 10-K for the year ended December 31, 2021. These interim results are not necessarily indicative of results for the full year.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Reclassification of Prior Year Presentation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 Nature of Operations and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311" w:lineRule="exact"/>
        <w:rPr>
          <w:sz w:val="20"/>
          <w:szCs w:val="20"/>
          <w:color w:val="auto"/>
        </w:rPr>
      </w:pPr>
    </w:p>
    <w:p>
      <w:pPr>
        <w:ind w:right="1400"/>
        <w:spacing w:after="0" w:line="419" w:lineRule="auto"/>
        <w:rPr>
          <w:sz w:val="20"/>
          <w:szCs w:val="20"/>
          <w:color w:val="auto"/>
        </w:rPr>
      </w:pPr>
      <w:r>
        <w:rPr>
          <w:rFonts w:ascii="Arial" w:cs="Arial" w:eastAsia="Arial" w:hAnsi="Arial"/>
          <w:sz w:val="14"/>
          <w:szCs w:val="14"/>
          <w:color w:val="auto"/>
        </w:rPr>
        <w:t xml:space="preserve">Certain prior year amounts have been reclassified for consistency with the current year presentation. These reclassifications had no effect on the reported results of operations. </w:t>
      </w:r>
      <w:r>
        <w:rPr>
          <w:rFonts w:ascii="Arial" w:cs="Arial" w:eastAsia="Arial" w:hAnsi="Arial"/>
          <w:sz w:val="14"/>
          <w:szCs w:val="14"/>
          <w:i w:val="1"/>
          <w:iCs w:val="1"/>
          <w:color w:val="auto"/>
        </w:rPr>
        <w:t>Recently Adopted Accounting Pronouncements</w:t>
      </w:r>
    </w:p>
    <w:p>
      <w:pPr>
        <w:jc w:val="both"/>
        <w:ind w:firstLine="336"/>
        <w:spacing w:after="0" w:line="262" w:lineRule="auto"/>
        <w:rPr>
          <w:sz w:val="20"/>
          <w:szCs w:val="20"/>
          <w:color w:val="auto"/>
        </w:rPr>
      </w:pPr>
      <w:r>
        <w:rPr>
          <w:rFonts w:ascii="Arial" w:cs="Arial" w:eastAsia="Arial" w:hAnsi="Arial"/>
          <w:sz w:val="14"/>
          <w:szCs w:val="14"/>
          <w:color w:val="auto"/>
        </w:rPr>
        <w:t xml:space="preserve">On January 1, 2021, the Company adopted ASU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("Topic 842"), using the transition method introduced by ASU 2018-11, which does not require revisions to comparative periods. Adoption of the new standard resulted in the recording of lease assets and lease liabilities of $3,662 and $4,465, respectively, as of January 1, 2021. The difference between the lease assets and lease liabilities primarily relates to deferred rent recorded in accordance with the previous leasing guidance. The new standard did not materially impact our consolidated statements of operations or statements of cash flows.</w:t>
      </w:r>
    </w:p>
    <w:p>
      <w:pPr>
        <w:spacing w:after="0" w:line="93" w:lineRule="exact"/>
        <w:rPr>
          <w:sz w:val="20"/>
          <w:szCs w:val="20"/>
          <w:color w:val="auto"/>
        </w:rPr>
      </w:pPr>
    </w:p>
    <w:p>
      <w:pPr>
        <w:jc w:val="both"/>
        <w:ind w:firstLine="336"/>
        <w:spacing w:after="0" w:line="262" w:lineRule="auto"/>
        <w:rPr>
          <w:sz w:val="20"/>
          <w:szCs w:val="20"/>
          <w:color w:val="auto"/>
        </w:rPr>
      </w:pPr>
      <w:r>
        <w:rPr>
          <w:rFonts w:ascii="Arial" w:cs="Arial" w:eastAsia="Arial" w:hAnsi="Arial"/>
          <w:sz w:val="14"/>
          <w:szCs w:val="14"/>
          <w:color w:val="auto"/>
        </w:rPr>
        <w:t xml:space="preserve">On January 1, 2021, the Company adopted ASU No. 2016-13, </w:t>
      </w:r>
      <w:r>
        <w:rPr>
          <w:rFonts w:ascii="Arial" w:cs="Arial" w:eastAsia="Arial" w:hAnsi="Arial"/>
          <w:sz w:val="14"/>
          <w:szCs w:val="14"/>
          <w:i w:val="1"/>
          <w:iCs w:val="1"/>
          <w:color w:val="auto"/>
        </w:rPr>
        <w:t>Financial Instruments-Credit Losses</w:t>
      </w:r>
      <w:r>
        <w:rPr>
          <w:rFonts w:ascii="Arial" w:cs="Arial" w:eastAsia="Arial" w:hAnsi="Arial"/>
          <w:sz w:val="14"/>
          <w:szCs w:val="14"/>
          <w:color w:val="auto"/>
        </w:rPr>
        <w:t xml:space="preserve"> (Topic 326), and the subsequent amendments. The standard sets forth an expected credit loss model which requires the measurement of expected credit losses for financial instruments based on historical experience, current conditions and reasonable and supportable forecasts. This replaces the existing incurred loss model and is applicable to the measurement of credit losses on financial assets measured at amortized cost, and certain off-balance sheet credit exposures. The adoption of this standard did not have a material impact on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2022, we implemented all applicable new accounting standards and updates issued by the Financial Accounting Standards Board ("FASB") that were in effect. There were no new standards or updates adopted during the three months ended March 31, 2022 that had a material impact on our condensed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Acquisition</w:t>
      </w:r>
    </w:p>
    <w:p>
      <w:pPr>
        <w:spacing w:after="0" w:line="12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previously reported, on April 8, 2021, the Company entered into a unit purchase agreement (the “Purchase Agreement”) with Holtec Power, Inc. (“Holtec”), in accordance with the terms and conditions of which the Company purchased from Holtec the remaining 51% interest in HI-POWER, LLC (“Hi-Power”) that was not already owned by the Company. Hi-Power was incorporated as a joint venture between the Company and Holtec in 2019 (refer to Note 7). In connection with the transaction, the Company also entered into a transition services agreement and a sublease with Holtec. The transaction closed on April 9, 2021 (“Acquisition Date”).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8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Purchase Agreement provided that the Company pay an aggregate purchase price of $25,000 for 51% interest in Hi-Power, pursuant to the following schedule: $5,000 on each of May 31, 2021, May 31, 2022, May 31, 2023, May 31, 2024, and May 31, 2025, evidenced by a secured promissory note secured by the assets of the Company. The Purchase Agreement also required that the Company pay to Holtec, on the closing of the Transactions, an amount in cash equal to $10,283. Payments to Holtec under this Purchase Agreement totaled $35,283. The fair value of these payments was $33,474 at the Acquisition Date and included $32,750 allocated to the termination of a pre-existing agreement with Holtec and $724 allocated to the acquisition.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obligations and rights of both parties under the pre-existing Joint Venture Agreement were terminated at the time of acquisition and $32,750 of the fair value of the consideration transferred was allocated to the termination of such agreement, which resulted in a loss on the pre-existing agreement of $— and $7,852 for the three months ended March 31, 2022 and 2021, respectively. The Company had paid $10,283 on the date of closing and $5,000 on May 31, 2021. The present value of the remaining obligation was recorded as debt, which as of March 31, 2022 includes a current portion of $4,970 and a long-term portion of $13,892.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 Acquisition </w:t>
      </w:r>
      <w:r>
        <w:rPr>
          <w:rFonts w:ascii="Arial" w:cs="Arial" w:eastAsia="Arial" w:hAnsi="Arial"/>
          <w:sz w:val="14"/>
          <w:szCs w:val="14"/>
          <w:color w:val="auto"/>
        </w:rPr>
        <w:t>(cont.)</w:t>
      </w:r>
    </w:p>
    <w:p>
      <w:pPr>
        <w:spacing w:after="0" w:line="200" w:lineRule="exact"/>
        <w:rPr>
          <w:sz w:val="20"/>
          <w:szCs w:val="20"/>
          <w:color w:val="auto"/>
        </w:rPr>
      </w:pP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Prior to the acquisition of the remaining 51% ownership interest in Hi-Power, the Company accounted for its initial 49% ownership interest in Hi-Power as an unconsolidated joint venture under the equity method of accounting (refer to Note 7). In connection with the acquisition of the remaining 51% ownership interest in Hi-Power, our condensed consolidated financial statements now include all of the accounts of Hi-Power, and all intercompany balances and transactions have been eliminated in consolidation. The results of operations of Hi-Power have been included in the Company’s condensed consolidated financial statements since the date of acquisition.</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consideration transferred for our now 100% ownership interest in connection with this acquisition, net of intercompany balances between the Company and Hi-Power, totaled $418, of which $205 represents the fair value of our previously held 49% ownership interest in Hi-Power. In accordance with Accounting Standards Codification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we remeasured our previously held 49% ownership interest in Hi-Power at its acquisition date fair value. As of the acquisition date, a loss of $7,480 was recognized in earnings for the remeasurement of our previously held 49% ownership interest.</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summarizes the final allocation of the purchase price to the fair values of the assets acquired and liabilities assumed as of the Acquisition Date. There were no material changes to the purchase price allocation during the three months ended March 31,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1269"/>
              <w:spacing w:after="0"/>
              <w:rPr>
                <w:sz w:val="20"/>
                <w:szCs w:val="20"/>
                <w:color w:val="auto"/>
              </w:rPr>
            </w:pPr>
            <w:r>
              <w:rPr>
                <w:rFonts w:ascii="Arial" w:cs="Arial" w:eastAsia="Arial" w:hAnsi="Arial"/>
                <w:sz w:val="14"/>
                <w:szCs w:val="14"/>
                <w:b w:val="1"/>
                <w:bCs w:val="1"/>
                <w:color w:val="auto"/>
              </w:rPr>
              <w:t>Amount</w:t>
            </w:r>
          </w:p>
        </w:tc>
      </w:tr>
      <w:tr>
        <w:trPr>
          <w:trHeight w:val="17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72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w:t>
            </w: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Vendor deposits</w:t>
            </w:r>
          </w:p>
        </w:tc>
        <w:tc>
          <w:tcPr>
            <w:tcW w:w="7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818</w:t>
            </w:r>
          </w:p>
        </w:tc>
      </w:tr>
      <w:tr>
        <w:trPr>
          <w:trHeight w:val="18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4,331</w:t>
            </w:r>
          </w:p>
        </w:tc>
      </w:tr>
      <w:tr>
        <w:trPr>
          <w:trHeight w:val="18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expenses</w:t>
            </w:r>
          </w:p>
        </w:tc>
        <w:tc>
          <w:tcPr>
            <w:tcW w:w="72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w:t>
            </w:r>
          </w:p>
        </w:tc>
      </w:tr>
      <w:tr>
        <w:trPr>
          <w:trHeight w:val="18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firm purchase commitments</w:t>
            </w:r>
          </w:p>
        </w:tc>
        <w:tc>
          <w:tcPr>
            <w:tcW w:w="7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(3,890)</w:t>
            </w:r>
          </w:p>
        </w:tc>
      </w:tr>
      <w:tr>
        <w:trPr>
          <w:trHeight w:val="196"/>
        </w:trPr>
        <w:tc>
          <w:tcPr>
            <w:tcW w:w="812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Net assets acquired, net of cash and cash equivalents of $53 </w:t>
            </w:r>
            <w:r>
              <w:rPr>
                <w:rFonts w:ascii="Arial" w:cs="Arial" w:eastAsia="Arial" w:hAnsi="Arial"/>
                <w:sz w:val="18"/>
                <w:szCs w:val="18"/>
                <w:color w:val="auto"/>
                <w:vertAlign w:val="superscript"/>
              </w:rPr>
              <w:t>1</w:t>
            </w: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expects the goodwill recognized as part of the acquisition will be deductible for U.S. income tax purposes. The Company also incurred insignificant non-consideration acquisition expenses including legal and accounting services related to the acquisition, which are recorded in selling, general and administrative expenses on the Company’s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 Recognition</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primarily earns revenue from sales of its energy storage systems and services including installation, commissioning, and extended warranty services. Product revenues, which were recognized at a point in time, were $3,293 and $164 for the three months ended March 31, 2022 and 2021, respectively and service revenues, which were recognized over time, were $5 and $— for the three months ended March 31, 2022 and 2021, respectively.</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March 31, 2022, we had three customers who accounted for 43.6%, 31.5% and 15.1% of the total revenue. For the three months ended March 31, 2021, we had one customer who accounted for 100% of the total revenue.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assets and Contract liabilities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provides information about contract assets and contract liabilities from contracts with customers. Contract assets are included in other current assets and contract liabilities are included separately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34747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97" w:lineRule="exact"/>
        <w:rPr>
          <w:sz w:val="20"/>
          <w:szCs w:val="20"/>
          <w:color w:val="auto"/>
        </w:rPr>
      </w:pPr>
    </w:p>
    <w:p>
      <w:pPr>
        <w:ind w:left="5580" w:right="5440" w:hanging="5575"/>
        <w:spacing w:after="0" w:line="473" w:lineRule="auto"/>
        <w:tabs>
          <w:tab w:leader="none" w:pos="117" w:val="left"/>
        </w:tabs>
        <w:numPr>
          <w:ilvl w:val="0"/>
          <w:numId w:val="3"/>
        </w:numPr>
        <w:rPr>
          <w:rFonts w:ascii="Arial" w:cs="Arial" w:eastAsia="Arial" w:hAnsi="Arial"/>
          <w:sz w:val="18"/>
          <w:szCs w:val="18"/>
          <w:color w:val="auto"/>
          <w:vertAlign w:val="superscript"/>
        </w:rPr>
      </w:pPr>
      <w:r>
        <w:rPr>
          <w:rFonts w:ascii="Arial" w:cs="Arial" w:eastAsia="Arial" w:hAnsi="Arial"/>
          <w:sz w:val="12"/>
          <w:szCs w:val="12"/>
          <w:color w:val="auto"/>
        </w:rPr>
        <w:t>Net assets acquired exclude the intercompany balance between Eos and Hi-Power and cash acquired.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Revenue Recognition </w:t>
      </w:r>
      <w:r>
        <w:rPr>
          <w:rFonts w:ascii="Arial" w:cs="Arial" w:eastAsia="Arial" w:hAnsi="Arial"/>
          <w:sz w:val="14"/>
          <w:szCs w:val="14"/>
          <w:color w:val="auto"/>
        </w:rPr>
        <w:t>(cont.)</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4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7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2021</w:t>
            </w:r>
          </w:p>
        </w:tc>
      </w:tr>
      <w:tr>
        <w:trPr>
          <w:trHeight w:val="171"/>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122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w:t>
            </w:r>
          </w:p>
        </w:tc>
      </w:tr>
      <w:tr>
        <w:trPr>
          <w:trHeight w:val="180"/>
        </w:trPr>
        <w:tc>
          <w:tcPr>
            <w:tcW w:w="776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1220" w:type="dxa"/>
            <w:vAlign w:val="bottom"/>
          </w:tcPr>
          <w:p>
            <w:pPr>
              <w:jc w:val="right"/>
              <w:ind w:right="106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2,923</w:t>
            </w:r>
          </w:p>
        </w:tc>
        <w:tc>
          <w:tcPr>
            <w:tcW w:w="1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849</w:t>
            </w:r>
          </w:p>
        </w:tc>
      </w:tr>
    </w:tbl>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recognizes contract assets for certain contracts in which revenue recognition performance obligations have been satisfied however, invoicing to the customer has not yet occurred. Contract liabilities primarily relate to advance consideration received from customers in advance of the Company’s satisfying performance obligations under contractual arrangements. Contract balances are reported in a net contract asset or liability position on a contract-by-contract basis at the end of each reporting period.</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Contract assets decreased by $431 during the three months ended March 31, 2022 due to reclassifications to accounts receivable from billings on existing contracts. Contract liabilities increased by $2,074 during the three months ended March 31, 2022, reflecting $2,170 in customer billings, which were not recognized as revenue during the period, offset by the recognition of $96 of revenue during the three months ended March 31, 2022 that was included in the contract liability balance at the beginning of the period.</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Contract liabilities increased by $750 during the three months ended March 31, 2021 due to the timing of customer invoices in relation to the timing of revenue recognized. The Company recognized $— of revenue during the three months ended March 31, 2021 that was included in the contract liability balance at the beginning of the period.</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Contract liabilities of $1,763 as of March 31, 2022 are expected to be recognized within the next twelve months. $1,160 of long-term contract liabilities are expected to be recognized as revenue during 2023.</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Inventory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provides information about inventory balances: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629"/>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right"/>
              <w:ind w:right="62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78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9,833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11,898</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71"/>
        </w:trPr>
        <w:tc>
          <w:tcPr>
            <w:tcW w:w="4220" w:type="dxa"/>
            <w:vAlign w:val="bottom"/>
          </w:tcPr>
          <w:p>
            <w:pPr>
              <w:ind w:left="200"/>
              <w:spacing w:after="0"/>
              <w:rPr>
                <w:sz w:val="20"/>
                <w:szCs w:val="20"/>
                <w:color w:val="auto"/>
              </w:rPr>
            </w:pPr>
            <w:r>
              <w:rPr>
                <w:rFonts w:ascii="Arial" w:cs="Arial" w:eastAsia="Arial" w:hAnsi="Arial"/>
                <w:sz w:val="14"/>
                <w:szCs w:val="14"/>
                <w:color w:val="auto"/>
              </w:rPr>
              <w:t>Total Inventory, net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10,292</w:t>
            </w:r>
          </w:p>
        </w:tc>
        <w:tc>
          <w:tcPr>
            <w:tcW w:w="16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5. Property, Plant and Equipment, net</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380" w:type="dxa"/>
            <w:vAlign w:val="bottom"/>
            <w:gridSpan w:val="5"/>
          </w:tcPr>
          <w:p>
            <w:pPr>
              <w:spacing w:after="0"/>
              <w:rPr>
                <w:sz w:val="20"/>
                <w:szCs w:val="20"/>
                <w:color w:val="auto"/>
              </w:rPr>
            </w:pPr>
            <w:r>
              <w:rPr>
                <w:rFonts w:ascii="Arial" w:cs="Arial" w:eastAsia="Arial" w:hAnsi="Arial"/>
                <w:sz w:val="14"/>
                <w:szCs w:val="14"/>
                <w:color w:val="auto"/>
                <w:w w:val="94"/>
              </w:rPr>
              <w:t>As of March 31, 2022 and December 31, 2021, property, plant and equipment, net consisted of the following:</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13,489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Finance lease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Pr>
          <w:p>
            <w:pPr>
              <w:spacing w:after="0"/>
              <w:rPr>
                <w:sz w:val="15"/>
                <w:szCs w:val="15"/>
                <w:color w:val="auto"/>
              </w:rPr>
            </w:pPr>
          </w:p>
        </w:tc>
        <w:tc>
          <w:tcPr>
            <w:tcW w:w="3700" w:type="dxa"/>
            <w:vAlign w:val="bottom"/>
            <w:gridSpan w:val="4"/>
          </w:tcPr>
          <w:p>
            <w:pPr>
              <w:jc w:val="right"/>
              <w:ind w:right="749"/>
              <w:spacing w:after="0"/>
              <w:rPr>
                <w:sz w:val="20"/>
                <w:szCs w:val="20"/>
                <w:color w:val="auto"/>
              </w:rPr>
            </w:pPr>
            <w:r>
              <w:rPr>
                <w:rFonts w:ascii="Arial" w:cs="Arial" w:eastAsia="Arial" w:hAnsi="Arial"/>
                <w:sz w:val="14"/>
                <w:szCs w:val="14"/>
                <w:color w:val="auto"/>
              </w:rPr>
              <w:t>Lesser of useful life/remaining lease</w:t>
            </w: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Tooling</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22,433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20,509</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(7,619)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20" w:type="dxa"/>
            <w:vAlign w:val="bottom"/>
          </w:tcPr>
          <w:p>
            <w:pPr>
              <w:ind w:left="80"/>
              <w:spacing w:after="0"/>
              <w:rPr>
                <w:sz w:val="20"/>
                <w:szCs w:val="20"/>
                <w:color w:val="auto"/>
              </w:rPr>
            </w:pPr>
            <w:r>
              <w:rPr>
                <w:rFonts w:ascii="Arial" w:cs="Arial" w:eastAsia="Arial" w:hAnsi="Arial"/>
                <w:sz w:val="14"/>
                <w:szCs w:val="14"/>
                <w:color w:val="auto"/>
              </w:rPr>
              <w:t>Total Property, Plant and Equipment, net</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14,520</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12,890</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 Property, Plant and Equipment, net </w:t>
      </w:r>
      <w:r>
        <w:rPr>
          <w:rFonts w:ascii="Arial" w:cs="Arial" w:eastAsia="Arial" w:hAnsi="Arial"/>
          <w:sz w:val="14"/>
          <w:szCs w:val="14"/>
          <w:color w:val="auto"/>
        </w:rPr>
        <w:t>(cont.)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expense related to property, plant and equipment was $985 and $475 for the three months ended March 31,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Intangible Assets</w:t>
      </w:r>
    </w:p>
    <w:p>
      <w:pPr>
        <w:spacing w:after="0" w:line="15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Intangible assets consist of various patents valued at $400, which represents the cost to acquire the patents. These patents are determined to have useful lives and are amortized into the results of operations over ten years. For the three months ended March 31, 2022 and 2021, the Company recorded amortization expenses of $10 for each period related to patents.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20" w:type="dxa"/>
            <w:vAlign w:val="bottom"/>
          </w:tcPr>
          <w:p>
            <w:pPr>
              <w:spacing w:after="0"/>
              <w:rPr>
                <w:sz w:val="20"/>
                <w:szCs w:val="20"/>
                <w:color w:val="auto"/>
              </w:rPr>
            </w:pPr>
            <w:r>
              <w:rPr>
                <w:rFonts w:ascii="Arial" w:cs="Arial" w:eastAsia="Arial" w:hAnsi="Arial"/>
                <w:sz w:val="14"/>
                <w:szCs w:val="14"/>
                <w:color w:val="auto"/>
              </w:rPr>
              <w:t>Estimated future amortization expense of intangible assets as of March 31, 2022 are as follows:</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9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Remainder of 2022</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2024</w:t>
            </w: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2026</w:t>
            </w: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Thereafter</w:t>
            </w: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Investment in unconsolidated joint venture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August 2019, the Company entered into an agreement with Holtec Power, Inc. (“Holtec”) to form the unconsolidated joint venture HI-POWER LLC (“Hi-Power” or “JV”). The JV was formed in order to manufacture the products for all of the Company’s projects in North America. Accordingly, the Company had purchased battery storage systems and spare parts from the JV. The facility is located in Turtle Creek, Pennsylvania. The Company’s financial commitment to the JV upon inception was $4,100 in the form of a combination of cash and special purpose manufacturing equipment. Eos’s initial ownership interest was 49%. On April 9, 2021, the Company acquired the remaining 51% ownership interest and Hi-Power became a wholly-owned subsidiary thereafter. Refer to Note 2 for the acquisition details.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March 31, 2022 and 2021, contributions made to the JV were $— and $4,000, respectively. The investment income recognized from the unconsolidated joint venture under the equity method of accounting was $— and $440 for the three months ended March 31, 2022 and 2021,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Notes receivable, net and Variable interest entities (“VIEs”) consideration</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Notes receivable consist primarily of amounts due to us related to the financing we offered to customers. We report notes receivable at the principal balance outstanding less an allowance for losses. We monitor the financial condition of the notes receivable and record provisions for estimated losses when we believe it is probable that the holders of the notes receivable will be unable to make their required payments. We charge interest at a fixed rate and interest income is calculated by applying the effective rate to the outstanding principal balance.</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had notes receivable of $3,619 and $3,650 outstanding as of March 31, 2022 and December 31, 2021, respectively. As of March 31, 2022 and December 31, 2021, the Company recorded an allowance for expected credit loss from the notes receivable of $7 and $6, respectively.</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The customers to whom we offer financing through notes receivables are VIEs. However, the Company is not the primary beneficiary, because we do not have power to direct the activities of the VIEs that most significantly impact the VIEs’ economic performance. The VIEs are not consolidated into the Company’s financial statements but rather disclosed in the notes to our financial statements under ASC 810, </w:t>
      </w:r>
      <w:r>
        <w:rPr>
          <w:rFonts w:ascii="Arial" w:cs="Arial" w:eastAsia="Arial" w:hAnsi="Arial"/>
          <w:sz w:val="14"/>
          <w:szCs w:val="14"/>
          <w:i w:val="1"/>
          <w:iCs w:val="1"/>
          <w:color w:val="auto"/>
        </w:rPr>
        <w:t>Consolidation.</w:t>
      </w:r>
      <w:r>
        <w:rPr>
          <w:rFonts w:ascii="Arial" w:cs="Arial" w:eastAsia="Arial" w:hAnsi="Arial"/>
          <w:sz w:val="14"/>
          <w:szCs w:val="14"/>
          <w:color w:val="auto"/>
        </w:rPr>
        <w:t xml:space="preserve"> The maximum loss exposure is limited to the carrying value of notes receivable as of the balances sheet dates.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Commitments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lease commitments under lease agreements. Refer to Note 19 for discussion.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Firm Purchase Commitments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 ensure adequate and timely supply of raw material for production, the Company, from time to time, enters into non-cancellable purchase contracts with vendors. As of March 31, 2022, the Company had open purchase commitments of $1,724 under these contracts.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of March 31, 2022, the Company remains under a previously-reported investigation by the U.S. Department of Justice (“DOJ”) for underpayment of certain custom duties from the past years for the imports of supplies from international vendors. As of the date of this report, no complaint has been filed against the Company. The Company accrued $900 for the probable loss included in accrued expenses on the condensed consolidated balance sheets as of March 31, 2022. However, at this time, it is difficult to predict the final outcome or resolution of any claims.</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Grant Expense, Net</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was approved for two grants by the California Energy Commission (CEC) totaling approximately $7,000. In accordance with the grant agreements, we are responsible for conducting studies to demonstrate the benefits of certain energy-saving technologies to utility companies and consumers in the State of California and are entitled to receive portions of the grants based upon expenses incurred by the Company.</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March 31, 2022 and 2021, the Company recorded grant expense, net of $173 and $8, respectively, which comprised of grant income of $26 and $329 and grant costs of $199 and $337. For the three months ended of March 31, 2022 and 2021, Eos has received no payments from the CEC.</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March 31, 2022 and December 31, 2021, the Company had grant receivable in the amounts of $1,046 and $1,020, respectively. The expenses incurred by the Company related to the performance of studies in accordance with the respective grant agreements are offset, against the grants revenue received or receivable from the CEC for which the grant is intended to compensate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For the three months ended March 31, 2022 and 2021, the reported income tax benefit was $42 and $—, respectively, and differs from the amount computed by applying the statutory U.S. federal income tax rate of 21% to the loss before income taxes due to non-taxable gains, foreign operations, and pre-tax losses for which no tax benefit can be recognized for U.S. income tax purposes.</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(benefit)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 (cont.)</w:t>
      </w: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March 31, 2022 and December 31, 2021 due to cumulative losses. Therefore, the Company has a valuation allowance against its net deferred tax assets.</w:t>
      </w:r>
    </w:p>
    <w:p>
      <w:pPr>
        <w:spacing w:after="0" w:line="6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As of March 31, 2022 and December 31, 2021,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spacing w:after="0" w:line="3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files income tax returns in U.S. federal and various state jurisdictions, as well as Italy and India. The open tax years for federal returns is 2018 and forward, and open tax years for state returns is generally 2017 and forward. In addition, net operating losses generated in closed years and utilized in open years are subject to adjustment by the tax authorities.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Related Party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Note Payable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2021, the Company issued $100,000 aggregate principal amount of convertible notes to Spring Creek Capital, LLC, a wholly-owned, indirect subsidiary of Koch Industries, Inc (the “2021 Convertible Note” or the “Notes”). In connection with the 2021 Convertible Note, the Company paid $3,000 to B. Riley Securities, Inc., a related party, who acted as a placement agent. This transaction was reviewed and approved as a related party transaction. As of December 31, 2021, interest expense of $2,900 from the 2021 Convertible Note was recorded as convertible notes - related party on the condensed consolidated balance sheets.</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the three months ended March 31, 2022 and 2021, interest expense of $2,174 and $— was recorded for the 2021 Convertible Note. The change in fair value of the embedded derivative of $7,695 was recorded for the three months ended March 31, 2022 on the condensed consolidated statements of operations. As of March 31, 2022 and December 31, 2021, interest payable of $1,544 and $— was recorded as interest payable - related party on the condensed consolidated balance sheets. Refer to Note 14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 on pre-existing agreement</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March 31, 2022 and 2021, $— and $7,852 was charged to loss on pre-existing agreement in connection with the acquisition of Hi-Power, respectively. Refer to Note 2 for the acquisition details.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Disgorgement of short swing profits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months ended March 31, 2021, the Company received $432 from its then affiliated company B. Riley Securities, Inc resulting from disgorgement of short swing profits under Section 16</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(b) of the Exchange Act. This amount was recognized as an increase to Additional Paid in Capital as a capital contribution from stockholder when it was earned.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Warrants liability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private warrants issued to an affiliated company owned by B. Riley Financial, Inc. as of March 31, 2022 and December 31, 2021. Refer to Note 17 for details.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Settlement Agreement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12. Related Party Transactions </w:t>
      </w:r>
      <w:r>
        <w:rPr>
          <w:rFonts w:ascii="Arial" w:cs="Arial" w:eastAsia="Arial" w:hAnsi="Arial"/>
          <w:sz w:val="14"/>
          <w:szCs w:val="14"/>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disclosed at the time of the Merger Agreement, prior to the execution and delivery of the Merger Agreement, certain unitholders of EES (“Hellman Parties”) asserted claims (“Threatened Claims”) against another director and affiliated investors, including AltEnergy Storage VI, LLC (the "Securityholder Representative"), questioning the dilutive effect of certain historical security issuances on the former EES common unitholders.</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Under the Merger Agreement, the Securityholder Representative had the obligation to defend against the Threatened Claims, and the Company had the obligation to advance or cause to be advanced to the Securityholder Representative up to $5,000 of defense costs, subject to a deductible of $2,000 (the "Deductible"), in connection with the investigation, defense, or settlement of any Threatened Claims. The Deductible was to be borne by the Company, and any additional amounts advanced were reimbursable by the former unitholders of EES.</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December 1, 2021, a Settlement Agreement was entered into between Hellman Parties and the Securityholder Representative pursuant to which, 300,000 Eos Shares (“Settlement Shares”) were to be transferred to the Hellman parties from the EES unitholders at the time of merger.</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December 28, 2021, the independent members of the Company’s Board of Directors approved a contribution of $1,200 towards the Settlement based on their determination that, among other reasons, this contribution (i) would ensure that the Company would not have to spend the entire $2,000 Deductible towards the costs of defense if the litigation were to continue, (ii) would avoid the distraction, uncertainty, and overhang of litigation relating to the Mergers, (iii) would benefit the Company’s future relationships with its long-term investors, and (iv) would generate future goodwill with such investors during an important growth stage of the Company. Because the Company’s contribution benefited certain Eos shareholders at the time of the Merger Agreement, including AltEnergy LLC and B. Riley Financial Inc, this transaction was reviewed and approved as a related party transaction. On December 29, 2021, an amendment to the Settlement Agreement was entered into, pursuant to which, $1,200 of the value represented by the Settlement Shares was to be paid in cash, representing the equivalent of 140,023 of the Settlement Shares.</w:t>
      </w:r>
    </w:p>
    <w:p>
      <w:pPr>
        <w:spacing w:after="0" w:line="11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accrued $1,200 in accounts payable and accrued expenses - related party on December 31, 2021, which has been paid on January 4, 2022. The remaining 159,977 in Settlement Shares were transferred to the Hellman Parties from the former EES unitholders, on a pro rata basis, on December 29, 2021.</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Accrued Expenses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March 31, 2022 and December 31, 2021, accrued expenses consisted of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March 31, 2022</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December 31, 2021</w:t>
            </w: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w:t>
            </w:r>
          </w:p>
        </w:tc>
        <w:tc>
          <w:tcPr>
            <w:tcW w:w="2060" w:type="dxa"/>
            <w:vAlign w:val="bottom"/>
            <w:shd w:val="clear" w:color="auto" w:fill="CCEEFF"/>
          </w:tcPr>
          <w:p>
            <w:pPr>
              <w:jc w:val="right"/>
              <w:ind w:right="190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w:t>
            </w:r>
          </w:p>
        </w:tc>
      </w:tr>
      <w:tr>
        <w:trPr>
          <w:trHeight w:val="180"/>
        </w:trPr>
        <w:tc>
          <w:tcPr>
            <w:tcW w:w="5500" w:type="dxa"/>
            <w:vAlign w:val="bottom"/>
          </w:tcPr>
          <w:p>
            <w:pPr>
              <w:ind w:left="20"/>
              <w:spacing w:after="0"/>
              <w:rPr>
                <w:sz w:val="20"/>
                <w:szCs w:val="20"/>
                <w:color w:val="auto"/>
              </w:rPr>
            </w:pPr>
            <w:r>
              <w:rPr>
                <w:rFonts w:ascii="Arial" w:cs="Arial" w:eastAsia="Arial" w:hAnsi="Arial"/>
                <w:sz w:val="14"/>
                <w:szCs w:val="14"/>
                <w:color w:val="auto"/>
              </w:rPr>
              <w:t>Warranty reserve</w:t>
            </w:r>
          </w:p>
        </w:tc>
        <w:tc>
          <w:tcPr>
            <w:tcW w:w="2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Arial" w:cs="Arial" w:eastAsia="Arial" w:hAnsi="Arial"/>
                <w:sz w:val="14"/>
                <w:szCs w:val="14"/>
                <w:color w:val="auto"/>
              </w:rPr>
              <w:t>2,112</w:t>
            </w:r>
          </w:p>
        </w:tc>
      </w:tr>
      <w:tr>
        <w:trPr>
          <w:trHeight w:val="181"/>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legal and professional expenses</w:t>
            </w:r>
          </w:p>
        </w:tc>
        <w:tc>
          <w:tcPr>
            <w:tcW w:w="2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r>
      <w:tr>
        <w:trPr>
          <w:trHeight w:val="18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w:t>
            </w: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60" w:type="dxa"/>
            <w:vAlign w:val="bottom"/>
            <w:tcBorders>
              <w:bottom w:val="single" w:sz="8" w:color="auto"/>
            </w:tcBorders>
            <w:shd w:val="clear" w:color="auto" w:fill="CCEEFF"/>
          </w:tcPr>
          <w:p>
            <w:pPr>
              <w:jc w:val="right"/>
              <w:ind w:right="190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12,798</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warranty reserve activity for the three months ended March 31, 2022.</w:t>
      </w:r>
    </w:p>
    <w:p>
      <w:pPr>
        <w:spacing w:after="0" w:line="175"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Warranty reserve - beginning of period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for current year deliveries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Changes in the estimate of warranty reserve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Warranty costs incurred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Warranty reserve - end of period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Borders>
              <w:top w:val="single" w:sz="8" w:color="auto"/>
            </w:tcBorders>
          </w:tcPr>
          <w:p>
            <w:pPr>
              <w:jc w:val="right"/>
              <w:ind w:right="1309"/>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2,112</w:t>
            </w:r>
          </w:p>
        </w:tc>
      </w:tr>
      <w:tr>
        <w:trPr>
          <w:trHeight w:val="180"/>
        </w:trPr>
        <w:tc>
          <w:tcPr>
            <w:tcW w:w="1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180"/>
        </w:trPr>
        <w:tc>
          <w:tcPr>
            <w:tcW w:w="1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955</w:t>
            </w:r>
          </w:p>
        </w:tc>
      </w:tr>
      <w:tr>
        <w:trPr>
          <w:trHeight w:val="181"/>
        </w:trPr>
        <w:tc>
          <w:tcPr>
            <w:tcW w:w="14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r>
      <w:tr>
        <w:trPr>
          <w:trHeight w:val="171"/>
        </w:trPr>
        <w:tc>
          <w:tcPr>
            <w:tcW w:w="1480" w:type="dxa"/>
            <w:vAlign w:val="bottom"/>
            <w:tcBorders>
              <w:bottom w:val="single" w:sz="8" w:color="auto"/>
            </w:tcBorders>
          </w:tcPr>
          <w:p>
            <w:pPr>
              <w:jc w:val="right"/>
              <w:ind w:right="130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-376555</wp:posOffset>
            </wp:positionV>
            <wp:extent cx="716153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-147320</wp:posOffset>
            </wp:positionV>
            <wp:extent cx="716153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240"/>
          </w:cols>
          <w:pgMar w:left="300" w:top="129" w:right="319"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Convertible Note Payable - Related party</w:t>
      </w:r>
    </w:p>
    <w:p>
      <w:pPr>
        <w:spacing w:after="0" w:line="129"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As previously reported, on July 6, 2021, the Company entered into an investment agreement (the “Investment Agreement”) with Spring Creek Capital, LLC, a wholly-owned, indirect subsidiary of Koch Industries providing for the issuance and sale to Koch Industries of convertible notes in the aggregate principal amount of $100,000 (“2021 Convertible Note”). The transactions contemplated by the Investment Agreement closed on July 7, 2021 (the “Issue Date”). The Maturity Date of the 2021 Convertible Note is June 30, 2026, subject to earlier conversion, redemption, or repurchase.</w:t>
      </w:r>
    </w:p>
    <w:p>
      <w:pPr>
        <w:spacing w:after="0" w:line="93"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The Company estimated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Refer to Note 20 for definition of the fair value hierarchy. The assumptions used to determine the fair value of the embedded conversion feature as of December 31, 2021 and March 31, 2022 and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2180" w:type="dxa"/>
            <w:vAlign w:val="bottom"/>
            <w:gridSpan w:val="2"/>
          </w:tcPr>
          <w:p>
            <w:pPr>
              <w:ind w:left="740"/>
              <w:spacing w:after="0"/>
              <w:rPr>
                <w:sz w:val="20"/>
                <w:szCs w:val="20"/>
                <w:color w:val="auto"/>
              </w:rPr>
            </w:pPr>
            <w:r>
              <w:rPr>
                <w:rFonts w:ascii="Arial" w:cs="Arial" w:eastAsia="Arial" w:hAnsi="Arial"/>
                <w:sz w:val="14"/>
                <w:szCs w:val="14"/>
                <w:b w:val="1"/>
                <w:bCs w:val="1"/>
                <w:color w:val="auto"/>
              </w:rPr>
              <w:t>March 31, 2022</w:t>
            </w:r>
          </w:p>
        </w:tc>
        <w:tc>
          <w:tcPr>
            <w:tcW w:w="2240" w:type="dxa"/>
            <w:vAlign w:val="bottom"/>
          </w:tcPr>
          <w:p>
            <w:pPr>
              <w:jc w:val="right"/>
              <w:ind w:right="309"/>
              <w:spacing w:after="0"/>
              <w:rPr>
                <w:sz w:val="20"/>
                <w:szCs w:val="20"/>
                <w:color w:val="auto"/>
              </w:rPr>
            </w:pPr>
            <w:r>
              <w:rPr>
                <w:rFonts w:ascii="Arial" w:cs="Arial" w:eastAsia="Arial" w:hAnsi="Arial"/>
                <w:sz w:val="14"/>
                <w:szCs w:val="14"/>
                <w:b w:val="1"/>
                <w:bCs w:val="1"/>
                <w:color w:val="auto"/>
              </w:rPr>
              <w:t>December 31, 2021</w:t>
            </w:r>
          </w:p>
        </w:tc>
      </w:tr>
      <w:tr>
        <w:trPr>
          <w:trHeight w:val="171"/>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 years</w:t>
            </w:r>
          </w:p>
        </w:tc>
        <w:tc>
          <w:tcPr>
            <w:tcW w:w="1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years</w:t>
            </w: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1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2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2060" w:type="dxa"/>
            <w:vAlign w:val="bottom"/>
          </w:tcPr>
          <w:p>
            <w:pPr>
              <w:jc w:val="right"/>
              <w:spacing w:after="0"/>
              <w:rPr>
                <w:sz w:val="20"/>
                <w:szCs w:val="20"/>
                <w:color w:val="auto"/>
              </w:rPr>
            </w:pPr>
            <w:r>
              <w:rPr>
                <w:rFonts w:ascii="Arial" w:cs="Arial" w:eastAsia="Arial" w:hAnsi="Arial"/>
                <w:sz w:val="14"/>
                <w:szCs w:val="14"/>
                <w:color w:val="auto"/>
              </w:rPr>
              <w:t>65.0 %</w:t>
            </w:r>
          </w:p>
        </w:tc>
        <w:tc>
          <w:tcPr>
            <w:tcW w:w="12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60.0 %</w:t>
            </w: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debt yield</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r>
    </w:tbl>
    <w:p>
      <w:pPr>
        <w:spacing w:after="0" w:line="361"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As of March 31, 2022 and December 31, 2021, the fair value of the embedded conversion feature was $4,664 and $12,359, respectively. The Company recognized a gain of $7,695 attributable to the change in fair value of the embedded conversion feature for the three months ended March 31, 2022.</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interest expense recognized for the three months ended March 31, 2022:</w:t>
      </w:r>
    </w:p>
    <w:p>
      <w:pPr>
        <w:spacing w:after="0" w:line="291"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Contractual interest expense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discount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2021 Convertible Note as of March 31, 2022 and December 31, 2021 was comprised of the following: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00" w:type="dxa"/>
            <w:vAlign w:val="bottom"/>
            <w:tcBorders>
              <w:top w:val="single" w:sz="8" w:color="auto"/>
            </w:tcBorders>
          </w:tcPr>
          <w:p>
            <w:pPr>
              <w:jc w:val="right"/>
              <w:ind w:right="1749"/>
              <w:spacing w:after="0"/>
              <w:rPr>
                <w:sz w:val="20"/>
                <w:szCs w:val="20"/>
                <w:color w:val="auto"/>
              </w:rPr>
            </w:pPr>
            <w:r>
              <w:rPr>
                <w:rFonts w:ascii="Arial" w:cs="Arial" w:eastAsia="Arial" w:hAnsi="Arial"/>
                <w:sz w:val="14"/>
                <w:szCs w:val="14"/>
                <w:color w:val="auto"/>
                <w:w w:val="76"/>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1,544</w:t>
            </w:r>
          </w:p>
        </w:tc>
      </w:tr>
      <w:tr>
        <w:trPr>
          <w:trHeight w:val="180"/>
        </w:trPr>
        <w:tc>
          <w:tcPr>
            <w:tcW w:w="19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543</w:t>
            </w:r>
          </w:p>
        </w:tc>
      </w:tr>
      <w:tr>
        <w:trPr>
          <w:trHeight w:val="181"/>
        </w:trPr>
        <w:tc>
          <w:tcPr>
            <w:tcW w:w="19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71"/>
        </w:trPr>
        <w:tc>
          <w:tcPr>
            <w:tcW w:w="1900" w:type="dxa"/>
            <w:vAlign w:val="bottom"/>
            <w:tcBorders>
              <w:bottom w:val="single" w:sz="8" w:color="auto"/>
            </w:tcBorders>
          </w:tcPr>
          <w:p>
            <w:pPr>
              <w:jc w:val="right"/>
              <w:ind w:right="1749"/>
              <w:spacing w:after="0"/>
              <w:rPr>
                <w:sz w:val="20"/>
                <w:szCs w:val="20"/>
                <w:color w:val="auto"/>
              </w:rPr>
            </w:pPr>
            <w:r>
              <w:rPr>
                <w:rFonts w:ascii="Arial" w:cs="Arial" w:eastAsia="Arial" w:hAnsi="Arial"/>
                <w:sz w:val="14"/>
                <w:szCs w:val="14"/>
                <w:color w:val="auto"/>
                <w:w w:val="76"/>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581" w:lineRule="exact"/>
        <w:rPr>
          <w:sz w:val="20"/>
          <w:szCs w:val="20"/>
          <w:color w:val="auto"/>
        </w:rPr>
      </w:pPr>
    </w:p>
    <w:p>
      <w:pPr>
        <w:sectPr>
          <w:pgSz w:w="11900" w:h="16838" w:orient="portrait"/>
          <w:cols w:equalWidth="0" w:num="2">
            <w:col w:w="6440" w:space="720"/>
            <w:col w:w="4120"/>
          </w:cols>
          <w:pgMar w:left="300" w:top="129" w:right="31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March 31, 2022</w:t>
            </w: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December 31, 2021</w:t>
            </w:r>
          </w:p>
        </w:tc>
      </w:tr>
      <w:tr>
        <w:trPr>
          <w:trHeight w:val="17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w:t>
            </w:r>
          </w:p>
        </w:tc>
        <w:tc>
          <w:tcPr>
            <w:tcW w:w="2760" w:type="dxa"/>
            <w:vAlign w:val="bottom"/>
            <w:shd w:val="clear" w:color="auto" w:fill="CCEEFF"/>
          </w:tcPr>
          <w:p>
            <w:pPr>
              <w:jc w:val="right"/>
              <w:ind w:right="25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102,900</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102,900</w:t>
            </w: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Unamortized debt discount</w:t>
            </w:r>
          </w:p>
        </w:tc>
        <w:tc>
          <w:tcPr>
            <w:tcW w:w="2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(27,778)</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(28,321)</w:t>
            </w:r>
          </w:p>
        </w:tc>
      </w:tr>
      <w:tr>
        <w:trPr>
          <w:trHeight w:val="18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debt issuance costs</w:t>
            </w:r>
          </w:p>
        </w:tc>
        <w:tc>
          <w:tcPr>
            <w:tcW w:w="27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w:t>
            </w:r>
          </w:p>
        </w:tc>
      </w:tr>
      <w:tr>
        <w:trPr>
          <w:trHeight w:val="18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conversion feature</w:t>
            </w:r>
          </w:p>
        </w:tc>
        <w:tc>
          <w:tcPr>
            <w:tcW w:w="2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12,359</w:t>
            </w:r>
          </w:p>
        </w:tc>
      </w:tr>
      <w:tr>
        <w:trPr>
          <w:trHeight w:val="196"/>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Aggregate carrying value</w:t>
            </w:r>
          </w:p>
        </w:tc>
        <w:tc>
          <w:tcPr>
            <w:tcW w:w="2760" w:type="dxa"/>
            <w:vAlign w:val="bottom"/>
            <w:tcBorders>
              <w:bottom w:val="single" w:sz="8" w:color="auto"/>
            </w:tcBorders>
            <w:shd w:val="clear" w:color="auto" w:fill="CCEEFF"/>
          </w:tcPr>
          <w:p>
            <w:pPr>
              <w:jc w:val="right"/>
              <w:ind w:right="25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77,083</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84,148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As of the date of this report, the Company intends to repay the contractual interest due on June 30, 2022 and December 30, 2022 in-kind and the remaining interest in cash. Therefore, as of March 31, 2022 and December 31, 2021, interest payable attributable to the 2021 Convertible Note of $1,544 and $— was recorded as interest payable -</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 Convertible Note Payable - Related party </w:t>
      </w:r>
      <w:r>
        <w:rPr>
          <w:rFonts w:ascii="Arial" w:cs="Arial" w:eastAsia="Arial" w:hAnsi="Arial"/>
          <w:sz w:val="14"/>
          <w:szCs w:val="14"/>
          <w:color w:val="auto"/>
        </w:rPr>
        <w:t>(cont.)</w:t>
      </w:r>
    </w:p>
    <w:p>
      <w:pPr>
        <w:spacing w:after="0" w:line="200" w:lineRule="exact"/>
        <w:rPr>
          <w:sz w:val="20"/>
          <w:szCs w:val="20"/>
          <w:color w:val="auto"/>
        </w:rPr>
      </w:pPr>
    </w:p>
    <w:p>
      <w:pPr>
        <w:spacing w:after="0" w:line="31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related party as a long term liability on the condensed consolidated balance sheets. For the three months ended March 31, 2022 and 2021, interest expense of $2,174 and $— was recorded for the 2021 Convertible Note.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Note Payable</w:t>
      </w:r>
    </w:p>
    <w:p>
      <w:pPr>
        <w:spacing w:after="0" w:line="151" w:lineRule="exact"/>
        <w:rPr>
          <w:sz w:val="20"/>
          <w:szCs w:val="20"/>
          <w:color w:val="auto"/>
        </w:rPr>
      </w:pPr>
    </w:p>
    <w:p>
      <w:pPr>
        <w:jc w:val="both"/>
        <w:ind w:firstLine="339"/>
        <w:spacing w:after="0" w:line="262" w:lineRule="auto"/>
        <w:rPr>
          <w:sz w:val="20"/>
          <w:szCs w:val="20"/>
          <w:color w:val="auto"/>
        </w:rPr>
      </w:pPr>
      <w:r>
        <w:rPr>
          <w:rFonts w:ascii="Arial" w:cs="Arial" w:eastAsia="Arial" w:hAnsi="Arial"/>
          <w:sz w:val="14"/>
          <w:szCs w:val="14"/>
          <w:color w:val="auto"/>
        </w:rPr>
        <w:t>In connection with the Hi-Power acquisition (Refer to Note 2), the Company agreed to pay an aggregate purchase price of $25,000. $5,000 of the $25,000 purchase price was paid in May 2021. The fair value of the note payable was estimated using active market quotes, based on our current incremental borrowing rates for similar types of borrowing arrangements, which were Level 2 inputs. Refer to Note 20 for definition of the fair value hierarchy. Based on the analysis performed, the carrying value of the remaining payments of the note payable was recorded as debt, which includes a current portion of $4,970 and a long-term portion of $13,892 as of March 31, 2022.</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Long-term Debt</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Long-term debt consists of the outstanding balances from the previously-reported $25,000 equipment financing facility with Trinity Capital Inc. ("Trinity"). As of March 31, 2022, the Company had drawn $7,000 from the equipment financing facility with an effective interest rate of 14.3%.</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March 31, 2022 and December 31, 2021, total long-term debt was $5,982 and $6,371, with $1,703 and $1,644 of the principal recorded as a current liability on the condensed consolidated balance sheets, respectively. For the three months ended March 31, 2022, the Company recognized $219 as interest expense attributable to the equipment financing agreement. As of March 31, 2022, the unused commitment from the equipment financing facility was $18,000.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Warrants liability - Related Party</w:t>
      </w:r>
    </w:p>
    <w:p>
      <w:pPr>
        <w:spacing w:after="0" w:line="12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Private Placement Warrants issued to the Sponsor of BMRG in its initial public offering on May 22, 2020 became exercisable on May 22, 2021. The Private Placement Warrants are classified as Level 2 financial instruments in the fair value hierarchy. Refer to Note 20 for definition of the fair value hierarchy. They are valued on the basis of the quoted price of the Public Warrants, adjusted for insignificant difference between the Public Warrants and Private Placement Warrants. 325,000 Private Placement Warrants were outstanding with a fair value of $359 and $926 as of March 31, 2022 and December 31, 2021, respectively. The change in fair value for the three months ended March 31, 2022 and 2021 amounted to $567 and $(224), respectively, which has been recognized in Change in fair value, warrants liability - related party in the Company’s condensed consolidated statements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Stock-Based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included in the condensed consolidated statements of operations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4180" w:type="dxa"/>
            <w:vAlign w:val="bottom"/>
            <w:tcBorders>
              <w:bottom w:val="single" w:sz="8" w:color="auto"/>
            </w:tcBorders>
            <w:gridSpan w:val="4"/>
          </w:tcPr>
          <w:p>
            <w:pPr>
              <w:jc w:val="right"/>
              <w:ind w:right="929"/>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Borders>
              <w:bottom w:val="single" w:sz="8" w:color="auto"/>
            </w:tcBorders>
          </w:tcPr>
          <w:p>
            <w:pPr>
              <w:spacing w:after="0"/>
              <w:rPr>
                <w:sz w:val="16"/>
                <w:szCs w:val="16"/>
                <w:color w:val="auto"/>
              </w:rPr>
            </w:pPr>
          </w:p>
        </w:tc>
      </w:tr>
      <w:tr>
        <w:trPr>
          <w:trHeight w:val="309"/>
        </w:trPr>
        <w:tc>
          <w:tcPr>
            <w:tcW w:w="64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March 31, 2022</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tcBorders>
              <w:bottom w:val="single" w:sz="8" w:color="auto"/>
            </w:tcBorders>
          </w:tcPr>
          <w:p>
            <w:pPr>
              <w:spacing w:after="0"/>
              <w:rPr>
                <w:sz w:val="24"/>
                <w:szCs w:val="24"/>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20" w:type="dxa"/>
            <w:vAlign w:val="bottom"/>
            <w:shd w:val="clear" w:color="auto" w:fill="CCEEFF"/>
          </w:tcPr>
          <w:p>
            <w:pPr>
              <w:jc w:val="right"/>
              <w:ind w:right="15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15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r>
      <w:tr>
        <w:trPr>
          <w:trHeight w:val="18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w:t>
            </w:r>
          </w:p>
        </w:tc>
        <w:tc>
          <w:tcPr>
            <w:tcW w:w="1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w:t>
            </w:r>
          </w:p>
        </w:tc>
        <w:tc>
          <w:tcPr>
            <w:tcW w:w="2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shd w:val="clear" w:color="auto" w:fill="CCEEFF"/>
          </w:tcPr>
          <w:p>
            <w:pPr>
              <w:jc w:val="right"/>
              <w:ind w:right="15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15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stock compensation expense has been recorded in cost of goods sold, research and development expenses, and selling, general and administrative expenses in the condensed consolidated statements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option activity for the three months ended March 31, 2022: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vMerge w:val="restart"/>
          </w:tcPr>
          <w:p>
            <w:pPr>
              <w:jc w:val="center"/>
              <w:ind w:left="369"/>
              <w:spacing w:after="0"/>
              <w:rPr>
                <w:sz w:val="20"/>
                <w:szCs w:val="20"/>
                <w:color w:val="auto"/>
              </w:rPr>
            </w:pPr>
            <w:r>
              <w:rPr>
                <w:rFonts w:ascii="Arial" w:cs="Arial" w:eastAsia="Arial" w:hAnsi="Arial"/>
                <w:sz w:val="14"/>
                <w:szCs w:val="14"/>
                <w:b w:val="1"/>
                <w:bCs w:val="1"/>
                <w:color w:val="auto"/>
                <w:w w:val="91"/>
              </w:rPr>
              <w:t>Weighted-Average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6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80"/>
        </w:trPr>
        <w:tc>
          <w:tcPr>
            <w:tcW w:w="5140" w:type="dxa"/>
            <w:vAlign w:val="bottom"/>
          </w:tcPr>
          <w:p>
            <w:pPr>
              <w:spacing w:after="0"/>
              <w:rPr>
                <w:sz w:val="15"/>
                <w:szCs w:val="15"/>
                <w:color w:val="auto"/>
              </w:rPr>
            </w:pPr>
          </w:p>
        </w:tc>
        <w:tc>
          <w:tcPr>
            <w:tcW w:w="168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center"/>
              <w:ind w:left="569"/>
              <w:spacing w:after="0"/>
              <w:rPr>
                <w:sz w:val="20"/>
                <w:szCs w:val="20"/>
                <w:color w:val="auto"/>
              </w:rPr>
            </w:pPr>
            <w:r>
              <w:rPr>
                <w:rFonts w:ascii="Arial" w:cs="Arial" w:eastAsia="Arial" w:hAnsi="Arial"/>
                <w:sz w:val="14"/>
                <w:szCs w:val="14"/>
                <w:b w:val="1"/>
                <w:bCs w:val="1"/>
                <w:color w:val="auto"/>
                <w:w w:val="89"/>
              </w:rPr>
              <w:t>Exercise Price</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Options Outstanding at December 31, 2021</w:t>
            </w:r>
          </w:p>
        </w:tc>
        <w:tc>
          <w:tcPr>
            <w:tcW w:w="1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2,023,460</w:t>
            </w:r>
          </w:p>
        </w:tc>
        <w:tc>
          <w:tcPr>
            <w:tcW w:w="100" w:type="dxa"/>
            <w:vAlign w:val="bottom"/>
          </w:tcPr>
          <w:p>
            <w:pPr>
              <w:spacing w:after="0"/>
              <w:rPr>
                <w:sz w:val="14"/>
                <w:szCs w:val="14"/>
                <w:color w:val="auto"/>
              </w:rPr>
            </w:pPr>
          </w:p>
        </w:tc>
        <w:tc>
          <w:tcPr>
            <w:tcW w:w="1320" w:type="dxa"/>
            <w:vAlign w:val="bottom"/>
          </w:tcPr>
          <w:p>
            <w:pPr>
              <w:jc w:val="right"/>
              <w:ind w:right="1169"/>
              <w:spacing w:after="0"/>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9.51</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Cancelled/Forfeited</w:t>
            </w: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(51,369)</w:t>
            </w:r>
          </w:p>
        </w:tc>
        <w:tc>
          <w:tcPr>
            <w:tcW w:w="142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Options Outstanding at March 31, 2022</w:t>
            </w: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1,972,091</w:t>
            </w:r>
          </w:p>
        </w:tc>
        <w:tc>
          <w:tcPr>
            <w:tcW w:w="1420" w:type="dxa"/>
            <w:vAlign w:val="bottom"/>
            <w:gridSpan w:val="2"/>
          </w:tcPr>
          <w:p>
            <w:pPr>
              <w:jc w:val="right"/>
              <w:ind w:right="116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9.49</w:t>
            </w: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Options Exercisable at March 31, 2022</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1,179,834</w:t>
            </w:r>
          </w:p>
        </w:tc>
        <w:tc>
          <w:tcPr>
            <w:tcW w:w="142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82"/>
        </w:trPr>
        <w:tc>
          <w:tcPr>
            <w:tcW w:w="6820" w:type="dxa"/>
            <w:vAlign w:val="bottom"/>
            <w:gridSpan w:val="3"/>
          </w:tcPr>
          <w:p>
            <w:pPr>
              <w:spacing w:after="0"/>
              <w:rPr>
                <w:sz w:val="20"/>
                <w:szCs w:val="20"/>
                <w:color w:val="auto"/>
              </w:rPr>
            </w:pPr>
            <w:r>
              <w:rPr>
                <w:rFonts w:ascii="Arial" w:cs="Arial" w:eastAsia="Arial" w:hAnsi="Arial"/>
                <w:sz w:val="14"/>
                <w:szCs w:val="14"/>
                <w:color w:val="auto"/>
                <w:w w:val="99"/>
              </w:rPr>
              <w:t>A summary of restricted stock units (RSU) activity during the three months ended March 31, 2022 is as follows: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789"/>
              <w:spacing w:after="0"/>
              <w:rPr>
                <w:sz w:val="20"/>
                <w:szCs w:val="20"/>
                <w:color w:val="auto"/>
              </w:rPr>
            </w:pPr>
            <w:r>
              <w:rPr>
                <w:rFonts w:ascii="Arial" w:cs="Arial" w:eastAsia="Arial" w:hAnsi="Arial"/>
                <w:sz w:val="14"/>
                <w:szCs w:val="14"/>
                <w:b w:val="1"/>
                <w:bCs w:val="1"/>
                <w:color w:val="auto"/>
                <w:w w:val="97"/>
              </w:rPr>
              <w:t>Weighted-Average</w:t>
            </w:r>
          </w:p>
        </w:tc>
        <w:tc>
          <w:tcPr>
            <w:tcW w:w="0" w:type="dxa"/>
            <w:vAlign w:val="bottom"/>
          </w:tcPr>
          <w:p>
            <w:pPr>
              <w:spacing w:after="0"/>
              <w:rPr>
                <w:sz w:val="1"/>
                <w:szCs w:val="1"/>
                <w:color w:val="auto"/>
              </w:rPr>
            </w:pPr>
          </w:p>
        </w:tc>
      </w:tr>
      <w:tr>
        <w:trPr>
          <w:trHeight w:val="180"/>
        </w:trPr>
        <w:tc>
          <w:tcPr>
            <w:tcW w:w="5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gridSpan w:val="2"/>
          </w:tcPr>
          <w:p>
            <w:pPr>
              <w:jc w:val="right"/>
              <w:ind w:right="649"/>
              <w:spacing w:after="0"/>
              <w:rPr>
                <w:sz w:val="20"/>
                <w:szCs w:val="20"/>
                <w:color w:val="auto"/>
              </w:rPr>
            </w:pPr>
            <w:r>
              <w:rPr>
                <w:rFonts w:ascii="Arial" w:cs="Arial" w:eastAsia="Arial" w:hAnsi="Arial"/>
                <w:sz w:val="14"/>
                <w:szCs w:val="14"/>
                <w:b w:val="1"/>
                <w:bCs w:val="1"/>
                <w:color w:val="auto"/>
              </w:rPr>
              <w:t>Grant-Data Fair Value</w:t>
            </w:r>
          </w:p>
        </w:tc>
        <w:tc>
          <w:tcPr>
            <w:tcW w:w="0" w:type="dxa"/>
            <w:vAlign w:val="bottom"/>
          </w:tcPr>
          <w:p>
            <w:pPr>
              <w:spacing w:after="0"/>
              <w:rPr>
                <w:sz w:val="1"/>
                <w:szCs w:val="1"/>
                <w:color w:val="auto"/>
              </w:rPr>
            </w:pPr>
          </w:p>
        </w:tc>
      </w:tr>
      <w:tr>
        <w:trPr>
          <w:trHeight w:val="171"/>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RSU Outstanding at December 31, 2021</w:t>
            </w:r>
          </w:p>
        </w:tc>
        <w:tc>
          <w:tcPr>
            <w:tcW w:w="8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2,194,756</w:t>
            </w: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spacing w:after="0"/>
              <w:rPr>
                <w:sz w:val="14"/>
                <w:szCs w:val="14"/>
                <w:color w:val="auto"/>
              </w:rPr>
            </w:pPr>
          </w:p>
        </w:tc>
        <w:tc>
          <w:tcPr>
            <w:tcW w:w="2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16.36</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Granted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1,149,280</w:t>
            </w:r>
          </w:p>
        </w:tc>
        <w:tc>
          <w:tcPr>
            <w:tcW w:w="2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44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Cancelled/Forfeited</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(226,400)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(305,651)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RSU Outstanding at March 31, 2022</w:t>
            </w:r>
          </w:p>
        </w:tc>
        <w:tc>
          <w:tcPr>
            <w:tcW w:w="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2,811,985</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11.31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2022, the Company reserved an additional 537,866 shares for the Amended and Restated 2020 Incentive Plan. As of March 31, 2022 and December 31, 2021, 1,949,261 and 2,282,906 shares remain for future issuance, respectively. Options vest generally over three to five years and have a term of five to ten years. RSUs generally vest over three to four years. During the three months ended March 31, 2022, the Company only granted RSUs with service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achievement of sales targets. As of March 31, 2022, within the total options outstanding, there were 28,818 performance-based stock options, all of which are expected to vest in the next four years.</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Unrecognized stock compensation expenses amounted to $28,662 and included $26,152 attributable to RSUs and $2,510 attributable to stock options. The weighted average vesting period for the stock options and RSUs was 1.3 years and 2.2 years as of March 31, 2022, respectively.</w:t>
      </w:r>
    </w:p>
    <w:p>
      <w:pPr>
        <w:spacing w:after="0" w:line="11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No options were granted for the three months ended March 31, 2022. The weighted average assumptions used to determine the fair value of options granted in the three months ended March 31, 2021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2021</w:t>
            </w:r>
          </w:p>
        </w:tc>
      </w:tr>
      <w:tr>
        <w:trPr>
          <w:trHeight w:val="171"/>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Volatility</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57.43 %</w:t>
            </w:r>
          </w:p>
        </w:tc>
      </w:tr>
      <w:tr>
        <w:trPr>
          <w:trHeight w:val="180"/>
        </w:trPr>
        <w:tc>
          <w:tcPr>
            <w:tcW w:w="952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1760" w:type="dxa"/>
            <w:vAlign w:val="bottom"/>
          </w:tcPr>
          <w:p>
            <w:pPr>
              <w:jc w:val="right"/>
              <w:spacing w:after="0"/>
              <w:rPr>
                <w:sz w:val="20"/>
                <w:szCs w:val="20"/>
                <w:color w:val="auto"/>
              </w:rPr>
            </w:pPr>
            <w:r>
              <w:rPr>
                <w:rFonts w:ascii="Arial" w:cs="Arial" w:eastAsia="Arial" w:hAnsi="Arial"/>
                <w:sz w:val="14"/>
                <w:szCs w:val="14"/>
                <w:color w:val="auto"/>
              </w:rPr>
              <w:t>1.11 %</w:t>
            </w:r>
          </w:p>
        </w:tc>
      </w:tr>
      <w:tr>
        <w:trPr>
          <w:trHeight w:val="181"/>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r>
      <w:tr>
        <w:trPr>
          <w:trHeight w:val="180"/>
        </w:trPr>
        <w:tc>
          <w:tcPr>
            <w:tcW w:w="952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760" w:type="dxa"/>
            <w:vAlign w:val="bottom"/>
          </w:tcPr>
          <w:p>
            <w:pPr>
              <w:jc w:val="right"/>
              <w:spacing w:after="0"/>
              <w:rPr>
                <w:sz w:val="20"/>
                <w:szCs w:val="20"/>
                <w:color w:val="auto"/>
              </w:rPr>
            </w:pPr>
            <w:r>
              <w:rPr>
                <w:rFonts w:ascii="Arial" w:cs="Arial" w:eastAsia="Arial" w:hAnsi="Arial"/>
                <w:sz w:val="14"/>
                <w:szCs w:val="14"/>
                <w:color w:val="auto"/>
              </w:rPr>
              <w:t>0 %</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RSUs issued were valued at the stock prices of the Company on the date of grant.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grant date fair value of all options granted was $9.49 per option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Leases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On January 1, 2021, the Company adopted ASU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(“Topic 842”), and the related amendments (collectively “ASC 842”). The Company elected the modified retrospective approach, under which results and disclosures for periods before January 1, 2021 were not adjusted for the new standard and the cumulative effect of the change in accounting, is recognized through accumulated deficit at the date of adoption.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Lessee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Company leases machinery, manufacturing facilities, office space, land, and equipment under both operating and finance leases. Lease assets and lease liabilities as of March 31, 2022 and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Leases</w:t>
            </w:r>
          </w:p>
        </w:tc>
        <w:tc>
          <w:tcPr>
            <w:tcW w:w="4720" w:type="dxa"/>
            <w:vAlign w:val="bottom"/>
            <w:gridSpan w:val="2"/>
          </w:tcPr>
          <w:p>
            <w:pPr>
              <w:ind w:left="1400"/>
              <w:spacing w:after="0"/>
              <w:rPr>
                <w:sz w:val="20"/>
                <w:szCs w:val="20"/>
                <w:color w:val="auto"/>
              </w:rPr>
            </w:pPr>
            <w:r>
              <w:rPr>
                <w:rFonts w:ascii="Arial" w:cs="Arial" w:eastAsia="Arial" w:hAnsi="Arial"/>
                <w:sz w:val="13"/>
                <w:szCs w:val="13"/>
                <w:b w:val="1"/>
                <w:bCs w:val="1"/>
                <w:color w:val="auto"/>
              </w:rPr>
              <w:t>Classification on Balance Sheet</w:t>
            </w: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540" w:type="dxa"/>
            <w:vAlign w:val="bottom"/>
          </w:tcPr>
          <w:p>
            <w:pPr>
              <w:jc w:val="right"/>
              <w:ind w:right="229"/>
              <w:spacing w:after="0"/>
              <w:rPr>
                <w:sz w:val="20"/>
                <w:szCs w:val="20"/>
                <w:color w:val="auto"/>
              </w:rPr>
            </w:pPr>
            <w:r>
              <w:rPr>
                <w:rFonts w:ascii="Arial" w:cs="Arial" w:eastAsia="Arial" w:hAnsi="Arial"/>
                <w:sz w:val="14"/>
                <w:szCs w:val="14"/>
                <w:b w:val="1"/>
                <w:bCs w:val="1"/>
                <w:color w:val="auto"/>
                <w:w w:val="96"/>
              </w:rPr>
              <w:t>December 31, 2021</w:t>
            </w:r>
          </w:p>
        </w:tc>
      </w:tr>
      <w:tr>
        <w:trPr>
          <w:trHeight w:val="161"/>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ROU - operating lease assets</w:t>
            </w:r>
          </w:p>
        </w:tc>
        <w:tc>
          <w:tcPr>
            <w:tcW w:w="4720" w:type="dxa"/>
            <w:vAlign w:val="bottom"/>
            <w:gridSpan w:val="2"/>
          </w:tcPr>
          <w:p>
            <w:pPr>
              <w:jc w:val="right"/>
              <w:ind w:right="240"/>
              <w:spacing w:after="0"/>
              <w:rPr>
                <w:sz w:val="20"/>
                <w:szCs w:val="20"/>
                <w:color w:val="auto"/>
              </w:rPr>
            </w:pPr>
            <w:r>
              <w:rPr>
                <w:rFonts w:ascii="Arial" w:cs="Arial" w:eastAsia="Arial" w:hAnsi="Arial"/>
                <w:sz w:val="14"/>
                <w:szCs w:val="14"/>
                <w:color w:val="auto"/>
              </w:rPr>
              <w:t>Operating lease right-of-use asset, net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4,989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3,468</w:t>
            </w: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assets</w:t>
            </w:r>
          </w:p>
        </w:tc>
        <w:tc>
          <w:tcPr>
            <w:tcW w:w="4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71"/>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Total lease assets</w:t>
            </w: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3,496</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3"/>
        </w:trPr>
        <w:tc>
          <w:tcPr>
            <w:tcW w:w="3160" w:type="dxa"/>
            <w:vAlign w:val="bottom"/>
            <w:shd w:val="clear" w:color="auto" w:fill="CCEEFF"/>
          </w:tcPr>
          <w:p>
            <w:pPr>
              <w:spacing w:after="0"/>
              <w:rPr>
                <w:sz w:val="15"/>
                <w:szCs w:val="15"/>
                <w:color w:val="auto"/>
              </w:rPr>
            </w:pPr>
          </w:p>
        </w:tc>
        <w:tc>
          <w:tcPr>
            <w:tcW w:w="4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97"/>
        </w:trPr>
        <w:tc>
          <w:tcPr>
            <w:tcW w:w="3160" w:type="dxa"/>
            <w:vAlign w:val="bottom"/>
          </w:tcPr>
          <w:p>
            <w:pPr>
              <w:spacing w:after="0"/>
              <w:rPr>
                <w:sz w:val="24"/>
                <w:szCs w:val="24"/>
                <w:color w:val="auto"/>
              </w:rPr>
            </w:pPr>
          </w:p>
        </w:tc>
        <w:tc>
          <w:tcPr>
            <w:tcW w:w="4720" w:type="dxa"/>
            <w:vAlign w:val="bottom"/>
            <w:gridSpan w:val="2"/>
          </w:tcPr>
          <w:p>
            <w:pPr>
              <w:ind w:left="1400"/>
              <w:spacing w:after="0"/>
              <w:rPr>
                <w:sz w:val="20"/>
                <w:szCs w:val="20"/>
                <w:color w:val="auto"/>
              </w:rPr>
            </w:pPr>
            <w:r>
              <w:rPr>
                <w:rFonts w:ascii="Arial" w:cs="Arial" w:eastAsia="Arial" w:hAnsi="Arial"/>
                <w:sz w:val="13"/>
                <w:szCs w:val="13"/>
                <w:b w:val="1"/>
                <w:bCs w:val="1"/>
                <w:color w:val="auto"/>
              </w:rPr>
              <w:t>Classification on Balance Sheet</w:t>
            </w:r>
          </w:p>
        </w:tc>
        <w:tc>
          <w:tcPr>
            <w:tcW w:w="2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24"/>
                <w:szCs w:val="24"/>
                <w:color w:val="auto"/>
              </w:rPr>
            </w:pPr>
          </w:p>
        </w:tc>
        <w:tc>
          <w:tcPr>
            <w:tcW w:w="1540" w:type="dxa"/>
            <w:vAlign w:val="bottom"/>
          </w:tcPr>
          <w:p>
            <w:pPr>
              <w:jc w:val="right"/>
              <w:ind w:right="229"/>
              <w:spacing w:after="0"/>
              <w:rPr>
                <w:sz w:val="20"/>
                <w:szCs w:val="20"/>
                <w:color w:val="auto"/>
              </w:rPr>
            </w:pPr>
            <w:r>
              <w:rPr>
                <w:rFonts w:ascii="Arial" w:cs="Arial" w:eastAsia="Arial" w:hAnsi="Arial"/>
                <w:sz w:val="14"/>
                <w:szCs w:val="14"/>
                <w:b w:val="1"/>
                <w:bCs w:val="1"/>
                <w:color w:val="auto"/>
                <w:w w:val="96"/>
              </w:rPr>
              <w:t>December 31, 2021</w:t>
            </w:r>
          </w:p>
        </w:tc>
      </w:tr>
      <w:tr>
        <w:trPr>
          <w:trHeight w:val="161"/>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4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Current</w:t>
            </w: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3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lease liability</w:t>
            </w:r>
          </w:p>
        </w:tc>
        <w:tc>
          <w:tcPr>
            <w:tcW w:w="4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Operating lease liability, current portion</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w:t>
            </w:r>
          </w:p>
        </w:tc>
      </w:tr>
      <w:tr>
        <w:trPr>
          <w:trHeight w:val="180"/>
        </w:trPr>
        <w:tc>
          <w:tcPr>
            <w:tcW w:w="3160" w:type="dxa"/>
            <w:vAlign w:val="bottom"/>
          </w:tcPr>
          <w:p>
            <w:pPr>
              <w:ind w:left="160"/>
              <w:spacing w:after="0"/>
              <w:rPr>
                <w:sz w:val="20"/>
                <w:szCs w:val="20"/>
                <w:color w:val="auto"/>
              </w:rPr>
            </w:pPr>
            <w:r>
              <w:rPr>
                <w:rFonts w:ascii="Arial" w:cs="Arial" w:eastAsia="Arial" w:hAnsi="Arial"/>
                <w:sz w:val="14"/>
                <w:szCs w:val="14"/>
                <w:color w:val="auto"/>
              </w:rPr>
              <w:t>Finance lease liability</w:t>
            </w:r>
          </w:p>
        </w:tc>
        <w:tc>
          <w:tcPr>
            <w:tcW w:w="4720" w:type="dxa"/>
            <w:vAlign w:val="bottom"/>
            <w:gridSpan w:val="2"/>
          </w:tcPr>
          <w:p>
            <w:pPr>
              <w:jc w:val="right"/>
              <w:ind w:right="24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w:t>
            </w:r>
          </w:p>
        </w:tc>
        <w:tc>
          <w:tcPr>
            <w:tcW w:w="4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0"/>
        </w:trPr>
        <w:tc>
          <w:tcPr>
            <w:tcW w:w="3160" w:type="dxa"/>
            <w:vAlign w:val="bottom"/>
          </w:tcPr>
          <w:p>
            <w:pPr>
              <w:ind w:left="180"/>
              <w:spacing w:after="0"/>
              <w:rPr>
                <w:sz w:val="20"/>
                <w:szCs w:val="20"/>
                <w:color w:val="auto"/>
              </w:rPr>
            </w:pPr>
            <w:r>
              <w:rPr>
                <w:rFonts w:ascii="Arial" w:cs="Arial" w:eastAsia="Arial" w:hAnsi="Arial"/>
                <w:sz w:val="14"/>
                <w:szCs w:val="14"/>
                <w:color w:val="auto"/>
              </w:rPr>
              <w:t>Operating lease liability</w:t>
            </w:r>
          </w:p>
        </w:tc>
        <w:tc>
          <w:tcPr>
            <w:tcW w:w="4720" w:type="dxa"/>
            <w:vAlign w:val="bottom"/>
            <w:gridSpan w:val="2"/>
          </w:tcPr>
          <w:p>
            <w:pPr>
              <w:jc w:val="right"/>
              <w:ind w:right="240"/>
              <w:spacing w:after="0"/>
              <w:rPr>
                <w:sz w:val="20"/>
                <w:szCs w:val="20"/>
                <w:color w:val="auto"/>
              </w:rPr>
            </w:pPr>
            <w:r>
              <w:rPr>
                <w:rFonts w:ascii="Arial" w:cs="Arial" w:eastAsia="Arial" w:hAnsi="Arial"/>
                <w:sz w:val="14"/>
                <w:szCs w:val="14"/>
                <w:color w:val="auto"/>
              </w:rPr>
              <w:t>Operating lease liability, long-term</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3,224</w:t>
            </w:r>
          </w:p>
        </w:tc>
      </w:tr>
      <w:tr>
        <w:trPr>
          <w:trHeight w:val="180"/>
        </w:trPr>
        <w:tc>
          <w:tcPr>
            <w:tcW w:w="3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lease liability</w:t>
            </w:r>
          </w:p>
        </w:tc>
        <w:tc>
          <w:tcPr>
            <w:tcW w:w="4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1"/>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w:t>
            </w:r>
          </w:p>
        </w:tc>
      </w:tr>
      <w:tr>
        <w:trPr>
          <w:trHeight w:val="20"/>
        </w:trPr>
        <w:tc>
          <w:tcPr>
            <w:tcW w:w="3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Operating lease costs for the three months ended March 31, 2022 and 2021 were $192 and $159, respectively. As of March 31, 2022, the weighted average remaining term (in years) for the operating lease was 4.55 years and the weighted average discount rate was 9.8%. The weighted average remaining term (in years) for the finance lease was 3.70 years and the weighted average discount rate was 13.7%.</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Future maturity of lease liability are as follows:</w:t>
            </w:r>
          </w:p>
        </w:tc>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4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Financing lease</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20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1,022</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2023</w:t>
            </w:r>
          </w:p>
        </w:tc>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1,543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0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1,623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2025</w:t>
            </w:r>
          </w:p>
        </w:tc>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1,707</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0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1,336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Later years</w:t>
            </w:r>
          </w:p>
        </w:tc>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minimum lease payments</w:t>
            </w: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7,231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ind w:right="116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amounts representing interest</w:t>
            </w:r>
          </w:p>
        </w:tc>
        <w:tc>
          <w:tcPr>
            <w:tcW w:w="2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tcBorders>
              <w:bottom w:val="single" w:sz="8" w:color="CCEEFF"/>
            </w:tcBorders>
            <w:vMerge w:val="continue"/>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5"/>
              </w:rPr>
              <w:t>1,389</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minimum lease payments</w:t>
            </w:r>
          </w:p>
        </w:tc>
        <w:tc>
          <w:tcPr>
            <w:tcW w:w="20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5,842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369"/>
              <w:spacing w:after="0"/>
              <w:rPr>
                <w:sz w:val="20"/>
                <w:szCs w:val="20"/>
                <w:color w:val="auto"/>
              </w:rPr>
            </w:pPr>
            <w:r>
              <w:rPr>
                <w:rFonts w:ascii="Arial" w:cs="Arial" w:eastAsia="Arial" w:hAnsi="Arial"/>
                <w:sz w:val="14"/>
                <w:szCs w:val="14"/>
                <w:color w:val="auto"/>
              </w:rPr>
              <w:t>20</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1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1" w:lineRule="exact"/>
        <w:rPr>
          <w:sz w:val="20"/>
          <w:szCs w:val="20"/>
          <w:color w:val="auto"/>
        </w:rPr>
      </w:pPr>
    </w:p>
    <w:p>
      <w:pPr>
        <w:ind w:left="220" w:hanging="215"/>
        <w:spacing w:after="0"/>
        <w:tabs>
          <w:tab w:leader="none" w:pos="2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(cont.)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Lessor</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leases energy storage systems to one customer with a 20-year term through sales-type leases. Leases offered by the Company include purchase options during the lease term with a bargain purchase option at the end of the term. At the time of accepting a lease that qualifies as a sales-type lease, the Company records the gross amount of lease payments receivable, estimated residual value of the leased equipment and unearned finance income. The unearned finance income is recognized interest income over the lease term using the interest method.</w:t>
      </w:r>
    </w:p>
    <w:p>
      <w:pPr>
        <w:spacing w:after="0" w:line="7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For the three months ended March 31, 2022 and 2021, the Company recognized revenue of $1,038 and $— from the sales-type lease, respectively. Net sales-type lease receivables of $1,302 and $347, net of unearned finance income are recorded under other assets on the condensed consolidated balance sheets as of March 31, 2022 and December 31,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Fair Value Measurement</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financial instruments consist of cash and cash equivalents, restricted cash, Private Placement Warrants, accounts receivable, notes receivable, contract assets, accounts payable, note payable, convertible note payable — related party, contract liabilities and long-term debt.</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table below summarizes the fair values of certain liabilities that are included within our accompanying condensed consolidated balance sheets, and their designations among the three fair value measurement categories: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Level 1</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Level 3</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Level 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Level 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Private Placement Warrants</w:t>
            </w: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620" w:type="dxa"/>
            <w:vAlign w:val="bottom"/>
          </w:tcPr>
          <w:p>
            <w:pPr>
              <w:ind w:left="20"/>
              <w:spacing w:after="0" w:line="138" w:lineRule="exact"/>
              <w:rPr>
                <w:sz w:val="20"/>
                <w:szCs w:val="20"/>
                <w:color w:val="auto"/>
              </w:rPr>
            </w:pPr>
            <w:r>
              <w:rPr>
                <w:rFonts w:ascii="Arial" w:cs="Arial" w:eastAsia="Arial" w:hAnsi="Arial"/>
                <w:sz w:val="14"/>
                <w:szCs w:val="14"/>
                <w:color w:val="auto"/>
              </w:rPr>
              <w:t>Embedded derivative liability within the 2021 Convertible</w:t>
            </w:r>
          </w:p>
        </w:tc>
        <w:tc>
          <w:tcPr>
            <w:tcW w:w="860" w:type="dxa"/>
            <w:vAlign w:val="bottom"/>
            <w:vMerge w:val="restart"/>
          </w:tcPr>
          <w:p>
            <w:pPr>
              <w:jc w:val="right"/>
              <w:ind w:right="709"/>
              <w:spacing w:after="0"/>
              <w:rPr>
                <w:sz w:val="20"/>
                <w:szCs w:val="20"/>
                <w:color w:val="auto"/>
              </w:rPr>
            </w:pPr>
            <w:r>
              <w:rPr>
                <w:rFonts w:ascii="Arial" w:cs="Arial" w:eastAsia="Arial" w:hAnsi="Arial"/>
                <w:sz w:val="14"/>
                <w:szCs w:val="14"/>
                <w:color w:val="auto"/>
                <w:w w:val="76"/>
              </w:rPr>
              <w:t>$</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4,664</w:t>
            </w:r>
          </w:p>
        </w:tc>
        <w:tc>
          <w:tcPr>
            <w:tcW w:w="28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12,359</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4"/>
                <w:szCs w:val="14"/>
                <w:color w:val="auto"/>
              </w:rPr>
              <w:t>Note</w:t>
            </w:r>
          </w:p>
        </w:tc>
        <w:tc>
          <w:tcPr>
            <w:tcW w:w="8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presents a roll-forward of the activity of all liabilities measured at fair value on a recurring basis using significant unobservable inputs (Level 3) for the three months ended March 31, 2022 and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2022</w:t>
            </w:r>
          </w:p>
        </w:tc>
        <w:tc>
          <w:tcPr>
            <w:tcW w:w="480" w:type="dxa"/>
            <w:vAlign w:val="bottom"/>
          </w:tcPr>
          <w:p>
            <w:pPr>
              <w:spacing w:after="0"/>
              <w:rPr>
                <w:sz w:val="16"/>
                <w:szCs w:val="16"/>
                <w:color w:val="auto"/>
              </w:rPr>
            </w:pPr>
          </w:p>
        </w:tc>
        <w:tc>
          <w:tcPr>
            <w:tcW w:w="1880" w:type="dxa"/>
            <w:vAlign w:val="bottom"/>
          </w:tcPr>
          <w:p>
            <w:pPr>
              <w:ind w:left="4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71"/>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the period</w:t>
            </w:r>
          </w:p>
        </w:tc>
        <w:tc>
          <w:tcPr>
            <w:tcW w:w="24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12,359</w:t>
            </w:r>
          </w:p>
        </w:tc>
        <w:tc>
          <w:tcPr>
            <w:tcW w:w="2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fair value included in earnings</w:t>
            </w:r>
          </w:p>
        </w:tc>
        <w:tc>
          <w:tcPr>
            <w:tcW w:w="24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(7,695)</w:t>
            </w:r>
          </w:p>
        </w:tc>
        <w:tc>
          <w:tcPr>
            <w:tcW w:w="2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the period</w:t>
            </w:r>
          </w:p>
        </w:tc>
        <w:tc>
          <w:tcPr>
            <w:tcW w:w="24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4,664</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609"/>
              <w:spacing w:after="0"/>
              <w:rPr>
                <w:sz w:val="20"/>
                <w:szCs w:val="20"/>
                <w:color w:val="auto"/>
              </w:rPr>
            </w:pPr>
            <w:r>
              <w:rPr>
                <w:rFonts w:ascii="Arial" w:cs="Arial" w:eastAsia="Arial" w:hAnsi="Arial"/>
                <w:sz w:val="14"/>
                <w:szCs w:val="14"/>
                <w:color w:val="auto"/>
              </w:rPr>
              <w:t>21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9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 Fair Value Measurement </w:t>
      </w:r>
      <w:r>
        <w:rPr>
          <w:rFonts w:ascii="Arial" w:cs="Arial" w:eastAsia="Arial" w:hAnsi="Arial"/>
          <w:sz w:val="14"/>
          <w:szCs w:val="14"/>
          <w:color w:val="auto"/>
        </w:rPr>
        <w:t>(cont.)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 of financial instruments not carried at fair value in the condensed consolidated balance sheets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218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in fair value</w:t>
            </w:r>
          </w:p>
        </w:tc>
        <w:tc>
          <w:tcPr>
            <w:tcW w:w="180" w:type="dxa"/>
            <w:vAlign w:val="bottom"/>
          </w:tcPr>
          <w:p>
            <w:pPr>
              <w:spacing w:after="0"/>
              <w:rPr>
                <w:sz w:val="16"/>
                <w:szCs w:val="16"/>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6"/>
                <w:szCs w:val="16"/>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6"/>
                <w:szCs w:val="16"/>
                <w:color w:val="auto"/>
              </w:rPr>
            </w:pPr>
          </w:p>
        </w:tc>
        <w:tc>
          <w:tcPr>
            <w:tcW w:w="104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receivable</w:t>
            </w: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3,619</w:t>
            </w:r>
          </w:p>
        </w:tc>
        <w:tc>
          <w:tcPr>
            <w:tcW w:w="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Note payable</w:t>
            </w:r>
          </w:p>
        </w:tc>
        <w:tc>
          <w:tcPr>
            <w:tcW w:w="1920" w:type="dxa"/>
            <w:vAlign w:val="bottom"/>
          </w:tcPr>
          <w:p>
            <w:pPr>
              <w:jc w:val="center"/>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18,862</w:t>
            </w:r>
          </w:p>
        </w:tc>
        <w:tc>
          <w:tcPr>
            <w:tcW w:w="2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14,973</w:t>
            </w:r>
          </w:p>
        </w:tc>
        <w:tc>
          <w:tcPr>
            <w:tcW w:w="3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18,695</w:t>
            </w:r>
          </w:p>
        </w:tc>
        <w:tc>
          <w:tcPr>
            <w:tcW w:w="2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14,607</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financing facility</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5,951</w:t>
            </w:r>
          </w:p>
        </w:tc>
        <w:tc>
          <w:tcPr>
            <w:tcW w:w="0" w:type="dxa"/>
            <w:vAlign w:val="bottom"/>
          </w:tcPr>
          <w:p>
            <w:pPr>
              <w:spacing w:after="0"/>
              <w:rPr>
                <w:sz w:val="1"/>
                <w:szCs w:val="1"/>
                <w:color w:val="auto"/>
              </w:rPr>
            </w:pPr>
          </w:p>
        </w:tc>
      </w:tr>
      <w:tr>
        <w:trPr>
          <w:trHeight w:val="138"/>
        </w:trPr>
        <w:tc>
          <w:tcPr>
            <w:tcW w:w="2900" w:type="dxa"/>
            <w:vAlign w:val="bottom"/>
          </w:tcPr>
          <w:p>
            <w:pPr>
              <w:ind w:left="20"/>
              <w:spacing w:after="0" w:line="138" w:lineRule="exact"/>
              <w:rPr>
                <w:sz w:val="20"/>
                <w:szCs w:val="20"/>
                <w:color w:val="auto"/>
              </w:rPr>
            </w:pPr>
            <w:r>
              <w:rPr>
                <w:rFonts w:ascii="Arial" w:cs="Arial" w:eastAsia="Arial" w:hAnsi="Arial"/>
                <w:sz w:val="14"/>
                <w:szCs w:val="14"/>
                <w:color w:val="auto"/>
              </w:rPr>
              <w:t>2021 Convertible Note without embedded</w:t>
            </w:r>
          </w:p>
        </w:tc>
        <w:tc>
          <w:tcPr>
            <w:tcW w:w="192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72,419</w:t>
            </w:r>
          </w:p>
        </w:tc>
        <w:tc>
          <w:tcPr>
            <w:tcW w:w="28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61,036</w:t>
            </w:r>
          </w:p>
        </w:tc>
        <w:tc>
          <w:tcPr>
            <w:tcW w:w="300" w:type="dxa"/>
            <w:vAlign w:val="bottom"/>
          </w:tcPr>
          <w:p>
            <w:pPr>
              <w:spacing w:after="0"/>
              <w:rPr>
                <w:sz w:val="11"/>
                <w:szCs w:val="11"/>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71,789</w:t>
            </w:r>
          </w:p>
        </w:tc>
        <w:tc>
          <w:tcPr>
            <w:tcW w:w="24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61,866</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derivative liability</w:t>
            </w:r>
          </w:p>
        </w:tc>
        <w:tc>
          <w:tcPr>
            <w:tcW w:w="1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Shareholders’ Equity (Deficit)</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Preferred Shares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is authorized to issue 1,000,000 shares of preferred stock with such designations, voting and other rights and preferences as may be determined from time to time by the Company’s Board of Directors. At March 31, 2022 and December 31, 2021, there were no shares of preferred stock issued or outstanding.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is authorized to issue 200,000,000 shares of common stock with $0.0001 par value. Holders of the Company’s common stock are entitled to one vote for each share. At March 31, 2022 and December 31, 2021, there were 53,980,608 and 53,786,632 shares of common stock issued and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Contingently Issuable Common Stock</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Following the closing of the Merger, and as additional consideration for the transaction, the Company was obligated to issue within five years from the closing date to each unitholder of EES its pro-rata proportion of a one-time issuance of an aggregate of 2,000,000 Shares (the “Earnout Shares” or "Contingently Issuable Common Stock"),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January 22, 2021, the Triggering Event for the issuance of the Earnout Shares occurred as the Company's stock price exceeded $16.00 per share for 20 trading days within a consecutive 30-trading day period during the Earnout Period. Accordingly, 1,999,185 Earnout Shares were issued to the unitholders of EES.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Sponsor Earnout shares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are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 year period, there are no triggering events, the Sponsor Earnout Shares will be forfeited and canceled for no consideration. If after the five year period, only the triggering event described in clause (a) above has occurred, the remaining 859,000 Sponsor Earnout Shares described in clause (b) will be forfeited and canceled for no consideration.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21. Shareholders’ Equity (Deficit) </w:t>
      </w:r>
      <w:r>
        <w:rPr>
          <w:rFonts w:ascii="Arial" w:cs="Arial" w:eastAsia="Arial" w:hAnsi="Arial"/>
          <w:sz w:val="14"/>
          <w:szCs w:val="14"/>
          <w:color w:val="auto"/>
        </w:rPr>
        <w:t>(cont.)</w:t>
      </w:r>
    </w:p>
    <w:p>
      <w:pPr>
        <w:spacing w:after="0" w:line="200" w:lineRule="exact"/>
        <w:rPr>
          <w:sz w:val="20"/>
          <w:szCs w:val="20"/>
          <w:color w:val="auto"/>
        </w:rPr>
      </w:pPr>
    </w:p>
    <w:p>
      <w:pPr>
        <w:spacing w:after="0" w:line="31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January 22, 2021, as the Company's stock price exceeded $16.00 per share for 20 trading days within a consecutive 30-trading day period, the Block B Sponsor Earnout Shares were released from restriction.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Treasury Stock</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For the three months ended March 31, 2022 and 2021, the Company recorded treasury stock of $826 and $— for shares withheld from an employee to cover the payroll tax liability of RSUs vested.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treasury stock was immediately retired.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sold warrants to purchase 9,075,000 shares of the Company's common stock in the public offering and the private placement on May 22, 2020. Each warrant entitles the holder to purchase a share of common stock at a price of $11.50 per share. For the three months ended March 31, 2022 and 2021, 600 and — Public Warrants were exercised, respectively. At March 31, 2022 and December 31, 2021, there were 7,001,654 and 7,002,254 Public Warrants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Earnings (loss) Per Share</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we incurred a net loss for the three months ended March 31, 2022 and 2021,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three months ended March 31, 2022 and 2021. The following potentially dilutive shares were excluded from the calculation of diluted net loss per share because their effect would have been anti-dilutive for the periods presented:</w:t>
      </w:r>
    </w:p>
    <w:p>
      <w:pPr>
        <w:spacing w:after="0" w:line="199"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222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2021</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and restricted stock units</w:t>
            </w: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4,784,076</w:t>
            </w:r>
          </w:p>
        </w:tc>
        <w:tc>
          <w:tcPr>
            <w:tcW w:w="24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3,336,539</w:t>
            </w:r>
          </w:p>
        </w:tc>
      </w:tr>
      <w:tr>
        <w:trPr>
          <w:trHeight w:val="180"/>
        </w:trPr>
        <w:tc>
          <w:tcPr>
            <w:tcW w:w="804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780" w:type="dxa"/>
            <w:vAlign w:val="bottom"/>
          </w:tcPr>
          <w:p>
            <w:pPr>
              <w:jc w:val="right"/>
              <w:spacing w:after="0"/>
              <w:rPr>
                <w:sz w:val="20"/>
                <w:szCs w:val="20"/>
                <w:color w:val="auto"/>
              </w:rPr>
            </w:pPr>
            <w:r>
              <w:rPr>
                <w:rFonts w:ascii="Arial" w:cs="Arial" w:eastAsia="Arial" w:hAnsi="Arial"/>
                <w:sz w:val="14"/>
                <w:szCs w:val="14"/>
                <w:color w:val="auto"/>
              </w:rPr>
              <w:t>7,326,654</w:t>
            </w:r>
          </w:p>
        </w:tc>
        <w:tc>
          <w:tcPr>
            <w:tcW w:w="24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9,075,000</w:t>
            </w:r>
          </w:p>
        </w:tc>
      </w:tr>
      <w:tr>
        <w:trPr>
          <w:trHeight w:val="181"/>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Convertible Notes (if converted)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5,144,074</w:t>
            </w:r>
          </w:p>
        </w:tc>
        <w:tc>
          <w:tcPr>
            <w:tcW w:w="24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Subsequent Events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previously reported, on April 7, 2022, as permitted by the Investment Agreement and to facilitate transferability, the Company reissued the 2021 Convertible Notes in an aggregate principal amount of $102,900, including $2,900 principal amount of the Notes representing interest previously paid in kind, pursuant to an indenture with Wilmington Trust, National Association, as trustee (the “ Indenture”), dated as of April 7, 2022. The terms of the notes remain the same as the 2021 Convertible Notes under the Investment Agreement. Effective May 1, 2022, as permitted under the Investment Agreement, Spring Creek Capital, LLC transferred its rights and obligations under the Investment Agreement to an affiliate.</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EOS ENERGY ENTERPRISES, INC.</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22. Subsequent Events </w:t>
      </w:r>
      <w:r>
        <w:rPr>
          <w:rFonts w:ascii="Arial" w:cs="Arial" w:eastAsia="Arial" w:hAnsi="Arial"/>
          <w:sz w:val="14"/>
          <w:szCs w:val="14"/>
          <w:color w:val="auto"/>
        </w:rPr>
        <w:t>(cont.)</w:t>
      </w: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April 28, 2022, the Company entered into the SEPA with YA II PN, Ltd. (“Yorkville”). Pursuant to the SEPA, the Company has the right, but not the obligation, to sell to Yorkville up to $200,000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$200,000. Each sale the Company requests under the SEPA (an “Advance”) may be for a number of shares of common stock with an aggregate value of up to $20,000. The SEPA provides for shares to be sold to Yorkville at 97.0% of the Market Price (as defined below) and further provides that Yorkville cannot purchase any shares that would result in it owning more than 9.99% of the Company’s outstanding common stock at the time of an Advance (the "Ownership Limitation") or 19.99% of the Company's outstanding common stock as of the date of the SEPA (the "Exchange Cap"). The Exchange Cap will not apply under certain circumstances, including to any sales of common stock under the SEPA that equal or exceed the Minimum Price (which is $2.15 per share, as determined in accordance with Nasdaq Listing Rule 5635(d)). “Market Price” is defined in the SEPA as the average of the VWAPs (as defined below) during each of the three consecutive trading days commencing on the trading day following the Company’s submission of an Advance notice to Yorkville. “VWAP” is defined in the SEPA to mean, for any trading day, the daily volume weighted average price of the Company’s common stock for such date on the Nasdaq Capital Market as reported by Bloomberg L.P. during regular trading hours.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subject to Yorkville’s consent, the Company may request one or more pre-advance loans in amounts not to exceed $50,000 (each, a “Pre-Advance Loan”) from Yorkville. Pursuant to the terms and conditions set forth in the SEPA and the accompanying promissory note. Pre-Advance Loans must be repaid with the proceeds from sales of equity to Yorkville, to the extent outstanding at the time of an advance, or otherwise in cash.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The following discussion should be read in conjunction with the accompanying unaudited financial statements for the three months ended March 31, 2022 and 2021 and our Annual Report on Form 10-K for the year ended December 31, 2021, including the financial statements and notes thereto.</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Forward-Looking Information May Prove Inaccurate</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This report contains statements about the future, sometimes referred to as “forward-looking” statements. Forward-looking statements are typically identified by the use of the words “believe,” “may,” “could,” “should,” “expect,” “anticipate,” “estimate,” “project,” “propose,” “plan,” “intend,” and similar words and expressions. Statements that describe our future strategic plans, goals, or objectives are also forward-looking statements.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Readers of this report are cautioned that any forward-looking statements, including those regarding our management’s current beliefs, expectations, anticipations, estimations, projections, proposals, plans, or intentions, are not guarantees of future performance or results of events and involve risks and uncertainties. The forward-looking information is based on present circumstances and on our predictions respecting events that have not occurred, that may not occur, or that may occur with different consequences from those now assumed or anticipated. Actual events or results may differ materially from those discussed in the forward-looking statements as a result of various factors. See also the “Risk Factors” disclosures contained in our Annual Report on Form 10-K for the year ended December 31, 2021 for additional discussion of the risks and uncertainties that could cause our actual results to differ materially from those expressed or implied in our forward-looking statements. The forward-looking statements included in this report are made only as of the date of this report. We are not obligated to update such forward-looking statements to reflect subsequent events or circumstances.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was originally incorporated in Delaware on June 3, 2019 as a special purpose acquisition company under the name B. Riley Principal Merger Corp. II., in order to acquire, through a merger, capital stock exchange, asset acquisition, stock purchase, reorganization or similar business combination one or more businesses. Upon the closing of the business combination on November 16, 2020, the Company changed its name to “Eos Energy Enterprises, Inc.” The Company began trading under the ticker NASDAQ: EOSE on November 16, 2020.</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April 9, 2021, the Company acquired from Holtec the 51% interest in Hi-Power that was not already owned by the Company. Following the consummation of the transaction, Hi-Power became a 100% indirect, wholly-owned subsidiary of the Company and the obligations of the parties under the Hi-Power joint venture terminated.</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Eos Energy Enterprises, Inc. (the “Company” or “Eos”) designs, develops, manufactures, and sells innovative energy storage solutions for utility-scale microgrid, and commercial &amp; industrial (“C&amp;I”) applications. Eos has developed a broad range of intellectual property with multiple patents ranging from the unique battery chemistry, mechanical product design, energy block configuration and a software operating system (battery management system). The Battery Management System (“BMS”) software uses proprietary Eos-developed algorithms and includes ambient and battery temperature sensors, as well as voltage and current sensors for the strings and the system. Eos focuses on developing and selling safe, reliable, long-lasting low-cost turn-key alternating current (“AC”) integrated systems using Eos’s direct current (“DC”) Battery System. The Company has a manufacturing facility in Turtle Creek, Pennsylvania to produce DC energy blocks with an integrated BMS. The Company’s primary markets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Company’s major market is North America with opportunistic growth opportunities in Europe, Africa, and Asia.</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offers an innovative Znyth™ aqueous zinc battery storage system designed to provide the operating flexibility to manage increased grid complexity deriving from an overall increase in renewable energy generation and a congested grid coming from an increase in electricity demand growth. Our battery storage system is safe, scalable, efficient, sustainable and manufactured in the U.S and is the core of our innovative systems that today provide utilities and commercial and industrial customers with a proven, reliable energy storage alternative for 3- to 12-hour discharge applications. Our innovative spirit extends to our manufacturing strategy, which includes proprietary equipment and processes that allow us to scale quickly and with a lower capital intensity than other technologies. We believe our technology will continue to reduce cost and improve the operating efficiency and competitiveness of our DC battery storage systems.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growth strategy contemplates increasing sales of a commercial battery system through our direct sales team and sales channel partners. We anticipate our customers to include utilities, project developers, independent power producers and commercial and industrial companies.</w:t>
      </w:r>
    </w:p>
    <w:p>
      <w:pPr>
        <w:spacing w:after="0" w:line="10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In addition to our battery storage systems, we offer: (a) battery management system, a remote asset monitoring service to track the performance and health of our storage system and to proactively identify future system performance issues; (b) project management services to ensure the process of implementing our battery storage system is managed in conjunction with the overall project plans;</w:t>
      </w:r>
    </w:p>
    <w:p>
      <w:pPr>
        <w:ind w:firstLine="5"/>
        <w:spacing w:after="0" w:line="266" w:lineRule="auto"/>
        <w:tabs>
          <w:tab w:leader="none" w:pos="192"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commissioning services that ensure the customer’s installation of the battery storage system meets the performance expected by the customer, and (d) operations and maintenance plans to maintain peak operating performance of our storage systems</w:t>
      </w:r>
      <w:r>
        <w:rPr>
          <w:rFonts w:ascii="Arial" w:cs="Arial" w:eastAsia="Arial" w:hAnsi="Arial"/>
          <w:sz w:val="14"/>
          <w:szCs w:val="14"/>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Factors Affecting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Commercialization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achieved third-party product safety certification from Underwriter Laboratories (UL) for the Eos Gen 2.3 Battery System in August 2021. Eos products now meet international UL standards for battery storage systems.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continue to ramp up to full-scale production of our battery storage system and enhance our factory testing protocols to assure that our battery storage systems will operate at expected levels. While we expect the performance of our battery storage systems to improve as we increase our production volume, we also expect some supply chain disruptions as our suppliers ramp up their manufacturing capacity, which may affect the timing of deliveries to our customers.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Some of our customers may experience project delays in connection with permitting procedures and establishing grid connections. These delays have impacted, and may, from time to time, continue to impact the timing of our deliveries and, therefore, our results of operations.</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continue to invest in production quality and manufacturing yield as we continue to scale our manufacturing capabilities to meet current backlog demand. We expect overall cost reductions, as well as improved and consistent quality to be driven by (1) training and experience in aligning our engineering and manufacturing processes; (2) improvement in downtime and equipment maintenance; and (3) finalization of our optimal material sourcing strategy.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Trends and Competition</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expect the global energy storage market to grow given the current geopolitical and economic environment. Based on recent industry studies, the global energy storage market will grow at a 30% compound annual growth rate by 2030. Simply stated, the world needs more power. We believe the world wants to generate that power with sustainable sources, but this objective creates imbalances in our existing energy grid. Managing and mitigating those imbalances will require multiple energy storage technologies to provide safe and reliable power. Until now, most energy storage systems have been in short durations, meaning they have reliably provided power for less than four hours. We believe the future will require longer duration (6-12 hour) battery energy storage systems that provide the flexibility to match intermittency and congestion. We believe the storage opportunity is large (the projected Total Addressable Market = 115 GWh), and the numbers are big (every 1% share = $250M). All signs point to energy storage growing along with utility solar and wind as they come to scale. Over the last decade, solar and wind have become the fastest growing new power generation technologies, and in the process, they have also reduced their costs by 89% and 70%, respectively. The Zynth™ battery is composed of five earth-abundant, readily available raw materials with mature supply chains that allow us to drive cost down as we scale.</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Li-ion currently has 95% or more market share for the stationary storage battery industry. We believe we are the first commercially available battery system that is not premised on Li-ion chemistry. We anticipate our battery storage system using Znyth™ technology will gradually take some market share of the stationary storage market. This considers its unique operating characteristics, including a 100% discharge capability, flattened degradation curve and a 3- to 12-hour duration, as well as other characteristics related to safety and the cost of operating and maintaining our battery storage system. Our ability to successfully deploy our battery storage system technology and gain market share in the energy storage market will be important to the growth of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Landscape</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North America, geographic distribution of energy storage deployment has been driven by regulatory policy with both federal and state level programs contributing to stable revenue streams for energy storage.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Impacts</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are currently operating in a period of global economic and geopolitical uncertainty, which has been significantly exacerbated by the ongoing military conflict between Ukraine and Russia. Although the length and impact of the ongoing military conflict is highly unpredictable, the conflict in Ukraine has led to market disruptions, including significant volatility in commodity prices, credit and capital markets, an increase in cybersecurity incidents as well as supply chain disruptions. Additionally, various of Russia’s actions have led to sanctions and other penalties being levied by the U.S., the European Union, and other countries, as well as other public and private actors and companies, against Russia and certain other geographic areas. We are continuing to monitor the situation in Ukraine, including its global effects, and assessing its potential impact on our business, including the timing of our sales as certain customers purchase safety stock for their own supply chains. Although our business has not been materially impacted by the ongoing military conflict in Ukraine as of the date of this filing, it is impossible to predict the extent to which our operations, or those of our customers or suppliers, will be impacted, or the ways in which the conflict may impact our business, cash flows or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U.S. economy is experiencing broad and rapid inflation as well as supply issues in materials, service and labor due to economic policy, the pandemic and, more recently, the war in Ukraine.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impacts are likely to persist through 2022 and beyond. We cannot predict the impact on the Company’s customers or our manufacturing costs.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novel coronavirus (“COVID-19”) outbreak has adversely affected the Company's workforce and operations, as well as the operations of its customers, distributors, suppliers and contractors. The Company has remained focused on maintaining protective measures to ensure the safety, health and welfare of our workforce and supply chain partners and delivering on commitments to our customers. The Covid-19 pandemic may impact our financial condition and results of operations in the future, which will ultimately depend on future developments, such as the ultimate duration and scope of the pandemic, its impact on our employees, customers, and supply chain partners, and the impact on the overall economy. Please see the “Risk Factors” section of our Annual Report on Form 10-K for the year ended December 31, 2021.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Highlights</w:t>
      </w:r>
    </w:p>
    <w:p>
      <w:pPr>
        <w:spacing w:after="0" w:line="129" w:lineRule="exact"/>
        <w:rPr>
          <w:sz w:val="20"/>
          <w:szCs w:val="20"/>
          <w:color w:val="auto"/>
        </w:rPr>
      </w:pPr>
    </w:p>
    <w:p>
      <w:pPr>
        <w:jc w:val="both"/>
        <w:ind w:left="520" w:hanging="260"/>
        <w:spacing w:after="0" w:line="297" w:lineRule="auto"/>
        <w:tabs>
          <w:tab w:leader="none" w:pos="51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February 2022, we announced the expansion of our manufacturing facility to more than triple capacity to 800 MWh and meet production demand for its Znyth™ aqueous zinc batteries. The facility is located in Turtle Creek, PA outside of Pittsburgh, the state-of-the-art facility, known as Keystone Commons. The planned expansion of this facility will provide the Company with more than 46,000 square feet of additional space and the ability to create more than 125 jobs. The expansion is expected to be completed by December 2022.</w:t>
      </w:r>
    </w:p>
    <w:p>
      <w:pPr>
        <w:spacing w:after="0" w:line="60" w:lineRule="exact"/>
        <w:rPr>
          <w:rFonts w:ascii="Arial" w:cs="Arial" w:eastAsia="Arial" w:hAnsi="Arial"/>
          <w:sz w:val="13"/>
          <w:szCs w:val="13"/>
          <w:color w:val="auto"/>
        </w:rPr>
      </w:pPr>
    </w:p>
    <w:p>
      <w:pPr>
        <w:jc w:val="both"/>
        <w:ind w:left="520" w:hanging="260"/>
        <w:spacing w:after="0" w:line="262"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February 2022, the Company announced that it had advanced through Part I of the U.S. Department of Energy’s (“DOE”) Renewable Energy and Efficient Energy Loan Program. To be invited to submit a Part II loan application, the Company had to demonstrate to the DOE that Eos’s Znyth™ battery employs innovative technology and avoids or reduces greenhouse gas emissions. The Company has since proceeded to Part II of the application process to support, among other things, the previously announced expansion to triple the annualized capacity of its Turtle Creek domestic manufacturing facility to 800MWh by the end of 2022.</w:t>
      </w:r>
    </w:p>
    <w:p>
      <w:pPr>
        <w:spacing w:after="0" w:line="92"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March 2022, the Company entered into a master supply agreement with Bridgelink Commodities, LLC (“Bridgelink”) for storage projects across Texas. Bridgelink has committed to purchase 240 MWh of energy storage capacity provided by Eos’s Znyth™ zinc-based technology, accompanied by an option to purchase long-term maintenance support, with an additional option to expand to a total of 500 MWh over a term of 3 years, representing a total order value of up to $150 million.</w:t>
      </w:r>
    </w:p>
    <w:p>
      <w:pPr>
        <w:spacing w:after="0" w:line="88"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April 2022, we announced that the Company had entered into a $200 million common stock standby equity purchase agreement (the “SEPA”) with an affiliate of Yorkville Advisors. The SEPA gives the Company the right, but not the obligation, to sell up to $200 million of common equity to an affiliate of Yorkville during the two-year term of the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Results of Operations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Comparison of three months ended March 31, 2022 and 2021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500" w:type="dxa"/>
            <w:vAlign w:val="bottom"/>
            <w:gridSpan w:val="3"/>
          </w:tcPr>
          <w:p>
            <w:pPr>
              <w:spacing w:after="0"/>
              <w:rPr>
                <w:sz w:val="20"/>
                <w:szCs w:val="20"/>
                <w:color w:val="auto"/>
              </w:rPr>
            </w:pPr>
            <w:r>
              <w:rPr>
                <w:rFonts w:ascii="Arial" w:cs="Arial" w:eastAsia="Arial" w:hAnsi="Arial"/>
                <w:sz w:val="14"/>
                <w:szCs w:val="14"/>
                <w:color w:val="auto"/>
              </w:rPr>
              <w:t>The following table sets forth our operating results for the periods indicated: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122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55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24"/>
                <w:szCs w:val="24"/>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jc w:val="right"/>
              <w:ind w:right="3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3,298</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3,134</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0" w:type="dxa"/>
            <w:vAlign w:val="bottom"/>
          </w:tcPr>
          <w:p>
            <w:pPr>
              <w:spacing w:after="0"/>
              <w:rPr>
                <w:sz w:val="1"/>
                <w:szCs w:val="1"/>
                <w:color w:val="auto"/>
              </w:rPr>
            </w:pPr>
          </w:p>
        </w:tc>
      </w:tr>
      <w:tr>
        <w:trPr>
          <w:trHeight w:val="180"/>
        </w:trPr>
        <w:tc>
          <w:tcPr>
            <w:tcW w:w="5500" w:type="dxa"/>
            <w:vAlign w:val="bottom"/>
            <w:gridSpan w:val="3"/>
          </w:tcPr>
          <w:p>
            <w:pPr>
              <w:ind w:left="20"/>
              <w:spacing w:after="0"/>
              <w:rPr>
                <w:sz w:val="20"/>
                <w:szCs w:val="20"/>
                <w:color w:val="auto"/>
              </w:rPr>
            </w:pPr>
            <w:r>
              <w:rPr>
                <w:rFonts w:ascii="Arial" w:cs="Arial" w:eastAsia="Arial" w:hAnsi="Arial"/>
                <w:sz w:val="14"/>
                <w:szCs w:val="14"/>
                <w:color w:val="auto"/>
              </w:rPr>
              <w:t>Cost and expenses: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Cost of goods sold</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35,485</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35,485</w:t>
            </w:r>
          </w:p>
        </w:tc>
        <w:tc>
          <w:tcPr>
            <w:tcW w:w="0" w:type="dxa"/>
            <w:vAlign w:val="bottom"/>
          </w:tcPr>
          <w:p>
            <w:pPr>
              <w:spacing w:after="0"/>
              <w:rPr>
                <w:sz w:val="1"/>
                <w:szCs w:val="1"/>
                <w:color w:val="auto"/>
              </w:rPr>
            </w:pPr>
          </w:p>
        </w:tc>
      </w:tr>
      <w:tr>
        <w:trPr>
          <w:trHeight w:val="180"/>
        </w:trPr>
        <w:tc>
          <w:tcPr>
            <w:tcW w:w="5500" w:type="dxa"/>
            <w:vAlign w:val="bottom"/>
            <w:gridSpan w:val="3"/>
          </w:tcPr>
          <w:p>
            <w:pPr>
              <w:ind w:left="14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5,477</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0"/>
        </w:trPr>
        <w:tc>
          <w:tcPr>
            <w:tcW w:w="5500" w:type="dxa"/>
            <w:vAlign w:val="bottom"/>
            <w:gridSpan w:val="3"/>
          </w:tcPr>
          <w:p>
            <w:pPr>
              <w:ind w:left="140"/>
              <w:spacing w:after="0"/>
              <w:rPr>
                <w:sz w:val="20"/>
                <w:szCs w:val="20"/>
                <w:color w:val="auto"/>
              </w:rPr>
            </w:pPr>
            <w:r>
              <w:rPr>
                <w:rFonts w:ascii="Arial" w:cs="Arial" w:eastAsia="Arial" w:hAnsi="Arial"/>
                <w:sz w:val="14"/>
                <w:szCs w:val="14"/>
                <w:color w:val="auto"/>
              </w:rPr>
              <w:t>Loss on pre-existing agreement</w:t>
            </w:r>
          </w:p>
        </w:tc>
        <w:tc>
          <w:tcPr>
            <w:tcW w:w="3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(7,852)</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Grant expense (income), net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171"/>
        </w:trPr>
        <w:tc>
          <w:tcPr>
            <w:tcW w:w="5500" w:type="dxa"/>
            <w:vAlign w:val="bottom"/>
            <w:gridSpan w:val="3"/>
          </w:tcPr>
          <w:p>
            <w:pPr>
              <w:ind w:left="20"/>
              <w:spacing w:after="0"/>
              <w:rPr>
                <w:sz w:val="20"/>
                <w:szCs w:val="20"/>
                <w:color w:val="auto"/>
              </w:rPr>
            </w:pPr>
            <w:r>
              <w:rPr>
                <w:rFonts w:ascii="Arial" w:cs="Arial" w:eastAsia="Arial" w:hAnsi="Arial"/>
                <w:sz w:val="14"/>
                <w:szCs w:val="14"/>
                <w:color w:val="auto"/>
              </w:rPr>
              <w:t>Operating loss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(51,702)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(30,051)</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00" w:type="dxa"/>
            <w:vAlign w:val="bottom"/>
            <w:gridSpan w:val="3"/>
          </w:tcPr>
          <w:p>
            <w:pPr>
              <w:ind w:left="1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Interest expense - related party</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5500" w:type="dxa"/>
            <w:vAlign w:val="bottom"/>
            <w:gridSpan w:val="3"/>
          </w:tcPr>
          <w:p>
            <w:pPr>
              <w:ind w:left="140"/>
              <w:spacing w:after="0"/>
              <w:rPr>
                <w:sz w:val="20"/>
                <w:szCs w:val="20"/>
                <w:color w:val="auto"/>
              </w:rPr>
            </w:pPr>
            <w:r>
              <w:rPr>
                <w:rFonts w:ascii="Arial" w:cs="Arial" w:eastAsia="Arial" w:hAnsi="Arial"/>
                <w:sz w:val="14"/>
                <w:szCs w:val="14"/>
                <w:color w:val="auto"/>
              </w:rPr>
              <w:t>Change in fair value, embedded derivative - related party</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7,695</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Change in fair value, warrant liability - related party</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0"/>
        </w:trPr>
        <w:tc>
          <w:tcPr>
            <w:tcW w:w="5500" w:type="dxa"/>
            <w:vAlign w:val="bottom"/>
            <w:gridSpan w:val="3"/>
          </w:tcPr>
          <w:p>
            <w:pPr>
              <w:ind w:left="140"/>
              <w:spacing w:after="0"/>
              <w:rPr>
                <w:sz w:val="20"/>
                <w:szCs w:val="20"/>
                <w:color w:val="auto"/>
              </w:rPr>
            </w:pPr>
            <w:r>
              <w:rPr>
                <w:rFonts w:ascii="Arial" w:cs="Arial" w:eastAsia="Arial" w:hAnsi="Arial"/>
                <w:sz w:val="14"/>
                <w:szCs w:val="14"/>
                <w:color w:val="auto"/>
              </w:rPr>
              <w:t>Income from equity in unconsolidated joint venture</w:t>
            </w:r>
          </w:p>
        </w:tc>
        <w:tc>
          <w:tcPr>
            <w:tcW w:w="3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5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5500" w:type="dxa"/>
            <w:vAlign w:val="bottom"/>
            <w:gridSpan w:val="3"/>
          </w:tcPr>
          <w:p>
            <w:pPr>
              <w:ind w:left="20"/>
              <w:spacing w:after="0"/>
              <w:rPr>
                <w:sz w:val="20"/>
                <w:szCs w:val="20"/>
                <w:color w:val="auto"/>
              </w:rPr>
            </w:pPr>
            <w:r>
              <w:rPr>
                <w:rFonts w:ascii="Arial" w:cs="Arial" w:eastAsia="Arial" w:hAnsi="Arial"/>
                <w:sz w:val="14"/>
                <w:szCs w:val="14"/>
                <w:color w:val="auto"/>
              </w:rPr>
              <w:t>Loss before income taxes</w:t>
            </w: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(45,833)</w:t>
            </w:r>
          </w:p>
        </w:tc>
        <w:tc>
          <w:tcPr>
            <w:tcW w:w="100" w:type="dxa"/>
            <w:vAlign w:val="bottom"/>
          </w:tcPr>
          <w:p>
            <w:pPr>
              <w:spacing w:after="0"/>
              <w:rPr>
                <w:sz w:val="14"/>
                <w:szCs w:val="14"/>
                <w:color w:val="auto"/>
              </w:rPr>
            </w:pPr>
          </w:p>
        </w:tc>
        <w:tc>
          <w:tcPr>
            <w:tcW w:w="720" w:type="dxa"/>
            <w:vAlign w:val="bottom"/>
            <w:tcBorders>
              <w:top w:val="single" w:sz="8" w:color="auto"/>
            </w:tcBorders>
          </w:tcPr>
          <w:p>
            <w:pPr>
              <w:jc w:val="right"/>
              <w:ind w:right="56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(21,456)</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(24,377)</w:t>
            </w:r>
          </w:p>
        </w:tc>
        <w:tc>
          <w:tcPr>
            <w:tcW w:w="8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0"/>
        </w:trPr>
        <w:tc>
          <w:tcPr>
            <w:tcW w:w="55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Income tax benefit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5500" w:type="dxa"/>
            <w:vAlign w:val="bottom"/>
            <w:gridSpan w:val="3"/>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(45,791)</w:t>
            </w:r>
          </w:p>
        </w:tc>
        <w:tc>
          <w:tcPr>
            <w:tcW w:w="1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(21,456)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(24,335)</w:t>
            </w:r>
          </w:p>
        </w:tc>
        <w:tc>
          <w:tcPr>
            <w:tcW w:w="8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results of operations for the three months ended March 31, 2022, reflect the continued ramp-up of production and delivery of our battery storage systems. Although we expect revenues to grow throughout 2022, we also continue to expect to generate operating losses for the foreseeable future. A summary of our operating results for the three months ended March 31, 2022 is as follows: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Company generates revenues from delivery of our battery storage systems and service-related solutions. We expect revenues to increase as we scale our production to meet customer demand.</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Revenue increased by $3.1 million, or 1,911% from $0.2 million for the three months ended March 31, 2021 to $3.3 million for the three months ended March 31, 2022. The increase related primarily to sales of our battery storage systems for specific customer applications.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Cost of goods sold increased by $35.5 million, or 35,485% from $0.1 million for the three months ended March 31, 2021 to $35.6 million for the three months ended March 31, 2022. The Company began shipping battery systems to customers in 2021. As a result, we have yet to achieve our optimal operational scale, however, we are beginning to experience improvement in manufacturing yield and increase throughput, and lower raw material costs. We believe we have not yet reached the cost entitlement of our manufacturing processes or system design and, as a result we are incurring higher manufacturing costs. We have seen significantly reduced scrap rates along with production output as we continue to ramp our production. We expect our overall gross margin percentage to improve as we increase volume in our factory, further refine our manufacturing processes, continue to optimize our supply chain, increase our sales, and spread our overhead costs over larger production volumes.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115"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Research and development expenses consist primarily of salaries and other personnel-related costs, materials, third-party services, depreciation on equipment and facilities used in our research and development process, and amortization of intangible assets. We expect our research and development costs to increase for the foreseeable future as we continue to invest in research and development activities that are necessary to develop our future technologies. We are investing to optimize how we manufacture and operate our battery storage system in the field, using a chemistry that has been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proven over the last decade. In addition, we continue to invest in a next generation product whose test results to date are showing increased performance at an overall lower system cost than our current product configuration.</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costs decreased by $0.1 million or 2% from $5.1 million for the three months ended March 31, 2021 to $5.0 million for the three months ended March 31, 2022. Materials and supplies decreased by $1.9 million, mainly from reduced battery testing expenses. This decrease was partially offset by a $1.2 million increase of employee and stock-compensation costs, a $0.5 million increase in outside professional services and a $0.1 million increase in facility costs.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Selling, general and administrative expenses consist mainly of personnel-related expenses including corporate, executive, finance, and other administrative functions, expenses for outside professional services, including legal, audit and accounting services, and expenses for facilities, depreciation, amortization, travel, and marketing costs. We expect selling, general and administrative expenses to increase for the foreseeable future as we implement an infrastructure that supports the growth of our business.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Selling, general and administrative expenses increased by $5.5 million or 62% from $8.8 million for the three months ended March 31, 2021 to $14.3 million for the three months ended March 31, 2022, including an increase of payroll and stock-compensation costs of $2.8 million as we continue to expand our expertise and hire new employees in various disciplines. In addition, selling, general and administrative expenses increased relating to the following: $0.3 million of dues and fees and $2.1 million in legal, recruiting and other outside professional services. Facility costs increased by $0.2 million also due to the expansion of operation and increase of headcount.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 on pre-existing agreement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company incurred a loss on pre-existing agreement of $7.9 million for the three months ended March 31, 2021 from the JV agreement with Holtec.</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Grant expense (income), net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Grant expense (income), net includes our expenses net of reimbursement related to grants provided primarily by the California Energy Commission (“CEC”).</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Grant expense (income), net increased by $0.2 million or 2,063% from $— million for the three months ended March 31, 2021 to $0.2 million for the three months ended March 31, 2022. The increase results from higher grant costs incurred for the three months ended March 31, 2022 and the level of research and development activity related to our grants from the California Energy Commission.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 net and interest expense - related party</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Interest expense, net increased by $0.3 million or 1,510% from $— for the three months ended March 31, 2021 to $0.3 million for the three months ended March 31, 2022. This increase is a result of interest accretion on the note payable, which was issued in April 2021 in relation to the Hi-Power acquisition.</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Interest expense - related party of $2.2 million for the three months ended March 31, 2022 is related to the 2021 Convertible Note issued to Koch Industries in July 2021, which includes interest accrued as well as the amortization of debt issuance cost and discount.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in fair value, embedded derivative - related party</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2021 Convertible Note issued in July 2021 contains a conversion feature which is precluded from being considered indexed to the Company’s stock. Therefore, the conversion feature is accounted for as an embedded derivative and remeasured at its fair value at each balance sheet date. The change in its fair value is recognized in the condensed consolidated statements of operations during the period of change. The change in fair value of $7.7 million for the three months ended March 31, 2022 reflects the change in fair value of the embedded derivative feature largely as a result of the decrease in the Company’s stock price.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in fair value, warrants liability - related party</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$0.8 million, or 353% change, from $(0.2) million for the three months ended March 31, 2021 to $0.6 million for the three months ended March 31, 2022, reflects the change in fair value of the Private Placement Warrants classified as liability.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from equity in unconsolidated joint venture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income from equity in unconsolidated joint venture is attributable to the results of our joint venture Hi-Power before the acquisition. Hi-Power became a wholly-owned subsidiary on April 9, 2021 and its operational results are consolidated within the Company’s condensed consolidated statements of operations for the three months ended March 31, 2022.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benefit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An income tax benefit of $0.04 million was recorded for the three months ended March 31, 2022 in relation to the pre-tax loss from the Company’s international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remains in the process of product commercialization and full-scale manufacturing development and, as such, has had limited revenue generating activities to date. Accordingly, the Company has incurred significant recurring losses, and net operating cash outflows from operations since inception. Operating expenses consist primarily of costs related to the Company’s sales of its products, research and development costs, and recurring general and administrative expenses. Management and the Company’s Board of Directors anticipate the Company will eventually reach a scale of profitability through the sale of battery storage systems and other complementary products and services, and therefore, the Company believes the current stage of the Company’s lifecycle justifies continued intensive investment in the development and launch of products. Accordingly, the Company expects to continue to incur significant losses and net operating cash outflows from operations for the foreseeable future and to continue to require additional capital to fund the Company’s operations and obligations as they become due, including funding necessary to continue to scale up the Company’s operations to allow for the delivery of order backlog, to secure additional order opportunities for its battery storage systems, and to continue to invest in research and development.</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continues to pursue various funding options to raise additional capital to support its operations. As previously reported, the Company has moved through Part I of the application under the U.S. Department of Energy’s Loan Guarantee Solicitation for Applications for Renewable Energy Projects and Efficient Energy Projects (the “DOE Loan Program”), and currently anticipates submitting an application under Part II of the loan program in the second quarter of 2022. In addition, in April, the Company entered into a $200 million common stock SEPA with an affiliate of Yorkville Advisors (“Yorkville”). The SEPA gives Eos the right, but not the obligation, to sell up to $200 million of common equity to an affiliate of Yorkville at times of Eos’ choosing during the two-year term of the agreement. The SEPA provides for shares to be issued to the investor at a discounted price of 97.0% of the 3-day volume-weighted average price following notification to the investor that the Company wishes to draw upon the facility (each, an “advance”). Furthermore, the SEPA allows for pre-advance loans in the aggregate principal amount not to exceed $50 million per loan, pursuant to a promissory note subject to the mutual consent of the parties. Pre-advance loans must be repaid with the proceeds from sales of equity to Yorkville, to the extent outstanding at the time of an advance, or otherwise in cash. The Company’s rights to sell stock to the affiliate of Yorkville are subject to certain limitations including that Yorkville may not purchase any shares that would result in it owning (1) more than 9.99 percent of the Company’s outstanding common stock at the time of an advance or, (2) 19.99 percent of the Company’s outstanding common stock as of April 28, 2022 (the “Exchange Cap”), provided that the Exchange Cap does not apply to any sales of common stock under the SEPA that equal or exceed $2.15 per share. There can be no assurance that the Company will successfully complete Part II of the DOE Loan Program or that the Company will be able to utilize the SEPA to its full $200 million capacity, or otherwise be able to obtain new funding from other sources on terms acceptable to us, on a timely basis, or at all.</w:t>
      </w:r>
    </w:p>
    <w:p>
      <w:pPr>
        <w:spacing w:after="0" w:line="80"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Company believes these uncertainties raise substantial doubt about the Company’s ability to continue as a going concern. If the Company is unable to raise additional capital, on acceptable terms or at all, the Company may have to significantly delay, scale back or ultimately discontinue the development or commercialization of its product and/or consider a sale or other strategic transaction.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March 31, 2022, Eos had total assets of $126,859, which includes total cash and cash equivalents of $55,361, total liabilities of $137,079, which includes the total amounts owed on the Company’s outstanding convertible notes payable of $77,083 (see Note 14 in the Notes to the condensed consolidated financial statements), notes payable of $18,862 (see Note 15 in the Notes to the condensed consolidated financial statements) and long-term debt of $5,982 (see Note 16 in the Notes to the condensed consolidated financial statements) and a total accumulated deficit of $(462,318), which is primarily attributable to the significant recurring losses the Company has accumulated since inception. The Company has historically relied on outside capital to fund its cost structure and expects this reliance to continue for the foreseeable future until the Company reaches a scale of profitability through its planned revenue generating activities. However, as of the date the accompanying financial statements were issued, management concluded that the Company did not have sufficient capital on hand to support its current cost structure for one year after the date the accompanying financial statements were issued. Based on our current projections, the Company will need to secure additional capital, increase revenues or defer or reduce cash expenditures in the second quarter of 2022 to continue our operations.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noted, since our inception, we have financed our operations primarily through funding received from the Private Placement of convertible notes and the issuance of common and preferred units. In November 2020, we received $142.3 million in connection with the consummation of the Merger and the Private Placement upon the Closing. In July 2021, we received $100.0 million in proceeds from the issuance of the 2021 Convertible Note to Koch Industries (see Note 14 in the Notes to our condensed consolidated financial statements). In September 2021, the Company entered into a $25.0 million Equipment Financing Agreement with Trinity (the “Equipment Financing Agreement”), the proceeds of which will be used to acquire certain equipment and other property, subject to Trinity's approval. As of March 31, 2022, the Company had drawn $7.0 million from the financing agreement.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expect capital expenditures and working capital requirements to increase as we seek to execute on our growth strategy. We currently anticipate that total capital expenditures for fiscal 2022 will be approximately $25 million to $35 million which will be used primarily for additional equipment, automation, and implementation to increase our capacity and efficiency to meet our customer’s needs. Our capital expenditure and working capital requirements in the foreseeable future may change depending on many factors, including but not limited to the overall performance of existing equipment, our sales pipeline, our operating results, our ability to secure funding and any adjustments in our operating plan needed in response to industry conditions, competition or unexpected events.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113665</wp:posOffset>
            </wp:positionV>
            <wp:extent cx="15970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84"/>
        </w:trPr>
        <w:tc>
          <w:tcPr>
            <w:tcW w:w="84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6"/>
                <w:szCs w:val="16"/>
                <w:color w:val="auto"/>
              </w:rPr>
            </w:pPr>
          </w:p>
        </w:tc>
        <w:tc>
          <w:tcPr>
            <w:tcW w:w="980" w:type="dxa"/>
            <w:vAlign w:val="bottom"/>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b w:val="1"/>
                <w:bCs w:val="1"/>
                <w:color w:val="auto"/>
              </w:rPr>
              <w:t>2021</w:t>
            </w:r>
          </w:p>
        </w:tc>
      </w:tr>
      <w:tr>
        <w:trPr>
          <w:trHeight w:val="171"/>
        </w:trPr>
        <w:tc>
          <w:tcPr>
            <w:tcW w:w="8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(42,732)</w:t>
            </w:r>
          </w:p>
        </w:tc>
        <w:tc>
          <w:tcPr>
            <w:tcW w:w="32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(9,703)</w:t>
            </w:r>
          </w:p>
        </w:tc>
      </w:tr>
      <w:tr>
        <w:trPr>
          <w:trHeight w:val="180"/>
        </w:trPr>
        <w:tc>
          <w:tcPr>
            <w:tcW w:w="8420" w:type="dxa"/>
            <w:vAlign w:val="bottom"/>
            <w:gridSpan w:val="2"/>
          </w:tcPr>
          <w:p>
            <w:pPr>
              <w:ind w:left="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(5,132)</w:t>
            </w:r>
          </w:p>
        </w:tc>
        <w:tc>
          <w:tcPr>
            <w:tcW w:w="3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(11,360)</w:t>
            </w:r>
          </w:p>
        </w:tc>
      </w:tr>
      <w:tr>
        <w:trPr>
          <w:trHeight w:val="181"/>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(1,212)</w:t>
            </w:r>
          </w:p>
        </w:tc>
        <w:tc>
          <w:tcPr>
            <w:tcW w:w="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from operating activities: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cash flows used in operating activities to date have been primarily comprised of costs related to research and development, manufacturing of our products, and other general and administrative activities. As we expand the commercial-grade production of our battery systems, we expect our expenses related to personnel, manufacturing, research and development and selling, general and administrative activities to increase.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Net cash used in operating activities was $42.7 million for the three months ended March 31, 2022 which was comprised of our net loss of $45.8 million, adjusted for non-cash charges, including stock-based compensation of $3.9 million, depreciation and amortization of $1.0 million, a change in fair value of embedded derivative of $7.7 million, and a change in fair value of warrants liability of $0.6 million. The net cash inflow from changes in operating assets and liabilities was $5.6 million, primarily driven by an increase in accounts payable and accrued expenses of $2.8 million, an increase in interest payable - related party of $1.5 million, a decrease in inventory of $2.7 million and increase in contract liabilities of $2.1 million, partially offset by an increase in accounts receivable of $0.8 million and an increase in vendor deposits of $2.3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Net cash used in operating activities was $9.7 million for the three months ended March 31, 2021, which was comprised of our net loss of $21.5 million, adjusted for non-cash charges, including stock-based compensation of $2.5 million, depreciation and amortization of $0.5 million, and a change in fair value of warrants liability of $0.2 million. The net cash inflow from changes in operating assets and liabilities was $8.8 million, primarily driven by an increase in accounts payable of $9.6 million, partially offset by decrease in provision for firm purchase commitments of $1.6 million.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from investing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Our cash flows used in investing activities for the three months ended March 31, 2022 were comprised primarily of payment made for purchases of property, plant and equipment of $5.1 million.</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cash flows used in investing activities for the three months ended March 31, 2021 were composed primarily of purchases of property, plant and equipment of $4.5 million, investment in joint venture of $4.0 million, and notes receivable advanced to customers of $2.9 million.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from financing activities: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cash used in financing activities was $1.2 million for the three months ended March 31, 2022, primarily due to payment of equipment financing facility of $0.4 million and payment for share repurchase from employees for tax withholding purposes of $0.8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was $0.1 million for the three months ended March 31, 2021, primarily due to repayment of vendor related financing of $0.1 million.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certain obligations and commitments to make future payments under contracts. The following table sets forth our estimates of future payments at March 31, 2022. See Note 9, Note 14, Note 15, Note 16, and Note 19 for further information of these obligations and commitments.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8"/>
              </w:rPr>
              <w:t>Less than 1 year</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1-3 years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More than 5 years</w:t>
            </w:r>
          </w:p>
        </w:tc>
      </w:tr>
      <w:tr>
        <w:trPr>
          <w:trHeight w:val="17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Convertible Note, including interest (1)</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Note payable, including interest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and capital lease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Firm purchase commitment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1,724</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1,724</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financing, including interest</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4,906</w:t>
            </w: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r>
      <w:tr>
        <w:trPr>
          <w:trHeight w:val="171"/>
        </w:trPr>
        <w:tc>
          <w:tcPr>
            <w:tcW w:w="448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10,587</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29,045</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r>
      <w:tr>
        <w:trPr>
          <w:trHeight w:val="20"/>
        </w:trPr>
        <w:tc>
          <w:tcPr>
            <w:tcW w:w="4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380" w:firstLine="5"/>
        <w:spacing w:after="0" w:line="281" w:lineRule="auto"/>
        <w:tabs>
          <w:tab w:leader="none" w:pos="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methods of interest payments for the 2021 Convertible Note are based on the Company's current intentions, which are subject to change. As of the date of this Form 10-Q, the Company intends to repay the contractual interest due on June 30, 2022 and December 30, 2022 in-kind and the remaining interest in cash.</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condensed consolidated financial statements are prepared in conformity with U.S. generally accepted accounting principles. In preparing our condensed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significant accounting policies are described in Note 1 in the Notes to the audited financial statements included in our Annual Report on Form 10-K for the year ended December 31, 2021. Our most significant accounting policies, which reflect significant management estimates and judgment in determining amounts reported in our financial statements for the quarter ended March 31, 2022 were product warranty and fair value of the embedded conversion feature. There have been no material changes to our critical accounting estimates as compared to our critical accounting policies and estimates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61"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There have been no material changes in our market risk exposures for the three months ended March 31, 2022, as compared to those discussed in our Annual Report on Form 10-K for the year ended December 31, 2021.</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management, under the supervision of our Chief Executive Officer (CEO) and our Chief Financial Officer (CFO), evaluated the effectiveness of the design and operation of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our disclosure controls and procedures were not effective as of March 31, 2022 because of material weaknesses resulting from our lack of a formalized internal control framework in accordance with COSO, inadequate segregation of duties in the financial reporting process, lack of review and approval of journal entries, and a lack of management review controls.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light of these material weaknesses, we performed additional analyses, reconciliations, and other post-closing procedures to determine that our consolidated financial statements are prepared in accordance with U.S. generally accepted accounting principles. Accordingly, management concluded that the consolidated financial statements included in this report fairly present in all material respects our financial condition, results of operations and cash flows for the periods presented.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Securities Exchange Act of 1934) during our most recent quarter that have materially affected, or are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From time to time, we may be involved in litigation relating to claims arising out of our operations.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disclosed in Note 9 of the Notes to our condensed consolidated financial statements, the Company remains under a previously-reported investigation by the U.S. Department of Justice (“DOJ”) for underpayment of certain custom duties from the past years for the imports of supplies from international vendors. As of the date of this report, no complaint has been filed against the Company. The Company is cooperating with the investigative demand. The Company accrued $0.9 million for the probable loss included in accrued expenses on the condensed consolidated balance sheets as of March 31, 2022. However, at this time, it is difficult to predict the final outcome or resolution of any claims.</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disclosed in Note 22 of the Notes to our condensed consolidated financial statements, 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to the other information set forth in the Quarterly Report on Form 10-Q, you should carefully consider the factors discussed in Part I, Item 1A, “Risk Factors” in our Annual Report on Form 10-K, for the fiscal year ended December 31, 2021, as further supplemented by the following updated risk factor related to potential legal proceedings.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nature of our business exposes us to potential legal proceedings or claims that could adversely affect our operating results. These claims could conceivably exceed the level of our liability insurance coverage.</w:t>
      </w:r>
    </w:p>
    <w:p>
      <w:pPr>
        <w:spacing w:after="0" w:line="6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we could incur substantial monetary liability and/or be required to change our business practices.</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currently remains under investigation by the U.S. Department of Justice (“DOJ”) for underpayment of certain custom duties from the past years for the imports of supplies from international vendors. As of the date of this report, no complaint has been filed against the Company. The Company is cooperating with the investigative demand. At this time, it is difficult to predict the final outcome or resolution of any claims.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120" w:type="dxa"/>
            <w:vAlign w:val="bottom"/>
            <w:gridSpan w:val="4"/>
          </w:tcPr>
          <w:p>
            <w:pPr>
              <w:spacing w:after="0"/>
              <w:rPr>
                <w:rFonts w:ascii="Arial" w:cs="Arial" w:eastAsia="Arial" w:hAnsi="Arial"/>
                <w:sz w:val="14"/>
                <w:szCs w:val="14"/>
                <w:color w:val="0000FF"/>
                <w:w w:val="99"/>
              </w:rPr>
            </w:pPr>
            <w:hyperlink w:anchor="page1">
              <w:r>
                <w:rPr>
                  <w:rFonts w:ascii="Arial" w:cs="Arial" w:eastAsia="Arial" w:hAnsi="Arial"/>
                  <w:sz w:val="14"/>
                  <w:szCs w:val="14"/>
                  <w:color w:val="0000FF"/>
                  <w:w w:val="99"/>
                </w:rPr>
                <w:t>Table of Contents</w:t>
              </w:r>
            </w:hyperlink>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6"/>
        </w:trPr>
        <w:tc>
          <w:tcPr>
            <w:tcW w:w="1000" w:type="dxa"/>
            <w:vAlign w:val="bottom"/>
            <w:tcBorders>
              <w:top w:val="single" w:sz="8" w:color="0000FF"/>
            </w:tcBorders>
            <w:gridSpan w:val="2"/>
          </w:tcPr>
          <w:p>
            <w:pPr>
              <w:spacing w:after="0"/>
              <w:rPr>
                <w:sz w:val="20"/>
                <w:szCs w:val="20"/>
                <w:color w:val="auto"/>
              </w:rPr>
            </w:pPr>
            <w:r>
              <w:rPr>
                <w:rFonts w:ascii="Arial" w:cs="Arial" w:eastAsia="Arial" w:hAnsi="Arial"/>
                <w:sz w:val="14"/>
                <w:szCs w:val="14"/>
                <w:i w:val="1"/>
                <w:iCs w:val="1"/>
                <w:color w:val="auto"/>
              </w:rPr>
              <w:t>(a) Exhibits</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3"/>
              </w:rPr>
              <w:t>Incorporated by Reference</w:t>
            </w: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80" w:type="dxa"/>
            <w:vAlign w:val="bottom"/>
            <w:gridSpan w:val="17"/>
          </w:tcPr>
          <w:p>
            <w:pPr>
              <w:ind w:left="480"/>
              <w:spacing w:after="0"/>
              <w:rPr>
                <w:sz w:val="20"/>
                <w:szCs w:val="20"/>
                <w:color w:val="auto"/>
              </w:rPr>
            </w:pPr>
            <w:r>
              <w:rPr>
                <w:rFonts w:ascii="Arial" w:cs="Arial" w:eastAsia="Arial" w:hAnsi="Arial"/>
                <w:sz w:val="14"/>
                <w:szCs w:val="14"/>
                <w:b w:val="1"/>
                <w:bCs w:val="1"/>
                <w:color w:val="auto"/>
              </w:rPr>
              <w:t>Description of Document</w:t>
            </w: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Schedule/Form</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File Number</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Exhibits</w:t>
            </w:r>
          </w:p>
        </w:tc>
        <w:tc>
          <w:tcPr>
            <w:tcW w:w="1840" w:type="dxa"/>
            <w:vAlign w:val="bottom"/>
          </w:tcPr>
          <w:p>
            <w:pPr>
              <w:ind w:left="5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4.1</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720" w:type="dxa"/>
            <w:vAlign w:val="bottom"/>
            <w:tcBorders>
              <w:top w:val="single" w:sz="8" w:color="auto"/>
            </w:tcBorders>
            <w:gridSpan w:val="18"/>
            <w:shd w:val="clear" w:color="auto" w:fill="CCEEFF"/>
          </w:tcPr>
          <w:p>
            <w:pPr>
              <w:spacing w:after="0" w:line="139" w:lineRule="exact"/>
              <w:rPr>
                <w:rFonts w:ascii="Arial" w:cs="Arial" w:eastAsia="Arial" w:hAnsi="Arial"/>
                <w:sz w:val="14"/>
                <w:szCs w:val="14"/>
                <w:color w:val="0000FF"/>
                <w:w w:val="99"/>
              </w:rPr>
            </w:pPr>
            <w:hyperlink r:id="rId83">
              <w:r>
                <w:rPr>
                  <w:rFonts w:ascii="Arial" w:cs="Arial" w:eastAsia="Arial" w:hAnsi="Arial"/>
                  <w:sz w:val="14"/>
                  <w:szCs w:val="14"/>
                  <w:color w:val="0000FF"/>
                  <w:w w:val="99"/>
                </w:rPr>
                <w:t>Indenture, dated April 7, 2022, between the Company and Wilmington Trust,</w:t>
              </w:r>
            </w:hyperlink>
          </w:p>
        </w:tc>
        <w:tc>
          <w:tcPr>
            <w:tcW w:w="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Form 8-K</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File No. 001-39291</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10.1</w:t>
            </w: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April 13, 2022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360" w:type="dxa"/>
            <w:vAlign w:val="bottom"/>
            <w:tcBorders>
              <w:top w:val="single" w:sz="8" w:color="0000FF"/>
            </w:tcBorders>
            <w:gridSpan w:val="8"/>
            <w:shd w:val="clear" w:color="auto" w:fill="CCEEFF"/>
          </w:tcPr>
          <w:p>
            <w:pPr>
              <w:spacing w:after="0" w:line="118" w:lineRule="exact"/>
              <w:rPr>
                <w:rFonts w:ascii="Arial" w:cs="Arial" w:eastAsia="Arial" w:hAnsi="Arial"/>
                <w:sz w:val="13"/>
                <w:szCs w:val="13"/>
                <w:color w:val="0000FF"/>
                <w:w w:val="98"/>
              </w:rPr>
            </w:pPr>
            <w:hyperlink r:id="rId83">
              <w:r>
                <w:rPr>
                  <w:rFonts w:ascii="Arial" w:cs="Arial" w:eastAsia="Arial" w:hAnsi="Arial"/>
                  <w:sz w:val="13"/>
                  <w:szCs w:val="13"/>
                  <w:color w:val="0000FF"/>
                  <w:w w:val="98"/>
                </w:rPr>
                <w:t>National Association, as trustee (incorporated by reference to Exhibit 10.1 of</w:t>
              </w:r>
            </w:hyperlink>
          </w:p>
        </w:tc>
        <w:tc>
          <w:tcPr>
            <w:tcW w:w="380" w:type="dxa"/>
            <w:vAlign w:val="bottom"/>
            <w:tcBorders>
              <w:top w:val="single" w:sz="8" w:color="CCEEFF"/>
            </w:tcBorders>
            <w:gridSpan w:val="11"/>
            <w:shd w:val="clear" w:color="auto" w:fill="CCEEFF"/>
          </w:tcPr>
          <w:p>
            <w:pPr>
              <w:jc w:val="right"/>
              <w:ind w:right="160"/>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the</w:t>
              </w:r>
            </w:hyperlink>
          </w:p>
        </w:tc>
        <w:tc>
          <w:tcPr>
            <w:tcW w:w="1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580" w:type="dxa"/>
            <w:vAlign w:val="bottom"/>
            <w:tcBorders>
              <w:top w:val="single" w:sz="8" w:color="0000FF"/>
            </w:tcBorders>
            <w:gridSpan w:val="11"/>
            <w:shd w:val="clear" w:color="auto" w:fill="CCEEFF"/>
          </w:tcPr>
          <w:p>
            <w:pPr>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Registrant’s Current Report on Form 8-K filed with the SEC on April 13, 2022)</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9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40" w:type="dxa"/>
            <w:vAlign w:val="bottom"/>
            <w:gridSpan w:val="19"/>
            <w:shd w:val="clear" w:color="auto" w:fill="CCEEFF"/>
          </w:tcPr>
          <w:p>
            <w:pPr>
              <w:spacing w:after="0" w:line="149" w:lineRule="exact"/>
              <w:rPr>
                <w:rFonts w:ascii="Arial" w:cs="Arial" w:eastAsia="Arial" w:hAnsi="Arial"/>
                <w:sz w:val="14"/>
                <w:szCs w:val="14"/>
                <w:color w:val="0000FF"/>
                <w:w w:val="93"/>
              </w:rPr>
            </w:pPr>
            <w:hyperlink r:id="rId84">
              <w:r>
                <w:rPr>
                  <w:rFonts w:ascii="Arial" w:cs="Arial" w:eastAsia="Arial" w:hAnsi="Arial"/>
                  <w:sz w:val="14"/>
                  <w:szCs w:val="14"/>
                  <w:color w:val="0000FF"/>
                  <w:w w:val="93"/>
                </w:rPr>
                <w:t>Employment Letter, dated December 29, 2021 by and between the Company and</w:t>
              </w:r>
            </w:hyperlink>
          </w:p>
        </w:tc>
        <w:tc>
          <w:tcPr>
            <w:tcW w:w="1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Form 8-K</w:t>
            </w: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File No. 001-39291</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10.1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February 14, 2022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0" w:type="dxa"/>
            <w:vAlign w:val="bottom"/>
            <w:tcBorders>
              <w:top w:val="single" w:sz="8" w:color="0000FF"/>
            </w:tcBorders>
            <w:gridSpan w:val="12"/>
            <w:shd w:val="clear" w:color="auto" w:fill="CCEEFF"/>
          </w:tcPr>
          <w:p>
            <w:pPr>
              <w:spacing w:after="0" w:line="118" w:lineRule="exact"/>
              <w:rPr>
                <w:rFonts w:ascii="Arial" w:cs="Arial" w:eastAsia="Arial" w:hAnsi="Arial"/>
                <w:sz w:val="13"/>
                <w:szCs w:val="13"/>
                <w:color w:val="0000FF"/>
              </w:rPr>
            </w:pPr>
            <w:hyperlink r:id="rId84">
              <w:r>
                <w:rPr>
                  <w:rFonts w:ascii="Arial" w:cs="Arial" w:eastAsia="Arial" w:hAnsi="Arial"/>
                  <w:sz w:val="13"/>
                  <w:szCs w:val="13"/>
                  <w:color w:val="0000FF"/>
                </w:rPr>
                <w:t>John Tedone. (incorporated by reference to Exhibit 10.1 of the Registrant’s</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240" w:type="dxa"/>
            <w:vAlign w:val="bottom"/>
            <w:tcBorders>
              <w:top w:val="single" w:sz="8" w:color="0000FF"/>
            </w:tcBorders>
            <w:gridSpan w:val="6"/>
            <w:shd w:val="clear" w:color="auto" w:fill="CCEEFF"/>
          </w:tcPr>
          <w:p>
            <w:pPr>
              <w:spacing w:after="0" w:line="118" w:lineRule="exact"/>
              <w:rPr>
                <w:rFonts w:ascii="Arial" w:cs="Arial" w:eastAsia="Arial" w:hAnsi="Arial"/>
                <w:sz w:val="13"/>
                <w:szCs w:val="13"/>
                <w:color w:val="0000FF"/>
              </w:rPr>
            </w:pPr>
            <w:hyperlink r:id="rId84">
              <w:r>
                <w:rPr>
                  <w:rFonts w:ascii="Arial" w:cs="Arial" w:eastAsia="Arial" w:hAnsi="Arial"/>
                  <w:sz w:val="13"/>
                  <w:szCs w:val="13"/>
                  <w:color w:val="0000FF"/>
                </w:rPr>
                <w:t>Current Report on Form 8-K filed with the SEC on February 14, 2022)</w:t>
              </w:r>
            </w:hyperlink>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960" w:type="dxa"/>
            <w:vAlign w:val="bottom"/>
            <w:tcBorders>
              <w:top w:val="single" w:sz="8" w:color="0000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40" w:type="dxa"/>
            <w:vAlign w:val="bottom"/>
            <w:gridSpan w:val="19"/>
            <w:shd w:val="clear" w:color="auto" w:fill="CCEEFF"/>
          </w:tcPr>
          <w:p>
            <w:pPr>
              <w:spacing w:after="0" w:line="149" w:lineRule="exact"/>
              <w:rPr>
                <w:rFonts w:ascii="Arial" w:cs="Arial" w:eastAsia="Arial" w:hAnsi="Arial"/>
                <w:sz w:val="14"/>
                <w:szCs w:val="14"/>
                <w:color w:val="0000FF"/>
                <w:w w:val="94"/>
              </w:rPr>
            </w:pPr>
            <w:hyperlink r:id="rId85">
              <w:r>
                <w:rPr>
                  <w:rFonts w:ascii="Arial" w:cs="Arial" w:eastAsia="Arial" w:hAnsi="Arial"/>
                  <w:sz w:val="14"/>
                  <w:szCs w:val="14"/>
                  <w:color w:val="0000FF"/>
                  <w:w w:val="94"/>
                </w:rPr>
                <w:t>Standby Equity Purchase Agreement, dated April 28, 2022, by and between Eos</w:t>
              </w:r>
            </w:hyperlink>
          </w:p>
        </w:tc>
        <w:tc>
          <w:tcPr>
            <w:tcW w:w="1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Form 8-K</w:t>
            </w: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File No. 001-39291</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10.1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April 28, 2022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160" w:type="dxa"/>
            <w:vAlign w:val="bottom"/>
            <w:tcBorders>
              <w:top w:val="single" w:sz="8" w:color="0000FF"/>
              <w:bottom w:val="single" w:sz="8" w:color="0000FF"/>
            </w:tcBorders>
            <w:gridSpan w:val="5"/>
            <w:shd w:val="clear" w:color="auto" w:fill="CCEEFF"/>
          </w:tcPr>
          <w:p>
            <w:pPr>
              <w:spacing w:after="0" w:line="129" w:lineRule="exact"/>
              <w:rPr>
                <w:rFonts w:ascii="Arial" w:cs="Arial" w:eastAsia="Arial" w:hAnsi="Arial"/>
                <w:sz w:val="14"/>
                <w:szCs w:val="14"/>
                <w:color w:val="0000FF"/>
                <w:w w:val="92"/>
              </w:rPr>
            </w:pPr>
            <w:hyperlink r:id="rId85">
              <w:r>
                <w:rPr>
                  <w:rFonts w:ascii="Arial" w:cs="Arial" w:eastAsia="Arial" w:hAnsi="Arial"/>
                  <w:sz w:val="14"/>
                  <w:szCs w:val="14"/>
                  <w:color w:val="0000FF"/>
                  <w:w w:val="92"/>
                </w:rPr>
                <w:t>Energy Enterprises, Inc. and YA II PN, Ltd. (incorporated by reference to</w:t>
              </w:r>
            </w:hyperlink>
          </w:p>
        </w:tc>
        <w:tc>
          <w:tcPr>
            <w:tcW w:w="380" w:type="dxa"/>
            <w:vAlign w:val="bottom"/>
            <w:tcBorders>
              <w:top w:val="single" w:sz="8" w:color="0000FF"/>
              <w:bottom w:val="single" w:sz="8" w:color="CCEEFF"/>
            </w:tcBorders>
            <w:gridSpan w:val="5"/>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40" w:type="dxa"/>
            <w:vAlign w:val="bottom"/>
            <w:gridSpan w:val="19"/>
            <w:shd w:val="clear" w:color="auto" w:fill="CCEEFF"/>
          </w:tcPr>
          <w:p>
            <w:pPr>
              <w:spacing w:after="0" w:line="129" w:lineRule="exact"/>
              <w:rPr>
                <w:rFonts w:ascii="Arial" w:cs="Arial" w:eastAsia="Arial" w:hAnsi="Arial"/>
                <w:sz w:val="14"/>
                <w:szCs w:val="14"/>
                <w:color w:val="0000FF"/>
                <w:w w:val="97"/>
              </w:rPr>
            </w:pPr>
            <w:hyperlink r:id="rId85">
              <w:r>
                <w:rPr>
                  <w:rFonts w:ascii="Arial" w:cs="Arial" w:eastAsia="Arial" w:hAnsi="Arial"/>
                  <w:sz w:val="14"/>
                  <w:szCs w:val="14"/>
                  <w:color w:val="0000FF"/>
                  <w:w w:val="97"/>
                </w:rPr>
                <w:t>Exhibit 10.1 of the Registrant’s Current Report on Form 8-K filed with the SEC</w:t>
              </w:r>
            </w:hyperlink>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20" w:type="dxa"/>
            <w:vAlign w:val="bottom"/>
            <w:tcBorders>
              <w:top w:val="single" w:sz="8" w:color="0000FF"/>
            </w:tcBorders>
            <w:gridSpan w:val="9"/>
            <w:shd w:val="clear" w:color="auto" w:fill="CCEEFF"/>
          </w:tcPr>
          <w:p>
            <w:pPr>
              <w:spacing w:after="0" w:line="129" w:lineRule="exact"/>
              <w:rPr>
                <w:rFonts w:ascii="Arial" w:cs="Arial" w:eastAsia="Arial" w:hAnsi="Arial"/>
                <w:sz w:val="14"/>
                <w:szCs w:val="14"/>
                <w:color w:val="0000FF"/>
              </w:rPr>
            </w:pPr>
            <w:hyperlink r:id="rId85">
              <w:r>
                <w:rPr>
                  <w:rFonts w:ascii="Arial" w:cs="Arial" w:eastAsia="Arial" w:hAnsi="Arial"/>
                  <w:sz w:val="14"/>
                  <w:szCs w:val="14"/>
                  <w:color w:val="0000FF"/>
                </w:rPr>
                <w:t>on April 28, 2022)</w:t>
              </w:r>
            </w:hyperlink>
          </w:p>
        </w:tc>
        <w:tc>
          <w:tcPr>
            <w:tcW w:w="10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9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98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10.3*</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140" w:type="dxa"/>
            <w:vAlign w:val="bottom"/>
            <w:tcBorders>
              <w:bottom w:val="single" w:sz="8" w:color="0000FF"/>
            </w:tcBorders>
            <w:gridSpan w:val="4"/>
            <w:shd w:val="clear" w:color="auto" w:fill="CCEEFF"/>
          </w:tcPr>
          <w:p>
            <w:pPr>
              <w:spacing w:after="0" w:line="159" w:lineRule="exact"/>
              <w:rPr>
                <w:rFonts w:ascii="Arial" w:cs="Arial" w:eastAsia="Arial" w:hAnsi="Arial"/>
                <w:sz w:val="14"/>
                <w:szCs w:val="14"/>
                <w:color w:val="0000FF"/>
                <w:w w:val="90"/>
              </w:rPr>
            </w:pPr>
            <w:hyperlink w:anchor="page39">
              <w:r>
                <w:rPr>
                  <w:rFonts w:ascii="Arial" w:cs="Arial" w:eastAsia="Arial" w:hAnsi="Arial"/>
                  <w:sz w:val="14"/>
                  <w:szCs w:val="14"/>
                  <w:color w:val="0000FF"/>
                  <w:w w:val="90"/>
                </w:rPr>
                <w:t>Joinder to Investment Agreement, dated May 1, 2022 among Eos Energy</w:t>
              </w:r>
            </w:hyperlink>
          </w:p>
        </w:tc>
        <w:tc>
          <w:tcPr>
            <w:tcW w:w="600" w:type="dxa"/>
            <w:vAlign w:val="bottom"/>
            <w:tcBorders>
              <w:bottom w:val="single" w:sz="8" w:color="CCEEFF"/>
            </w:tcBorders>
            <w:gridSpan w:val="15"/>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40" w:type="dxa"/>
            <w:vAlign w:val="bottom"/>
            <w:gridSpan w:val="19"/>
            <w:shd w:val="clear" w:color="auto" w:fill="CCEEFF"/>
          </w:tcPr>
          <w:p>
            <w:pPr>
              <w:spacing w:after="0" w:line="139" w:lineRule="exact"/>
              <w:rPr>
                <w:rFonts w:ascii="Arial" w:cs="Arial" w:eastAsia="Arial" w:hAnsi="Arial"/>
                <w:sz w:val="14"/>
                <w:szCs w:val="14"/>
                <w:color w:val="0000FF"/>
              </w:rPr>
            </w:pPr>
            <w:hyperlink w:anchor="page39">
              <w:r>
                <w:rPr>
                  <w:rFonts w:ascii="Arial" w:cs="Arial" w:eastAsia="Arial" w:hAnsi="Arial"/>
                  <w:sz w:val="14"/>
                  <w:szCs w:val="14"/>
                  <w:color w:val="0000FF"/>
                </w:rPr>
                <w:t>Enterprises, Inc., Spring Creek Capital, LLC and Wood River Capital, LLC</w:t>
              </w:r>
            </w:hyperlink>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9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40" w:type="dxa"/>
            <w:vAlign w:val="bottom"/>
            <w:gridSpan w:val="19"/>
            <w:shd w:val="clear" w:color="auto" w:fill="CCEEFF"/>
          </w:tcPr>
          <w:p>
            <w:pPr>
              <w:spacing w:after="0" w:line="149" w:lineRule="exact"/>
              <w:rPr>
                <w:rFonts w:ascii="Arial" w:cs="Arial" w:eastAsia="Arial" w:hAnsi="Arial"/>
                <w:sz w:val="14"/>
                <w:szCs w:val="14"/>
                <w:color w:val="0000FF"/>
              </w:rPr>
            </w:pPr>
            <w:hyperlink w:anchor="page44">
              <w:r>
                <w:rPr>
                  <w:rFonts w:ascii="Arial" w:cs="Arial" w:eastAsia="Arial" w:hAnsi="Arial"/>
                  <w:sz w:val="14"/>
                  <w:szCs w:val="14"/>
                  <w:color w:val="0000FF"/>
                </w:rPr>
                <w:t>Certification of Chief Executive Officer pursuant to Exchange Act Rules 13a-</w:t>
              </w:r>
            </w:hyperlink>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80" w:type="dxa"/>
            <w:vAlign w:val="bottom"/>
            <w:tcBorders>
              <w:top w:val="single" w:sz="8" w:color="0000FF"/>
            </w:tcBorders>
            <w:gridSpan w:val="16"/>
            <w:shd w:val="clear" w:color="auto" w:fill="CCEEFF"/>
          </w:tcPr>
          <w:p>
            <w:pPr>
              <w:spacing w:after="0" w:line="118" w:lineRule="exact"/>
              <w:rPr>
                <w:rFonts w:ascii="Arial" w:cs="Arial" w:eastAsia="Arial" w:hAnsi="Arial"/>
                <w:sz w:val="13"/>
                <w:szCs w:val="13"/>
                <w:color w:val="0000FF"/>
              </w:rPr>
            </w:pPr>
            <w:hyperlink w:anchor="page44">
              <w:r>
                <w:rPr>
                  <w:rFonts w:ascii="Arial" w:cs="Arial" w:eastAsia="Arial" w:hAnsi="Arial"/>
                  <w:sz w:val="13"/>
                  <w:szCs w:val="13"/>
                  <w:color w:val="0000FF"/>
                </w:rPr>
                <w:t>14(a) and 15d-14(a), as adopted pursuant to Section 302 of the Sarbanes-Oxley</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0000FF"/>
            </w:tcBorders>
            <w:gridSpan w:val="15"/>
            <w:shd w:val="clear" w:color="auto" w:fill="CCEEFF"/>
          </w:tcPr>
          <w:p>
            <w:pPr>
              <w:spacing w:after="0" w:line="118" w:lineRule="exact"/>
              <w:rPr>
                <w:rFonts w:ascii="Arial" w:cs="Arial" w:eastAsia="Arial" w:hAnsi="Arial"/>
                <w:sz w:val="13"/>
                <w:szCs w:val="13"/>
                <w:color w:val="0000FF"/>
              </w:rPr>
            </w:pPr>
            <w:hyperlink w:anchor="page44">
              <w:r>
                <w:rPr>
                  <w:rFonts w:ascii="Arial" w:cs="Arial" w:eastAsia="Arial" w:hAnsi="Arial"/>
                  <w:sz w:val="13"/>
                  <w:szCs w:val="13"/>
                  <w:color w:val="0000FF"/>
                </w:rPr>
                <w:t>Act of 2002</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9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40" w:type="dxa"/>
            <w:vAlign w:val="bottom"/>
            <w:gridSpan w:val="19"/>
            <w:shd w:val="clear" w:color="auto" w:fill="CCEEFF"/>
          </w:tcPr>
          <w:p>
            <w:pPr>
              <w:spacing w:after="0" w:line="149" w:lineRule="exact"/>
              <w:rPr>
                <w:rFonts w:ascii="Arial" w:cs="Arial" w:eastAsia="Arial" w:hAnsi="Arial"/>
                <w:sz w:val="14"/>
                <w:szCs w:val="14"/>
                <w:color w:val="0000FF"/>
              </w:rPr>
            </w:pPr>
            <w:hyperlink w:anchor="page45">
              <w:r>
                <w:rPr>
                  <w:rFonts w:ascii="Arial" w:cs="Arial" w:eastAsia="Arial" w:hAnsi="Arial"/>
                  <w:sz w:val="14"/>
                  <w:szCs w:val="14"/>
                  <w:color w:val="0000FF"/>
                </w:rPr>
                <w:t>Certification of Chief Financial Officer pursuant to Exchange Act Rules 13a-</w:t>
              </w:r>
            </w:hyperlink>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700" w:type="dxa"/>
            <w:vAlign w:val="bottom"/>
            <w:tcBorders>
              <w:top w:val="single" w:sz="8" w:color="0000FF"/>
            </w:tcBorders>
            <w:gridSpan w:val="17"/>
            <w:shd w:val="clear" w:color="auto" w:fill="CCEEFF"/>
          </w:tcPr>
          <w:p>
            <w:pPr>
              <w:spacing w:after="0" w:line="118" w:lineRule="exact"/>
              <w:rPr>
                <w:rFonts w:ascii="Arial" w:cs="Arial" w:eastAsia="Arial" w:hAnsi="Arial"/>
                <w:sz w:val="13"/>
                <w:szCs w:val="13"/>
                <w:color w:val="0000FF"/>
              </w:rPr>
            </w:pPr>
            <w:hyperlink w:anchor="page45">
              <w:r>
                <w:rPr>
                  <w:rFonts w:ascii="Arial" w:cs="Arial" w:eastAsia="Arial" w:hAnsi="Arial"/>
                  <w:sz w:val="13"/>
                  <w:szCs w:val="13"/>
                  <w:color w:val="0000FF"/>
                </w:rPr>
                <w:t>14(a) and 15d-14(a), as adopted pursuant to Section 302 of the Sarbanes-Oxley</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0000FF"/>
            </w:tcBorders>
            <w:gridSpan w:val="15"/>
            <w:shd w:val="clear" w:color="auto" w:fill="CCEEFF"/>
          </w:tcPr>
          <w:p>
            <w:pPr>
              <w:spacing w:after="0" w:line="118" w:lineRule="exact"/>
              <w:rPr>
                <w:rFonts w:ascii="Arial" w:cs="Arial" w:eastAsia="Arial" w:hAnsi="Arial"/>
                <w:sz w:val="13"/>
                <w:szCs w:val="13"/>
                <w:color w:val="0000FF"/>
              </w:rPr>
            </w:pPr>
            <w:hyperlink w:anchor="page45">
              <w:r>
                <w:rPr>
                  <w:rFonts w:ascii="Arial" w:cs="Arial" w:eastAsia="Arial" w:hAnsi="Arial"/>
                  <w:sz w:val="13"/>
                  <w:szCs w:val="13"/>
                  <w:color w:val="0000FF"/>
                </w:rPr>
                <w:t>Act of 2002</w:t>
              </w:r>
            </w:hyperlink>
          </w:p>
        </w:tc>
        <w:tc>
          <w:tcPr>
            <w:tcW w:w="80" w:type="dxa"/>
            <w:vAlign w:val="bottom"/>
            <w:tcBorders>
              <w:top w:val="single" w:sz="8" w:color="CCEEFF"/>
            </w:tcBorders>
            <w:gridSpan w:val="4"/>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9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40" w:type="dxa"/>
            <w:vAlign w:val="bottom"/>
            <w:gridSpan w:val="19"/>
            <w:shd w:val="clear" w:color="auto" w:fill="CCEEFF"/>
          </w:tcPr>
          <w:p>
            <w:pPr>
              <w:spacing w:after="0" w:line="149" w:lineRule="exact"/>
              <w:rPr>
                <w:rFonts w:ascii="Arial" w:cs="Arial" w:eastAsia="Arial" w:hAnsi="Arial"/>
                <w:sz w:val="14"/>
                <w:szCs w:val="14"/>
                <w:color w:val="0000FF"/>
                <w:w w:val="98"/>
              </w:rPr>
            </w:pPr>
            <w:hyperlink w:anchor="page46">
              <w:r>
                <w:rPr>
                  <w:rFonts w:ascii="Arial" w:cs="Arial" w:eastAsia="Arial" w:hAnsi="Arial"/>
                  <w:sz w:val="14"/>
                  <w:szCs w:val="14"/>
                  <w:color w:val="0000FF"/>
                  <w:w w:val="98"/>
                </w:rPr>
                <w:t>Certification of Chief Executive Officer and Chief Financial Officer pursuant to</w:t>
              </w:r>
            </w:hyperlink>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40" w:type="dxa"/>
            <w:vAlign w:val="bottom"/>
            <w:tcBorders>
              <w:top w:val="single" w:sz="8" w:color="0000FF"/>
            </w:tcBorders>
            <w:gridSpan w:val="14"/>
            <w:shd w:val="clear" w:color="auto" w:fill="CCEEFF"/>
          </w:tcPr>
          <w:p>
            <w:pPr>
              <w:spacing w:after="0" w:line="118" w:lineRule="exact"/>
              <w:rPr>
                <w:rFonts w:ascii="Arial" w:cs="Arial" w:eastAsia="Arial" w:hAnsi="Arial"/>
                <w:sz w:val="13"/>
                <w:szCs w:val="13"/>
                <w:color w:val="0000FF"/>
              </w:rPr>
            </w:pPr>
            <w:hyperlink w:anchor="page46">
              <w:r>
                <w:rPr>
                  <w:rFonts w:ascii="Arial" w:cs="Arial" w:eastAsia="Arial" w:hAnsi="Arial"/>
                  <w:sz w:val="13"/>
                  <w:szCs w:val="13"/>
                  <w:color w:val="0000FF"/>
                </w:rPr>
                <w:t>18 U.S.C. Section 1350, as adopted pursuant to Section 906 of the Sarbanes-</w:t>
              </w:r>
            </w:hyperlink>
          </w:p>
        </w:tc>
        <w:tc>
          <w:tcPr>
            <w:tcW w:w="100" w:type="dxa"/>
            <w:vAlign w:val="bottom"/>
            <w:tcBorders>
              <w:top w:val="single" w:sz="8" w:color="CCEEFF"/>
            </w:tcBorders>
            <w:gridSpan w:val="5"/>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20" w:type="dxa"/>
            <w:vAlign w:val="bottom"/>
            <w:tcBorders>
              <w:top w:val="single" w:sz="8" w:color="0000FF"/>
            </w:tcBorders>
            <w:gridSpan w:val="13"/>
            <w:shd w:val="clear" w:color="auto" w:fill="CCEEFF"/>
          </w:tcPr>
          <w:p>
            <w:pPr>
              <w:spacing w:after="0" w:line="118" w:lineRule="exact"/>
              <w:rPr>
                <w:rFonts w:ascii="Arial" w:cs="Arial" w:eastAsia="Arial" w:hAnsi="Arial"/>
                <w:sz w:val="13"/>
                <w:szCs w:val="13"/>
                <w:color w:val="0000FF"/>
              </w:rPr>
            </w:pPr>
            <w:hyperlink w:anchor="page46">
              <w:r>
                <w:rPr>
                  <w:rFonts w:ascii="Arial" w:cs="Arial" w:eastAsia="Arial" w:hAnsi="Arial"/>
                  <w:sz w:val="13"/>
                  <w:szCs w:val="13"/>
                  <w:color w:val="0000FF"/>
                </w:rPr>
                <w:t>Oxley Act of 2002</w:t>
              </w:r>
            </w:hyperlink>
          </w:p>
        </w:tc>
        <w:tc>
          <w:tcPr>
            <w:tcW w:w="120" w:type="dxa"/>
            <w:vAlign w:val="bottom"/>
            <w:tcBorders>
              <w:top w:val="single" w:sz="8" w:color="CCEEFF"/>
            </w:tcBorders>
            <w:gridSpan w:val="6"/>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tcBorders>
              <w:top w:val="single" w:sz="8" w:color="CCEEFF"/>
            </w:tcBorders>
            <w:gridSpan w:val="2"/>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9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101.INS</w:t>
            </w:r>
          </w:p>
        </w:tc>
        <w:tc>
          <w:tcPr>
            <w:tcW w:w="20" w:type="dxa"/>
            <w:vAlign w:val="bottom"/>
            <w:shd w:val="clear" w:color="auto" w:fill="CCEEFF"/>
          </w:tcPr>
          <w:p>
            <w:pPr>
              <w:spacing w:after="0"/>
              <w:rPr>
                <w:sz w:val="11"/>
                <w:szCs w:val="11"/>
                <w:color w:val="auto"/>
              </w:rPr>
            </w:pPr>
          </w:p>
        </w:tc>
        <w:tc>
          <w:tcPr>
            <w:tcW w:w="4740" w:type="dxa"/>
            <w:vAlign w:val="bottom"/>
            <w:gridSpan w:val="19"/>
            <w:shd w:val="clear" w:color="auto" w:fill="CCEEFF"/>
          </w:tcPr>
          <w:p>
            <w:pPr>
              <w:spacing w:after="0" w:line="138" w:lineRule="exact"/>
              <w:rPr>
                <w:sz w:val="20"/>
                <w:szCs w:val="20"/>
                <w:color w:val="auto"/>
              </w:rPr>
            </w:pPr>
            <w:r>
              <w:rPr>
                <w:rFonts w:ascii="Arial" w:cs="Arial" w:eastAsia="Arial" w:hAnsi="Arial"/>
                <w:sz w:val="14"/>
                <w:szCs w:val="14"/>
                <w:color w:val="auto"/>
              </w:rPr>
              <w:t>XBRL Instance Document - the instance document does not appear in the</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40" w:type="dxa"/>
            <w:vAlign w:val="bottom"/>
            <w:gridSpan w:val="19"/>
            <w:shd w:val="clear" w:color="auto" w:fill="CCEEFF"/>
          </w:tcPr>
          <w:p>
            <w:pPr>
              <w:spacing w:after="0" w:line="138"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740" w:type="dxa"/>
            <w:vAlign w:val="bottom"/>
            <w:gridSpan w:val="19"/>
            <w:shd w:val="clear" w:color="auto" w:fill="CCEEFF"/>
          </w:tcPr>
          <w:p>
            <w:pPr>
              <w:spacing w:after="0"/>
              <w:rPr>
                <w:sz w:val="20"/>
                <w:szCs w:val="20"/>
                <w:color w:val="auto"/>
              </w:rPr>
            </w:pPr>
            <w:r>
              <w:rPr>
                <w:rFonts w:ascii="Arial" w:cs="Arial" w:eastAsia="Arial" w:hAnsi="Arial"/>
                <w:sz w:val="14"/>
                <w:szCs w:val="14"/>
                <w:color w:val="auto"/>
              </w:rPr>
              <w:t>XBRL document.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101.SCH</w:t>
            </w:r>
          </w:p>
        </w:tc>
        <w:tc>
          <w:tcPr>
            <w:tcW w:w="20" w:type="dxa"/>
            <w:vAlign w:val="bottom"/>
            <w:shd w:val="clear" w:color="auto" w:fill="CCEEFF"/>
          </w:tcPr>
          <w:p>
            <w:pPr>
              <w:spacing w:after="0"/>
              <w:rPr>
                <w:sz w:val="15"/>
                <w:szCs w:val="15"/>
                <w:color w:val="auto"/>
              </w:rPr>
            </w:pPr>
          </w:p>
        </w:tc>
        <w:tc>
          <w:tcPr>
            <w:tcW w:w="4740" w:type="dxa"/>
            <w:vAlign w:val="bottom"/>
            <w:gridSpan w:val="19"/>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101.CAL</w:t>
            </w:r>
          </w:p>
        </w:tc>
        <w:tc>
          <w:tcPr>
            <w:tcW w:w="20" w:type="dxa"/>
            <w:vAlign w:val="bottom"/>
            <w:shd w:val="clear" w:color="auto" w:fill="CCEEFF"/>
          </w:tcPr>
          <w:p>
            <w:pPr>
              <w:spacing w:after="0"/>
              <w:rPr>
                <w:sz w:val="15"/>
                <w:szCs w:val="15"/>
                <w:color w:val="auto"/>
              </w:rPr>
            </w:pPr>
          </w:p>
        </w:tc>
        <w:tc>
          <w:tcPr>
            <w:tcW w:w="4740" w:type="dxa"/>
            <w:vAlign w:val="bottom"/>
            <w:gridSpan w:val="19"/>
            <w:shd w:val="clear" w:color="auto" w:fill="CCEEFF"/>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101.DEF</w:t>
            </w:r>
          </w:p>
        </w:tc>
        <w:tc>
          <w:tcPr>
            <w:tcW w:w="20" w:type="dxa"/>
            <w:vAlign w:val="bottom"/>
            <w:shd w:val="clear" w:color="auto" w:fill="CCEEFF"/>
          </w:tcPr>
          <w:p>
            <w:pPr>
              <w:spacing w:after="0"/>
              <w:rPr>
                <w:sz w:val="15"/>
                <w:szCs w:val="15"/>
                <w:color w:val="auto"/>
              </w:rPr>
            </w:pPr>
          </w:p>
        </w:tc>
        <w:tc>
          <w:tcPr>
            <w:tcW w:w="4740" w:type="dxa"/>
            <w:vAlign w:val="bottom"/>
            <w:gridSpan w:val="19"/>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101.LAB</w:t>
            </w:r>
          </w:p>
        </w:tc>
        <w:tc>
          <w:tcPr>
            <w:tcW w:w="20" w:type="dxa"/>
            <w:vAlign w:val="bottom"/>
            <w:shd w:val="clear" w:color="auto" w:fill="CCEEFF"/>
          </w:tcPr>
          <w:p>
            <w:pPr>
              <w:spacing w:after="0"/>
              <w:rPr>
                <w:sz w:val="15"/>
                <w:szCs w:val="15"/>
                <w:color w:val="auto"/>
              </w:rPr>
            </w:pPr>
          </w:p>
        </w:tc>
        <w:tc>
          <w:tcPr>
            <w:tcW w:w="4740" w:type="dxa"/>
            <w:vAlign w:val="bottom"/>
            <w:gridSpan w:val="19"/>
            <w:shd w:val="clear" w:color="auto" w:fill="CCEEFF"/>
          </w:tcPr>
          <w:p>
            <w:pPr>
              <w:spacing w:after="0"/>
              <w:rPr>
                <w:sz w:val="20"/>
                <w:szCs w:val="20"/>
                <w:color w:val="auto"/>
              </w:rPr>
            </w:pPr>
            <w:r>
              <w:rPr>
                <w:rFonts w:ascii="Arial" w:cs="Arial" w:eastAsia="Arial" w:hAnsi="Arial"/>
                <w:sz w:val="14"/>
                <w:szCs w:val="14"/>
                <w:color w:val="auto"/>
              </w:rPr>
              <w:t>XBRL Taxonomy Extension Label Linkbase Document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101.PRE</w:t>
            </w:r>
          </w:p>
        </w:tc>
        <w:tc>
          <w:tcPr>
            <w:tcW w:w="20" w:type="dxa"/>
            <w:vAlign w:val="bottom"/>
            <w:shd w:val="clear" w:color="auto" w:fill="CCEEFF"/>
          </w:tcPr>
          <w:p>
            <w:pPr>
              <w:spacing w:after="0"/>
              <w:rPr>
                <w:sz w:val="15"/>
                <w:szCs w:val="15"/>
                <w:color w:val="auto"/>
              </w:rPr>
            </w:pPr>
          </w:p>
        </w:tc>
        <w:tc>
          <w:tcPr>
            <w:tcW w:w="4740" w:type="dxa"/>
            <w:vAlign w:val="bottom"/>
            <w:gridSpan w:val="19"/>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00" w:type="dxa"/>
            <w:vAlign w:val="bottom"/>
            <w:gridSpan w:val="7"/>
          </w:tcPr>
          <w:p>
            <w:pPr>
              <w:spacing w:after="0"/>
              <w:rPr>
                <w:sz w:val="20"/>
                <w:szCs w:val="20"/>
                <w:color w:val="auto"/>
              </w:rPr>
            </w:pPr>
            <w:r>
              <w:rPr>
                <w:rFonts w:ascii="Arial" w:cs="Arial" w:eastAsia="Arial" w:hAnsi="Arial"/>
                <w:sz w:val="14"/>
                <w:szCs w:val="14"/>
                <w:color w:val="auto"/>
              </w:rPr>
              <w:t>____________________________</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13"/>
          </w:tcPr>
          <w:p>
            <w:pPr>
              <w:jc w:val="right"/>
              <w:ind w:right="20"/>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260" w:hanging="255"/>
        <w:spacing w:after="0" w:line="260" w:lineRule="auto"/>
        <w:tabs>
          <w:tab w:leader="none" w:pos="267"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ind w:left="260" w:hanging="255"/>
        <w:spacing w:after="0" w:line="281" w:lineRule="auto"/>
        <w:tabs>
          <w:tab w:leader="none" w:pos="255"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Financial Statements</w:t>
      </w:r>
      <w:r>
        <w:rPr>
          <w:rFonts w:ascii="Arial" w:cs="Arial" w:eastAsia="Arial" w:hAnsi="Arial"/>
          <w:sz w:val="14"/>
          <w:szCs w:val="14"/>
          <w:color w:val="auto"/>
        </w:rPr>
        <w:t>. The financial statements filed as part of this registration statement are listed in the index to the financial statements immediately preceding such financial statements, which</w:t>
      </w:r>
      <w:r>
        <w:rPr>
          <w:rFonts w:ascii="Arial" w:cs="Arial" w:eastAsia="Arial" w:hAnsi="Arial"/>
          <w:sz w:val="14"/>
          <w:szCs w:val="14"/>
          <w:i w:val="1"/>
          <w:iCs w:val="1"/>
          <w:color w:val="auto"/>
        </w:rPr>
        <w:t xml:space="preserve"> </w:t>
      </w:r>
      <w:r>
        <w:rPr>
          <w:rFonts w:ascii="Arial" w:cs="Arial" w:eastAsia="Arial" w:hAnsi="Arial"/>
          <w:sz w:val="14"/>
          <w:szCs w:val="14"/>
          <w:color w:val="auto"/>
        </w:rPr>
        <w:t>index to the financial statements is incorporated herein by reference.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SIGNATURES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7080" w:type="dxa"/>
            <w:vAlign w:val="bottom"/>
            <w:gridSpan w:val="3"/>
          </w:tcPr>
          <w:p>
            <w:pPr>
              <w:ind w:left="2860"/>
              <w:spacing w:after="0"/>
              <w:rPr>
                <w:sz w:val="20"/>
                <w:szCs w:val="20"/>
                <w:color w:val="auto"/>
              </w:rPr>
            </w:pPr>
            <w:r>
              <w:rPr>
                <w:rFonts w:ascii="Arial" w:cs="Arial" w:eastAsia="Arial" w:hAnsi="Arial"/>
                <w:sz w:val="14"/>
                <w:szCs w:val="14"/>
                <w:b w:val="1"/>
                <w:bCs w:val="1"/>
                <w:color w:val="auto"/>
              </w:rPr>
              <w:t>EOS ENERGY ENTERPRISES, INC.</w:t>
            </w:r>
          </w:p>
        </w:tc>
        <w:tc>
          <w:tcPr>
            <w:tcW w:w="120" w:type="dxa"/>
            <w:vAlign w:val="bottom"/>
          </w:tcPr>
          <w:p>
            <w:pPr>
              <w:spacing w:after="0"/>
              <w:rPr>
                <w:sz w:val="16"/>
                <w:szCs w:val="16"/>
                <w:color w:val="auto"/>
              </w:rPr>
            </w:pPr>
          </w:p>
        </w:tc>
      </w:tr>
      <w:tr>
        <w:trPr>
          <w:trHeight w:val="382"/>
        </w:trPr>
        <w:tc>
          <w:tcPr>
            <w:tcW w:w="3920" w:type="dxa"/>
            <w:vAlign w:val="bottom"/>
          </w:tcPr>
          <w:p>
            <w:pPr>
              <w:spacing w:after="0"/>
              <w:rPr>
                <w:sz w:val="20"/>
                <w:szCs w:val="20"/>
                <w:color w:val="auto"/>
              </w:rPr>
            </w:pPr>
            <w:r>
              <w:rPr>
                <w:rFonts w:ascii="Arial" w:cs="Arial" w:eastAsia="Arial" w:hAnsi="Arial"/>
                <w:sz w:val="14"/>
                <w:szCs w:val="14"/>
                <w:color w:val="auto"/>
              </w:rPr>
              <w:t>Date: May 9, 2022</w:t>
            </w:r>
          </w:p>
        </w:tc>
        <w:tc>
          <w:tcPr>
            <w:tcW w:w="3680" w:type="dxa"/>
            <w:vAlign w:val="bottom"/>
          </w:tcPr>
          <w:p>
            <w:pPr>
              <w:ind w:left="2860"/>
              <w:spacing w:after="0"/>
              <w:rPr>
                <w:sz w:val="20"/>
                <w:szCs w:val="20"/>
                <w:color w:val="auto"/>
              </w:rPr>
            </w:pPr>
            <w:r>
              <w:rPr>
                <w:rFonts w:ascii="Arial" w:cs="Arial" w:eastAsia="Arial" w:hAnsi="Arial"/>
                <w:sz w:val="14"/>
                <w:szCs w:val="14"/>
                <w:color w:val="auto"/>
              </w:rPr>
              <w:t>By:</w:t>
            </w: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Joe Mastrangelo</w:t>
            </w:r>
          </w:p>
        </w:tc>
        <w:tc>
          <w:tcPr>
            <w:tcW w:w="120" w:type="dxa"/>
            <w:vAlign w:val="bottom"/>
          </w:tcPr>
          <w:p>
            <w:pPr>
              <w:spacing w:after="0"/>
              <w:rPr>
                <w:sz w:val="24"/>
                <w:szCs w:val="24"/>
                <w:color w:val="auto"/>
              </w:rPr>
            </w:pPr>
          </w:p>
        </w:tc>
      </w:tr>
      <w:tr>
        <w:trPr>
          <w:trHeight w:val="171"/>
        </w:trPr>
        <w:tc>
          <w:tcPr>
            <w:tcW w:w="3920" w:type="dxa"/>
            <w:vAlign w:val="bottom"/>
          </w:tcPr>
          <w:p>
            <w:pPr>
              <w:spacing w:after="0"/>
              <w:rPr>
                <w:sz w:val="14"/>
                <w:szCs w:val="14"/>
                <w:color w:val="auto"/>
              </w:rPr>
            </w:pPr>
          </w:p>
        </w:tc>
        <w:tc>
          <w:tcPr>
            <w:tcW w:w="3680" w:type="dxa"/>
            <w:vAlign w:val="bottom"/>
          </w:tcPr>
          <w:p>
            <w:pPr>
              <w:ind w:left="2860"/>
              <w:spacing w:after="0"/>
              <w:rPr>
                <w:sz w:val="20"/>
                <w:szCs w:val="20"/>
                <w:color w:val="auto"/>
              </w:rPr>
            </w:pPr>
            <w:r>
              <w:rPr>
                <w:rFonts w:ascii="Arial" w:cs="Arial" w:eastAsia="Arial" w:hAnsi="Arial"/>
                <w:sz w:val="14"/>
                <w:szCs w:val="14"/>
                <w:color w:val="auto"/>
              </w:rPr>
              <w:t>Name:</w:t>
            </w: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Joe Mastrangelo</w:t>
            </w:r>
          </w:p>
        </w:tc>
        <w:tc>
          <w:tcPr>
            <w:tcW w:w="120" w:type="dxa"/>
            <w:vAlign w:val="bottom"/>
          </w:tcPr>
          <w:p>
            <w:pPr>
              <w:spacing w:after="0"/>
              <w:rPr>
                <w:sz w:val="14"/>
                <w:szCs w:val="14"/>
                <w:color w:val="auto"/>
              </w:rPr>
            </w:pPr>
          </w:p>
        </w:tc>
      </w:tr>
      <w:tr>
        <w:trPr>
          <w:trHeight w:val="129"/>
        </w:trPr>
        <w:tc>
          <w:tcPr>
            <w:tcW w:w="3920" w:type="dxa"/>
            <w:vAlign w:val="bottom"/>
          </w:tcPr>
          <w:p>
            <w:pPr>
              <w:spacing w:after="0"/>
              <w:rPr>
                <w:sz w:val="11"/>
                <w:szCs w:val="11"/>
                <w:color w:val="auto"/>
              </w:rPr>
            </w:pPr>
          </w:p>
        </w:tc>
        <w:tc>
          <w:tcPr>
            <w:tcW w:w="3680" w:type="dxa"/>
            <w:vAlign w:val="bottom"/>
          </w:tcPr>
          <w:p>
            <w:pPr>
              <w:ind w:left="2860"/>
              <w:spacing w:after="0" w:line="129" w:lineRule="exact"/>
              <w:rPr>
                <w:sz w:val="20"/>
                <w:szCs w:val="20"/>
                <w:color w:val="auto"/>
              </w:rPr>
            </w:pPr>
            <w:r>
              <w:rPr>
                <w:rFonts w:ascii="Arial" w:cs="Arial" w:eastAsia="Arial" w:hAnsi="Arial"/>
                <w:sz w:val="14"/>
                <w:szCs w:val="14"/>
                <w:color w:val="auto"/>
              </w:rPr>
              <w:t>Title:</w:t>
            </w:r>
          </w:p>
        </w:tc>
        <w:tc>
          <w:tcPr>
            <w:tcW w:w="3400" w:type="dxa"/>
            <w:vAlign w:val="bottom"/>
            <w:gridSpan w:val="2"/>
          </w:tcPr>
          <w:p>
            <w:pPr>
              <w:spacing w:after="0" w:line="129" w:lineRule="exact"/>
              <w:rPr>
                <w:sz w:val="20"/>
                <w:szCs w:val="20"/>
                <w:color w:val="auto"/>
              </w:rPr>
            </w:pPr>
            <w:r>
              <w:rPr>
                <w:rFonts w:ascii="Arial" w:cs="Arial" w:eastAsia="Arial" w:hAnsi="Arial"/>
                <w:sz w:val="14"/>
                <w:szCs w:val="14"/>
                <w:color w:val="auto"/>
              </w:rPr>
              <w:t>Chief Executive Officer and Director</w:t>
            </w:r>
          </w:p>
        </w:tc>
        <w:tc>
          <w:tcPr>
            <w:tcW w:w="120" w:type="dxa"/>
            <w:vAlign w:val="bottom"/>
          </w:tcPr>
          <w:p>
            <w:pPr>
              <w:spacing w:after="0"/>
              <w:rPr>
                <w:sz w:val="11"/>
                <w:szCs w:val="11"/>
                <w:color w:val="auto"/>
              </w:rPr>
            </w:pPr>
          </w:p>
        </w:tc>
      </w:tr>
      <w:tr>
        <w:trPr>
          <w:trHeight w:val="180"/>
        </w:trPr>
        <w:tc>
          <w:tcPr>
            <w:tcW w:w="3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(Principal Executive Officer)</w:t>
            </w:r>
          </w:p>
        </w:tc>
        <w:tc>
          <w:tcPr>
            <w:tcW w:w="120" w:type="dxa"/>
            <w:vAlign w:val="bottom"/>
          </w:tcPr>
          <w:p>
            <w:pPr>
              <w:spacing w:after="0"/>
              <w:rPr>
                <w:sz w:val="15"/>
                <w:szCs w:val="15"/>
                <w:color w:val="auto"/>
              </w:rPr>
            </w:pPr>
          </w:p>
        </w:tc>
      </w:tr>
      <w:tr>
        <w:trPr>
          <w:trHeight w:val="615"/>
        </w:trPr>
        <w:tc>
          <w:tcPr>
            <w:tcW w:w="3920" w:type="dxa"/>
            <w:vAlign w:val="bottom"/>
          </w:tcPr>
          <w:p>
            <w:pPr>
              <w:spacing w:after="0"/>
              <w:rPr>
                <w:sz w:val="20"/>
                <w:szCs w:val="20"/>
                <w:color w:val="auto"/>
              </w:rPr>
            </w:pPr>
            <w:r>
              <w:rPr>
                <w:rFonts w:ascii="Arial" w:cs="Arial" w:eastAsia="Arial" w:hAnsi="Arial"/>
                <w:sz w:val="14"/>
                <w:szCs w:val="14"/>
                <w:color w:val="auto"/>
              </w:rPr>
              <w:t>Date: May 9, 2022</w:t>
            </w:r>
          </w:p>
        </w:tc>
        <w:tc>
          <w:tcPr>
            <w:tcW w:w="3680" w:type="dxa"/>
            <w:vAlign w:val="bottom"/>
          </w:tcPr>
          <w:p>
            <w:pPr>
              <w:ind w:left="2920"/>
              <w:spacing w:after="0"/>
              <w:rPr>
                <w:sz w:val="20"/>
                <w:szCs w:val="20"/>
                <w:color w:val="auto"/>
              </w:rPr>
            </w:pPr>
            <w:r>
              <w:rPr>
                <w:rFonts w:ascii="Arial" w:cs="Arial" w:eastAsia="Arial" w:hAnsi="Arial"/>
                <w:sz w:val="14"/>
                <w:szCs w:val="14"/>
                <w:color w:val="auto"/>
              </w:rPr>
              <w:t>By:</w:t>
            </w:r>
          </w:p>
        </w:tc>
        <w:tc>
          <w:tcPr>
            <w:tcW w:w="40" w:type="dxa"/>
            <w:vAlign w:val="bottom"/>
          </w:tcPr>
          <w:p>
            <w:pPr>
              <w:spacing w:after="0"/>
              <w:rPr>
                <w:sz w:val="24"/>
                <w:szCs w:val="24"/>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Randall Gonzales</w:t>
            </w:r>
          </w:p>
        </w:tc>
        <w:tc>
          <w:tcPr>
            <w:tcW w:w="120" w:type="dxa"/>
            <w:vAlign w:val="bottom"/>
            <w:tcBorders>
              <w:bottom w:val="single" w:sz="8" w:color="auto"/>
            </w:tcBorders>
          </w:tcPr>
          <w:p>
            <w:pPr>
              <w:spacing w:after="0"/>
              <w:rPr>
                <w:sz w:val="24"/>
                <w:szCs w:val="24"/>
                <w:color w:val="auto"/>
              </w:rPr>
            </w:pPr>
          </w:p>
        </w:tc>
      </w:tr>
      <w:tr>
        <w:trPr>
          <w:trHeight w:val="171"/>
        </w:trPr>
        <w:tc>
          <w:tcPr>
            <w:tcW w:w="3920" w:type="dxa"/>
            <w:vAlign w:val="bottom"/>
          </w:tcPr>
          <w:p>
            <w:pPr>
              <w:spacing w:after="0"/>
              <w:rPr>
                <w:sz w:val="14"/>
                <w:szCs w:val="14"/>
                <w:color w:val="auto"/>
              </w:rPr>
            </w:pPr>
          </w:p>
        </w:tc>
        <w:tc>
          <w:tcPr>
            <w:tcW w:w="3680" w:type="dxa"/>
            <w:vAlign w:val="bottom"/>
          </w:tcPr>
          <w:p>
            <w:pPr>
              <w:ind w:left="2920"/>
              <w:spacing w:after="0"/>
              <w:rPr>
                <w:sz w:val="20"/>
                <w:szCs w:val="20"/>
                <w:color w:val="auto"/>
              </w:rPr>
            </w:pPr>
            <w:r>
              <w:rPr>
                <w:rFonts w:ascii="Arial" w:cs="Arial" w:eastAsia="Arial" w:hAnsi="Arial"/>
                <w:sz w:val="14"/>
                <w:szCs w:val="14"/>
                <w:color w:val="auto"/>
              </w:rPr>
              <w:t>Name:</w:t>
            </w:r>
          </w:p>
        </w:tc>
        <w:tc>
          <w:tcPr>
            <w:tcW w:w="40" w:type="dxa"/>
            <w:vAlign w:val="bottom"/>
          </w:tcPr>
          <w:p>
            <w:pPr>
              <w:spacing w:after="0"/>
              <w:rPr>
                <w:sz w:val="14"/>
                <w:szCs w:val="14"/>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Randall Gonzales</w:t>
            </w:r>
          </w:p>
        </w:tc>
        <w:tc>
          <w:tcPr>
            <w:tcW w:w="120" w:type="dxa"/>
            <w:vAlign w:val="bottom"/>
            <w:tcBorders>
              <w:bottom w:val="single" w:sz="8" w:color="auto"/>
            </w:tcBorders>
          </w:tcPr>
          <w:p>
            <w:pPr>
              <w:spacing w:after="0"/>
              <w:rPr>
                <w:sz w:val="14"/>
                <w:szCs w:val="14"/>
                <w:color w:val="auto"/>
              </w:rPr>
            </w:pPr>
          </w:p>
        </w:tc>
      </w:tr>
      <w:tr>
        <w:trPr>
          <w:trHeight w:val="129"/>
        </w:trPr>
        <w:tc>
          <w:tcPr>
            <w:tcW w:w="3920" w:type="dxa"/>
            <w:vAlign w:val="bottom"/>
          </w:tcPr>
          <w:p>
            <w:pPr>
              <w:spacing w:after="0"/>
              <w:rPr>
                <w:sz w:val="11"/>
                <w:szCs w:val="11"/>
                <w:color w:val="auto"/>
              </w:rPr>
            </w:pPr>
          </w:p>
        </w:tc>
        <w:tc>
          <w:tcPr>
            <w:tcW w:w="3680" w:type="dxa"/>
            <w:vAlign w:val="bottom"/>
          </w:tcPr>
          <w:p>
            <w:pPr>
              <w:ind w:left="2920"/>
              <w:spacing w:after="0" w:line="129" w:lineRule="exact"/>
              <w:rPr>
                <w:sz w:val="20"/>
                <w:szCs w:val="20"/>
                <w:color w:val="auto"/>
              </w:rPr>
            </w:pPr>
            <w:r>
              <w:rPr>
                <w:rFonts w:ascii="Arial" w:cs="Arial" w:eastAsia="Arial" w:hAnsi="Arial"/>
                <w:sz w:val="14"/>
                <w:szCs w:val="14"/>
                <w:color w:val="auto"/>
              </w:rPr>
              <w:t>Title:</w:t>
            </w:r>
          </w:p>
        </w:tc>
        <w:tc>
          <w:tcPr>
            <w:tcW w:w="40" w:type="dxa"/>
            <w:vAlign w:val="bottom"/>
          </w:tcPr>
          <w:p>
            <w:pPr>
              <w:spacing w:after="0"/>
              <w:rPr>
                <w:sz w:val="11"/>
                <w:szCs w:val="11"/>
                <w:color w:val="auto"/>
              </w:rPr>
            </w:pPr>
          </w:p>
        </w:tc>
        <w:tc>
          <w:tcPr>
            <w:tcW w:w="3360" w:type="dxa"/>
            <w:vAlign w:val="bottom"/>
          </w:tcPr>
          <w:p>
            <w:pPr>
              <w:ind w:left="20"/>
              <w:spacing w:after="0" w:line="129" w:lineRule="exact"/>
              <w:rPr>
                <w:sz w:val="20"/>
                <w:szCs w:val="20"/>
                <w:color w:val="auto"/>
              </w:rPr>
            </w:pPr>
            <w:r>
              <w:rPr>
                <w:rFonts w:ascii="Arial" w:cs="Arial" w:eastAsia="Arial" w:hAnsi="Arial"/>
                <w:sz w:val="14"/>
                <w:szCs w:val="14"/>
                <w:color w:val="auto"/>
              </w:rPr>
              <w:t>Chief Financial Officer</w:t>
            </w:r>
          </w:p>
        </w:tc>
        <w:tc>
          <w:tcPr>
            <w:tcW w:w="120" w:type="dxa"/>
            <w:vAlign w:val="bottom"/>
          </w:tcPr>
          <w:p>
            <w:pPr>
              <w:spacing w:after="0"/>
              <w:rPr>
                <w:sz w:val="11"/>
                <w:szCs w:val="11"/>
                <w:color w:val="auto"/>
              </w:rPr>
            </w:pPr>
          </w:p>
        </w:tc>
      </w:tr>
      <w:tr>
        <w:trPr>
          <w:trHeight w:val="180"/>
        </w:trPr>
        <w:tc>
          <w:tcPr>
            <w:tcW w:w="3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140"/>
          </w:cols>
          <w:pgMar w:left="300" w:top="129" w:right="459" w:bottom="144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31.1</w:t>
      </w:r>
    </w:p>
    <w:p>
      <w:pPr>
        <w:spacing w:after="0" w:line="23" w:lineRule="exact"/>
        <w:rPr>
          <w:sz w:val="20"/>
          <w:szCs w:val="20"/>
          <w:color w:val="auto"/>
        </w:rPr>
      </w:pPr>
    </w:p>
    <w:p>
      <w:pPr>
        <w:jc w:val="center"/>
        <w:ind w:left="320" w:right="2700"/>
        <w:spacing w:after="0" w:line="259"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 Joseph Mastrangelo, certify that:</w:t>
      </w:r>
    </w:p>
    <w:p>
      <w:pPr>
        <w:spacing w:after="0" w:line="83" w:lineRule="exact"/>
        <w:rPr>
          <w:sz w:val="20"/>
          <w:szCs w:val="20"/>
          <w:color w:val="auto"/>
        </w:rPr>
      </w:pPr>
    </w:p>
    <w:p>
      <w:pPr>
        <w:ind w:left="400" w:hanging="140"/>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Eos Energy Enterprises, Inc.;</w:t>
      </w:r>
    </w:p>
    <w:p>
      <w:pPr>
        <w:spacing w:after="0" w:line="72" w:lineRule="exact"/>
        <w:rPr>
          <w:rFonts w:ascii="Arial" w:cs="Arial" w:eastAsia="Arial" w:hAnsi="Arial"/>
          <w:sz w:val="14"/>
          <w:szCs w:val="14"/>
          <w:color w:val="auto"/>
        </w:rPr>
      </w:pPr>
    </w:p>
    <w:p>
      <w:pPr>
        <w:ind w:left="260"/>
        <w:spacing w:after="0" w:line="281" w:lineRule="auto"/>
        <w:tabs>
          <w:tab w:leader="none" w:pos="401"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4"/>
          <w:szCs w:val="14"/>
          <w:color w:val="auto"/>
        </w:rPr>
      </w:pPr>
    </w:p>
    <w:p>
      <w:pPr>
        <w:ind w:left="260"/>
        <w:spacing w:after="0" w:line="281" w:lineRule="auto"/>
        <w:tabs>
          <w:tab w:leader="none" w:pos="4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left="260"/>
        <w:spacing w:after="0" w:line="281"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Arial" w:cs="Arial" w:eastAsia="Arial" w:hAnsi="Arial"/>
          <w:sz w:val="14"/>
          <w:szCs w:val="14"/>
          <w:color w:val="auto"/>
        </w:rPr>
      </w:pPr>
    </w:p>
    <w:p>
      <w:pPr>
        <w:ind w:left="520" w:hanging="6"/>
        <w:spacing w:after="0" w:line="321" w:lineRule="auto"/>
        <w:tabs>
          <w:tab w:leader="none" w:pos="659" w:val="left"/>
        </w:tabs>
        <w:numPr>
          <w:ilvl w:val="1"/>
          <w:numId w:val="1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3"/>
          <w:szCs w:val="13"/>
          <w:color w:val="auto"/>
        </w:rPr>
      </w:pPr>
    </w:p>
    <w:p>
      <w:pPr>
        <w:ind w:left="520" w:hanging="6"/>
        <w:spacing w:after="0" w:line="321" w:lineRule="auto"/>
        <w:tabs>
          <w:tab w:leader="none" w:pos="675" w:val="left"/>
        </w:tabs>
        <w:numPr>
          <w:ilvl w:val="1"/>
          <w:numId w:val="1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left="520" w:hanging="6"/>
        <w:spacing w:after="0" w:line="281" w:lineRule="auto"/>
        <w:tabs>
          <w:tab w:leader="none" w:pos="675" w:val="left"/>
        </w:tabs>
        <w:numPr>
          <w:ilvl w:val="1"/>
          <w:numId w:val="1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4"/>
          <w:szCs w:val="14"/>
          <w:color w:val="auto"/>
        </w:rPr>
      </w:pPr>
    </w:p>
    <w:p>
      <w:pPr>
        <w:ind w:left="520" w:hanging="6"/>
        <w:spacing w:after="0" w:line="321" w:lineRule="auto"/>
        <w:tabs>
          <w:tab w:leader="none" w:pos="668" w:val="left"/>
        </w:tabs>
        <w:numPr>
          <w:ilvl w:val="1"/>
          <w:numId w:val="1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3"/>
          <w:szCs w:val="13"/>
          <w:color w:val="auto"/>
        </w:rPr>
      </w:pPr>
    </w:p>
    <w:p>
      <w:pPr>
        <w:ind w:left="260"/>
        <w:spacing w:after="0" w:line="281" w:lineRule="auto"/>
        <w:tabs>
          <w:tab w:leader="none" w:pos="40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auto"/>
        </w:rPr>
      </w:pPr>
    </w:p>
    <w:p>
      <w:pPr>
        <w:ind w:left="520" w:hanging="6"/>
        <w:spacing w:after="0" w:line="281" w:lineRule="auto"/>
        <w:tabs>
          <w:tab w:leader="none" w:pos="662" w:val="left"/>
        </w:tabs>
        <w:numPr>
          <w:ilvl w:val="1"/>
          <w:numId w:val="1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4"/>
          <w:szCs w:val="14"/>
          <w:color w:val="auto"/>
        </w:rPr>
      </w:pPr>
    </w:p>
    <w:p>
      <w:pPr>
        <w:ind w:left="660" w:hanging="146"/>
        <w:spacing w:after="0"/>
        <w:tabs>
          <w:tab w:leader="none" w:pos="6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ind w:left="20"/>
        <w:spacing w:after="0"/>
        <w:tabs>
          <w:tab w:leader="none" w:pos="5620" w:val="left"/>
          <w:tab w:leader="none" w:pos="6140" w:val="left"/>
        </w:tabs>
        <w:rPr>
          <w:sz w:val="20"/>
          <w:szCs w:val="20"/>
          <w:color w:val="auto"/>
        </w:rPr>
      </w:pPr>
      <w:r>
        <w:rPr>
          <w:rFonts w:ascii="Arial" w:cs="Arial" w:eastAsia="Arial" w:hAnsi="Arial"/>
          <w:sz w:val="14"/>
          <w:szCs w:val="14"/>
          <w:color w:val="auto"/>
        </w:rPr>
        <w:t>Date: May 9,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26035</wp:posOffset>
            </wp:positionV>
            <wp:extent cx="32607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Joseph Mastrangelo</w:t>
      </w:r>
    </w:p>
    <w:p>
      <w:pPr>
        <w:spacing w:after="0" w:line="51"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Chief Executive Officer</w:t>
      </w:r>
    </w:p>
    <w:p>
      <w:pPr>
        <w:spacing w:after="0" w:line="51" w:lineRule="exact"/>
        <w:rPr>
          <w:sz w:val="20"/>
          <w:szCs w:val="20"/>
          <w:color w:val="auto"/>
        </w:rPr>
      </w:pPr>
    </w:p>
    <w:p>
      <w:pPr>
        <w:ind w:left="616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334"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31.2</w:t>
      </w:r>
    </w:p>
    <w:p>
      <w:pPr>
        <w:spacing w:after="0" w:line="23" w:lineRule="exact"/>
        <w:rPr>
          <w:sz w:val="20"/>
          <w:szCs w:val="20"/>
          <w:color w:val="auto"/>
        </w:rPr>
      </w:pPr>
    </w:p>
    <w:p>
      <w:pPr>
        <w:jc w:val="center"/>
        <w:ind w:left="320" w:right="2700"/>
        <w:spacing w:after="0" w:line="259"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 Randall Gonzales, certify that:</w:t>
      </w:r>
    </w:p>
    <w:p>
      <w:pPr>
        <w:spacing w:after="0" w:line="83" w:lineRule="exact"/>
        <w:rPr>
          <w:sz w:val="20"/>
          <w:szCs w:val="20"/>
          <w:color w:val="auto"/>
        </w:rPr>
      </w:pPr>
    </w:p>
    <w:p>
      <w:pPr>
        <w:ind w:left="400" w:hanging="140"/>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Eos Energy Enterprises, Inc.;</w:t>
      </w:r>
    </w:p>
    <w:p>
      <w:pPr>
        <w:spacing w:after="0" w:line="72" w:lineRule="exact"/>
        <w:rPr>
          <w:rFonts w:ascii="Arial" w:cs="Arial" w:eastAsia="Arial" w:hAnsi="Arial"/>
          <w:sz w:val="14"/>
          <w:szCs w:val="14"/>
          <w:color w:val="auto"/>
        </w:rPr>
      </w:pPr>
    </w:p>
    <w:p>
      <w:pPr>
        <w:ind w:left="260"/>
        <w:spacing w:after="0" w:line="281" w:lineRule="auto"/>
        <w:tabs>
          <w:tab w:leader="none" w:pos="4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4"/>
          <w:szCs w:val="14"/>
          <w:color w:val="auto"/>
        </w:rPr>
      </w:pPr>
    </w:p>
    <w:p>
      <w:pPr>
        <w:ind w:left="260"/>
        <w:spacing w:after="0" w:line="281" w:lineRule="auto"/>
        <w:tabs>
          <w:tab w:leader="none" w:pos="404"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left="260"/>
        <w:spacing w:after="0" w:line="281" w:lineRule="auto"/>
        <w:tabs>
          <w:tab w:leader="none" w:pos="40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Arial" w:cs="Arial" w:eastAsia="Arial" w:hAnsi="Arial"/>
          <w:sz w:val="14"/>
          <w:szCs w:val="14"/>
          <w:color w:val="auto"/>
        </w:rPr>
      </w:pPr>
    </w:p>
    <w:p>
      <w:pPr>
        <w:ind w:left="520" w:hanging="6"/>
        <w:spacing w:after="0" w:line="321" w:lineRule="auto"/>
        <w:tabs>
          <w:tab w:leader="none" w:pos="659" w:val="left"/>
        </w:tabs>
        <w:numPr>
          <w:ilvl w:val="1"/>
          <w:numId w:val="1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3"/>
          <w:szCs w:val="13"/>
          <w:color w:val="auto"/>
        </w:rPr>
      </w:pPr>
    </w:p>
    <w:p>
      <w:pPr>
        <w:ind w:left="520" w:hanging="6"/>
        <w:spacing w:after="0" w:line="321" w:lineRule="auto"/>
        <w:tabs>
          <w:tab w:leader="none" w:pos="675" w:val="left"/>
        </w:tabs>
        <w:numPr>
          <w:ilvl w:val="1"/>
          <w:numId w:val="1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left="520" w:hanging="6"/>
        <w:spacing w:after="0" w:line="281" w:lineRule="auto"/>
        <w:tabs>
          <w:tab w:leader="none" w:pos="675" w:val="left"/>
        </w:tabs>
        <w:numPr>
          <w:ilvl w:val="1"/>
          <w:numId w:val="1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4"/>
          <w:szCs w:val="14"/>
          <w:color w:val="auto"/>
        </w:rPr>
      </w:pPr>
    </w:p>
    <w:p>
      <w:pPr>
        <w:ind w:left="520" w:hanging="6"/>
        <w:spacing w:after="0" w:line="321" w:lineRule="auto"/>
        <w:tabs>
          <w:tab w:leader="none" w:pos="668" w:val="left"/>
        </w:tabs>
        <w:numPr>
          <w:ilvl w:val="1"/>
          <w:numId w:val="1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3"/>
          <w:szCs w:val="13"/>
          <w:color w:val="auto"/>
        </w:rPr>
      </w:pPr>
    </w:p>
    <w:p>
      <w:pPr>
        <w:ind w:left="260"/>
        <w:spacing w:after="0" w:line="281" w:lineRule="auto"/>
        <w:tabs>
          <w:tab w:leader="none" w:pos="40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auto"/>
        </w:rPr>
      </w:pPr>
    </w:p>
    <w:p>
      <w:pPr>
        <w:ind w:left="520" w:hanging="6"/>
        <w:spacing w:after="0" w:line="281" w:lineRule="auto"/>
        <w:tabs>
          <w:tab w:leader="none" w:pos="662" w:val="left"/>
        </w:tabs>
        <w:numPr>
          <w:ilvl w:val="1"/>
          <w:numId w:val="1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4"/>
          <w:szCs w:val="14"/>
          <w:color w:val="auto"/>
        </w:rPr>
      </w:pPr>
    </w:p>
    <w:p>
      <w:pPr>
        <w:ind w:left="660" w:hanging="146"/>
        <w:spacing w:after="0"/>
        <w:tabs>
          <w:tab w:leader="none" w:pos="6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ind w:left="20"/>
        <w:spacing w:after="0"/>
        <w:tabs>
          <w:tab w:leader="none" w:pos="5740" w:val="left"/>
          <w:tab w:leader="none" w:pos="6260" w:val="left"/>
        </w:tabs>
        <w:rPr>
          <w:sz w:val="20"/>
          <w:szCs w:val="20"/>
          <w:color w:val="auto"/>
        </w:rPr>
      </w:pPr>
      <w:r>
        <w:rPr>
          <w:rFonts w:ascii="Arial" w:cs="Arial" w:eastAsia="Arial" w:hAnsi="Arial"/>
          <w:sz w:val="14"/>
          <w:szCs w:val="14"/>
          <w:color w:val="auto"/>
        </w:rPr>
        <w:t>Date: May 9,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26035</wp:posOffset>
            </wp:positionV>
            <wp:extent cx="318643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42"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Randall Gonzales</w:t>
      </w:r>
    </w:p>
    <w:p>
      <w:pPr>
        <w:spacing w:after="0" w:line="51"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ind w:left="628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1334"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connection with the Quarterly Report on Form 10-Q of Eos Energy Enterprises, Inc., for the quarterly period ended March 31, 2022 as filed with the Securities and Exchange Commission on the date hereof (the “Report”), I, Joseph Mastrangelo, as Chief Executive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16" w:lineRule="exact"/>
        <w:rPr>
          <w:sz w:val="20"/>
          <w:szCs w:val="20"/>
          <w:color w:val="auto"/>
        </w:rPr>
      </w:pPr>
    </w:p>
    <w:p>
      <w:pPr>
        <w:ind w:left="20"/>
        <w:spacing w:after="0"/>
        <w:tabs>
          <w:tab w:leader="none" w:pos="5620" w:val="left"/>
          <w:tab w:leader="none" w:pos="6140" w:val="left"/>
        </w:tabs>
        <w:rPr>
          <w:sz w:val="20"/>
          <w:szCs w:val="20"/>
          <w:color w:val="auto"/>
        </w:rPr>
      </w:pPr>
      <w:r>
        <w:rPr>
          <w:rFonts w:ascii="Arial" w:cs="Arial" w:eastAsia="Arial" w:hAnsi="Arial"/>
          <w:sz w:val="14"/>
          <w:szCs w:val="14"/>
          <w:color w:val="auto"/>
        </w:rPr>
        <w:t>Date: May 9,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26035</wp:posOffset>
            </wp:positionV>
            <wp:extent cx="32607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Joseph Mastrangelo</w:t>
      </w:r>
    </w:p>
    <w:p>
      <w:pPr>
        <w:spacing w:after="0" w:line="51"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Chief Executive Officer</w:t>
      </w:r>
    </w:p>
    <w:p>
      <w:pPr>
        <w:spacing w:after="0" w:line="51" w:lineRule="exact"/>
        <w:rPr>
          <w:sz w:val="20"/>
          <w:szCs w:val="20"/>
          <w:color w:val="auto"/>
        </w:rPr>
      </w:pPr>
    </w:p>
    <w:p>
      <w:pPr>
        <w:ind w:left="6160"/>
        <w:spacing w:after="0"/>
        <w:rPr>
          <w:sz w:val="20"/>
          <w:szCs w:val="20"/>
          <w:color w:val="auto"/>
        </w:rPr>
      </w:pPr>
      <w:r>
        <w:rPr>
          <w:rFonts w:ascii="Arial" w:cs="Arial" w:eastAsia="Arial" w:hAnsi="Arial"/>
          <w:sz w:val="14"/>
          <w:szCs w:val="14"/>
          <w:i w:val="1"/>
          <w:iCs w:val="1"/>
          <w:color w:val="auto"/>
        </w:rPr>
        <w:t>(Principal Executive Officer)</w:t>
      </w:r>
    </w:p>
    <w:p>
      <w:pPr>
        <w:spacing w:after="0" w:line="38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connection with the Quarterly Report on Form 10-Q of Eos Energy Enterprises, Inc., for the quarterly period ended March 31, 2022 as filed with the Securities and Exchange Commission on the date hereof (the “Report”), I, Randall Gonzales, as Chief Financial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16" w:lineRule="exact"/>
        <w:rPr>
          <w:sz w:val="20"/>
          <w:szCs w:val="20"/>
          <w:color w:val="auto"/>
        </w:rPr>
      </w:pPr>
    </w:p>
    <w:p>
      <w:pPr>
        <w:ind w:left="20"/>
        <w:spacing w:after="0"/>
        <w:tabs>
          <w:tab w:leader="none" w:pos="5780" w:val="left"/>
          <w:tab w:leader="none" w:pos="6320" w:val="left"/>
        </w:tabs>
        <w:rPr>
          <w:sz w:val="20"/>
          <w:szCs w:val="20"/>
          <w:color w:val="auto"/>
        </w:rPr>
      </w:pPr>
      <w:r>
        <w:rPr>
          <w:rFonts w:ascii="Arial" w:cs="Arial" w:eastAsia="Arial" w:hAnsi="Arial"/>
          <w:sz w:val="14"/>
          <w:szCs w:val="14"/>
          <w:color w:val="auto"/>
        </w:rPr>
        <w:t>Date: May 9,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26035</wp:posOffset>
            </wp:positionV>
            <wp:extent cx="31464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42"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Randall Gonzales</w:t>
      </w:r>
    </w:p>
    <w:p>
      <w:pPr>
        <w:spacing w:after="0" w:line="5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ind w:left="634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80"/>
      </w:cols>
      <w:pgMar w:left="300" w:top="13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decimal"/>
      <w:start w:val="19"/>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3" Type="http://schemas.openxmlformats.org/officeDocument/2006/relationships/hyperlink" Target="https://www.sec.gov/Archives/edgar/data/0001805077/000162828022009094/ex41wilmingtontrustindentu.htm" TargetMode="External"/><Relationship Id="rId84" Type="http://schemas.openxmlformats.org/officeDocument/2006/relationships/hyperlink" Target="https://www.sec.gov/Archives/edgar/data/0001805077/000162828022002537/eosofferletter-jtedone.htm" TargetMode="External"/><Relationship Id="rId85" Type="http://schemas.openxmlformats.org/officeDocument/2006/relationships/hyperlink" Target="https://www.sec.gov/Archives/edgar/data/0001805077/000162828022011192/eose-standbyequitypurcha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2022-05-09T15:24:03Z</dcterms:created>
  <dcterms:modified xsi:type="dcterms:W3CDTF">2022-05-09T15:24:03Z</dcterms:modified>
</cp:coreProperties>
</file>