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2820" w:type="dxa"/>
            <w:vAlign w:val="bottom"/>
          </w:tcPr>
          <w:p>
            <w:pPr>
              <w:spacing w:after="0"/>
              <w:rPr>
                <w:sz w:val="20"/>
                <w:szCs w:val="20"/>
                <w:color w:val="auto"/>
              </w:rPr>
            </w:pPr>
          </w:p>
        </w:tc>
      </w:tr>
      <w:tr>
        <w:trPr>
          <w:trHeight w:val="256"/>
        </w:trPr>
        <w:tc>
          <w:tcPr>
            <w:tcW w:w="2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78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2"/>
                <w:szCs w:val="22"/>
                <w:color w:val="auto"/>
              </w:rPr>
            </w:pPr>
          </w:p>
        </w:tc>
      </w:tr>
      <w:tr>
        <w:trPr>
          <w:trHeight w:val="283"/>
        </w:trPr>
        <w:tc>
          <w:tcPr>
            <w:tcW w:w="29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3690</w:t>
            </w: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84-4290188</w:t>
            </w:r>
          </w:p>
        </w:tc>
      </w:tr>
      <w:tr>
        <w:trPr>
          <w:trHeight w:val="196"/>
        </w:trPr>
        <w:tc>
          <w:tcPr>
            <w:tcW w:w="2980" w:type="dxa"/>
            <w:vAlign w:val="bottom"/>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3"/>
          </w:tcPr>
          <w:p>
            <w:pPr>
              <w:jc w:val="center"/>
              <w:ind w:right="980"/>
              <w:spacing w:after="0" w:line="196"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820" w:type="dxa"/>
            <w:vAlign w:val="bottom"/>
          </w:tcPr>
          <w:p>
            <w:pPr>
              <w:jc w:val="center"/>
              <w:ind w:right="750"/>
              <w:spacing w:after="0" w:line="196"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8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3920 Park Avenue</w:t>
            </w:r>
          </w:p>
        </w:tc>
        <w:tc>
          <w:tcPr>
            <w:tcW w:w="2820" w:type="dxa"/>
            <w:vAlign w:val="bottom"/>
          </w:tcPr>
          <w:p>
            <w:pPr>
              <w:spacing w:after="0"/>
              <w:rPr>
                <w:sz w:val="24"/>
                <w:szCs w:val="24"/>
                <w:color w:val="auto"/>
              </w:rPr>
            </w:pPr>
          </w:p>
        </w:tc>
      </w:tr>
      <w:tr>
        <w:trPr>
          <w:trHeight w:val="243"/>
        </w:trPr>
        <w:tc>
          <w:tcPr>
            <w:tcW w:w="2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Edison, New Jersey 08820</w:t>
            </w:r>
          </w:p>
        </w:tc>
        <w:tc>
          <w:tcPr>
            <w:tcW w:w="2820" w:type="dxa"/>
            <w:vAlign w:val="bottom"/>
          </w:tcPr>
          <w:p>
            <w:pPr>
              <w:spacing w:after="0"/>
              <w:rPr>
                <w:sz w:val="21"/>
                <w:szCs w:val="21"/>
                <w:color w:val="auto"/>
              </w:rPr>
            </w:pPr>
          </w:p>
        </w:tc>
      </w:tr>
      <w:tr>
        <w:trPr>
          <w:trHeight w:val="257"/>
        </w:trPr>
        <w:tc>
          <w:tcPr>
            <w:tcW w:w="2980" w:type="dxa"/>
            <w:vAlign w:val="bottom"/>
          </w:tcPr>
          <w:p>
            <w:pPr>
              <w:spacing w:after="0"/>
              <w:rPr>
                <w:sz w:val="22"/>
                <w:szCs w:val="22"/>
                <w:color w:val="auto"/>
              </w:rPr>
            </w:pPr>
          </w:p>
        </w:tc>
        <w:tc>
          <w:tcPr>
            <w:tcW w:w="54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2"/>
                <w:szCs w:val="22"/>
                <w:color w:val="auto"/>
              </w:rPr>
            </w:pPr>
          </w:p>
        </w:tc>
      </w:tr>
      <w:tr>
        <w:trPr>
          <w:trHeight w:val="243"/>
        </w:trPr>
        <w:tc>
          <w:tcPr>
            <w:tcW w:w="2980" w:type="dxa"/>
            <w:vAlign w:val="bottom"/>
          </w:tcPr>
          <w:p>
            <w:pPr>
              <w:spacing w:after="0"/>
              <w:rPr>
                <w:sz w:val="21"/>
                <w:szCs w:val="21"/>
                <w:color w:val="auto"/>
              </w:rPr>
            </w:pPr>
          </w:p>
        </w:tc>
        <w:tc>
          <w:tcPr>
            <w:tcW w:w="54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(732) 225-8400</w:t>
            </w:r>
          </w:p>
        </w:tc>
        <w:tc>
          <w:tcPr>
            <w:tcW w:w="2820" w:type="dxa"/>
            <w:vAlign w:val="bottom"/>
          </w:tcPr>
          <w:p>
            <w:pPr>
              <w:spacing w:after="0"/>
              <w:rPr>
                <w:sz w:val="21"/>
                <w:szCs w:val="21"/>
                <w:color w:val="auto"/>
              </w:rPr>
            </w:pPr>
          </w:p>
        </w:tc>
      </w:tr>
      <w:tr>
        <w:trPr>
          <w:trHeight w:val="553"/>
        </w:trPr>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Amended and Restated 2020 Incentive Plan</w:t>
            </w:r>
          </w:p>
        </w:tc>
        <w:tc>
          <w:tcPr>
            <w:tcW w:w="2820" w:type="dxa"/>
            <w:vAlign w:val="bottom"/>
          </w:tcPr>
          <w:p>
            <w:pPr>
              <w:spacing w:after="0"/>
              <w:rPr>
                <w:sz w:val="24"/>
                <w:szCs w:val="24"/>
                <w:color w:val="auto"/>
              </w:rPr>
            </w:pPr>
          </w:p>
        </w:tc>
      </w:tr>
      <w:tr>
        <w:trPr>
          <w:trHeight w:val="310"/>
        </w:trPr>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(Full title of the plans)</w:t>
            </w:r>
          </w:p>
        </w:tc>
        <w:tc>
          <w:tcPr>
            <w:tcW w:w="2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137160</wp:posOffset>
            </wp:positionV>
            <wp:extent cx="2082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Joe Mastrangelo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3920 Park Avenue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Edison, New Jersey 08820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(732) 27225-8400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14605</wp:posOffset>
            </wp:positionV>
            <wp:extent cx="2082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8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45720</wp:posOffset>
            </wp:positionV>
            <wp:extent cx="212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5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Michael Kaplan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Kaminsky</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212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203" w:lineRule="exact"/>
        <w:rPr>
          <w:sz w:val="24"/>
          <w:szCs w:val="24"/>
          <w:color w:val="auto"/>
        </w:rPr>
      </w:pPr>
    </w:p>
    <w:tbl>
      <w:tblPr>
        <w:tblLayout w:type="fixed"/>
        <w:tblInd w:w="140" w:type="dxa"/>
        <w:tblCellMar>
          <w:top w:w="0" w:type="dxa"/>
          <w:left w:w="0" w:type="dxa"/>
          <w:bottom w:w="0" w:type="dxa"/>
          <w:right w:w="0" w:type="dxa"/>
        </w:tblCellMar>
      </w:tblP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 w:name="page2"/>
    <w:bookmarkEnd w:id="1"/>
    <w:p>
      <w:pPr>
        <w:ind w:left="38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General Instruction E of Form S-8, Eos Energy Enterprises, Inc.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Registration Statement on Form S-8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to register 19,000,000 additional shares of the Registrant’s Common Stock for issuance under the Eos Energy Enterprises, Inc. Amended and Restated 2020 Incentive Plan (“</w:t>
      </w:r>
      <w:r>
        <w:rPr>
          <w:rFonts w:ascii="Times New Roman" w:cs="Times New Roman" w:eastAsia="Times New Roman" w:hAnsi="Times New Roman"/>
          <w:sz w:val="18"/>
          <w:szCs w:val="18"/>
          <w:b w:val="1"/>
          <w:bCs w:val="1"/>
          <w:color w:val="auto"/>
        </w:rPr>
        <w:t>2020 Plan</w:t>
      </w:r>
      <w:r>
        <w:rPr>
          <w:rFonts w:ascii="Times New Roman" w:cs="Times New Roman" w:eastAsia="Times New Roman" w:hAnsi="Times New Roman"/>
          <w:sz w:val="18"/>
          <w:szCs w:val="18"/>
          <w:color w:val="auto"/>
        </w:rPr>
        <w:t>”). This Registration Statement hereby incorporates by reference the contents of the Registrant’s registration statements on Form S-8 filed with the Commission on June 4, 2021 (Registration No. 333-256766), June 17, 2022 (Registration No. 333-265708) and June 23, 2023 (Registration No. 333-272848). In accordance with the instructional note to Part I of Form S-8 as promulgated by the Commission, the information specified by Part I of Form S-8 has been omitted from this Registration Statement.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 REQUIRED IN THE REGISTRATION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registration statement the following documents previously filed with the Commission:</w:t>
      </w:r>
    </w:p>
    <w:p>
      <w:pPr>
        <w:spacing w:after="0" w:line="293" w:lineRule="exact"/>
        <w:rPr>
          <w:sz w:val="20"/>
          <w:szCs w:val="20"/>
          <w:color w:val="auto"/>
        </w:rPr>
      </w:pPr>
    </w:p>
    <w:p>
      <w:pPr>
        <w:ind w:left="340" w:right="480" w:hanging="8"/>
        <w:spacing w:after="0" w:line="282" w:lineRule="auto"/>
        <w:tabs>
          <w:tab w:leader="none" w:pos="5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2023, filed with the Commission on March 4, 2024, as amended on March 7, 2024 (File No. 001-39291) (the “Annual Report”);</w:t>
      </w:r>
    </w:p>
    <w:p>
      <w:pPr>
        <w:spacing w:after="0" w:line="229" w:lineRule="exact"/>
        <w:rPr>
          <w:rFonts w:ascii="Times New Roman" w:cs="Times New Roman" w:eastAsia="Times New Roman" w:hAnsi="Times New Roman"/>
          <w:sz w:val="18"/>
          <w:szCs w:val="18"/>
          <w:color w:val="auto"/>
        </w:rPr>
      </w:pPr>
    </w:p>
    <w:p>
      <w:pPr>
        <w:ind w:left="340" w:right="160" w:hanging="8"/>
        <w:spacing w:after="0" w:line="282" w:lineRule="auto"/>
        <w:tabs>
          <w:tab w:leader="none" w:pos="6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since the end of the fiscal year covered by the Annual Report (other than the portions of these documents not deemed to be filed); and</w:t>
      </w:r>
    </w:p>
    <w:p>
      <w:pPr>
        <w:spacing w:after="0" w:line="229" w:lineRule="exact"/>
        <w:rPr>
          <w:rFonts w:ascii="Times New Roman" w:cs="Times New Roman" w:eastAsia="Times New Roman" w:hAnsi="Times New Roman"/>
          <w:sz w:val="18"/>
          <w:szCs w:val="18"/>
          <w:color w:val="auto"/>
        </w:rPr>
      </w:pPr>
    </w:p>
    <w:p>
      <w:pPr>
        <w:ind w:left="340" w:right="140" w:hanging="8"/>
        <w:spacing w:after="0" w:line="297" w:lineRule="auto"/>
        <w:tabs>
          <w:tab w:leader="none" w:pos="5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Stock contained in Exhibit 4.5 to the Registrant’s Annual Report, including any amendment or report filed for the purpose of updating such description.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27" w:right="339" w:bottom="1440" w:gutter="0" w:footer="0" w:header="0"/>
        </w:sectPr>
      </w:pPr>
    </w:p>
    <w:bookmarkStart w:id="2" w:name="page3"/>
    <w:bookmarkEnd w:id="2"/>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4040" w:type="dxa"/>
            <w:vAlign w:val="bottom"/>
            <w:gridSpan w:val="11"/>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404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gridSpan w:val="11"/>
          </w:tcPr>
          <w:p>
            <w:pPr>
              <w:spacing w:after="0"/>
              <w:rPr>
                <w:rFonts w:ascii="Times New Roman" w:cs="Times New Roman" w:eastAsia="Times New Roman" w:hAnsi="Times New Roman"/>
                <w:sz w:val="18"/>
                <w:szCs w:val="18"/>
                <w:b w:val="1"/>
                <w:bCs w:val="1"/>
                <w:color w:val="0000FF"/>
              </w:rPr>
            </w:pPr>
            <w:hyperlink r:id="rId16">
              <w:r>
                <w:rPr>
                  <w:rFonts w:ascii="Times New Roman" w:cs="Times New Roman" w:eastAsia="Times New Roman" w:hAnsi="Times New Roman"/>
                  <w:sz w:val="18"/>
                  <w:szCs w:val="18"/>
                  <w:b w:val="1"/>
                  <w:bCs w:val="1"/>
                  <w:color w:val="0000FF"/>
                </w:rPr>
                <w:t>Third Amended and Restated Certificate of</w:t>
              </w:r>
            </w:hyperlink>
          </w:p>
        </w:tc>
        <w:tc>
          <w:tcPr>
            <w:tcW w:w="0" w:type="dxa"/>
            <w:vAlign w:val="bottom"/>
          </w:tcPr>
          <w:p>
            <w:pPr>
              <w:spacing w:after="0"/>
              <w:rPr>
                <w:sz w:val="1"/>
                <w:szCs w:val="1"/>
                <w:color w:val="auto"/>
              </w:rPr>
            </w:pPr>
          </w:p>
        </w:tc>
      </w:tr>
      <w:tr>
        <w:trPr>
          <w:trHeight w:val="19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b w:val="1"/>
                <w:bCs w:val="1"/>
                <w:color w:val="0000FF"/>
              </w:rPr>
            </w:pPr>
            <w:hyperlink r:id="rId16">
              <w:r>
                <w:rPr>
                  <w:rFonts w:ascii="Times New Roman" w:cs="Times New Roman" w:eastAsia="Times New Roman" w:hAnsi="Times New Roman"/>
                  <w:sz w:val="18"/>
                  <w:szCs w:val="18"/>
                  <w:b w:val="1"/>
                  <w:bCs w:val="1"/>
                  <w:color w:val="0000FF"/>
                </w:rPr>
                <w:t>Incorporation</w:t>
              </w:r>
            </w:hyperlink>
          </w:p>
        </w:tc>
        <w:tc>
          <w:tcPr>
            <w:tcW w:w="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40" w:type="dxa"/>
            <w:vAlign w:val="bottom"/>
            <w:gridSpan w:val="11"/>
            <w:vMerge w:val="restart"/>
          </w:tcPr>
          <w:p>
            <w:pPr>
              <w:spacing w:after="0"/>
              <w:rPr>
                <w:rFonts w:ascii="Times New Roman" w:cs="Times New Roman" w:eastAsia="Times New Roman" w:hAnsi="Times New Roman"/>
                <w:sz w:val="18"/>
                <w:szCs w:val="18"/>
                <w:b w:val="1"/>
                <w:bCs w:val="1"/>
                <w:color w:val="0000FF"/>
              </w:rPr>
            </w:pPr>
            <w:hyperlink r:id="rId17">
              <w:r>
                <w:rPr>
                  <w:rFonts w:ascii="Times New Roman" w:cs="Times New Roman" w:eastAsia="Times New Roman" w:hAnsi="Times New Roman"/>
                  <w:sz w:val="18"/>
                  <w:szCs w:val="18"/>
                  <w:b w:val="1"/>
                  <w:bCs w:val="1"/>
                  <w:color w:val="0000FF"/>
                </w:rPr>
                <w:t>Second Amended and Restated Bylaws</w:t>
              </w:r>
            </w:hyperlink>
          </w:p>
        </w:tc>
        <w:tc>
          <w:tcPr>
            <w:tcW w:w="0" w:type="dxa"/>
            <w:vAlign w:val="bottom"/>
          </w:tcPr>
          <w:p>
            <w:pPr>
              <w:spacing w:after="0"/>
              <w:rPr>
                <w:sz w:val="1"/>
                <w:szCs w:val="1"/>
                <w:color w:val="auto"/>
              </w:rPr>
            </w:pPr>
          </w:p>
        </w:tc>
      </w:tr>
      <w:tr>
        <w:trPr>
          <w:trHeight w:val="24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Opinion of Davis Polk &amp; Wardwell LLP</w:t>
            </w:r>
          </w:p>
        </w:tc>
        <w:tc>
          <w:tcPr>
            <w:tcW w:w="0" w:type="dxa"/>
            <w:vAlign w:val="bottom"/>
          </w:tcPr>
          <w:p>
            <w:pPr>
              <w:spacing w:after="0"/>
              <w:rPr>
                <w:sz w:val="1"/>
                <w:szCs w:val="1"/>
                <w:color w:val="auto"/>
              </w:rPr>
            </w:pPr>
          </w:p>
        </w:tc>
      </w:tr>
      <w:tr>
        <w:trPr>
          <w:trHeight w:val="24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Consent of Independent Registered Public</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Accounting Firm</w:t>
            </w:r>
          </w:p>
        </w:tc>
        <w:tc>
          <w:tcPr>
            <w:tcW w:w="8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Consent of Davis Polk &amp; Wardwell LLP (included</w:t>
            </w:r>
          </w:p>
        </w:tc>
        <w:tc>
          <w:tcPr>
            <w:tcW w:w="0" w:type="dxa"/>
            <w:vAlign w:val="bottom"/>
          </w:tcPr>
          <w:p>
            <w:pPr>
              <w:spacing w:after="0"/>
              <w:rPr>
                <w:sz w:val="1"/>
                <w:szCs w:val="1"/>
                <w:color w:val="auto"/>
              </w:rPr>
            </w:pPr>
          </w:p>
        </w:tc>
      </w:tr>
      <w:tr>
        <w:trPr>
          <w:trHeight w:val="175"/>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in Exhibit 5.1)</w:t>
            </w:r>
          </w:p>
        </w:tc>
        <w:tc>
          <w:tcPr>
            <w:tcW w:w="0" w:type="dxa"/>
            <w:vAlign w:val="bottom"/>
          </w:tcPr>
          <w:p>
            <w:pPr>
              <w:spacing w:after="0"/>
              <w:rPr>
                <w:sz w:val="1"/>
                <w:szCs w:val="1"/>
                <w:color w:val="auto"/>
              </w:rPr>
            </w:pPr>
          </w:p>
        </w:tc>
      </w:tr>
      <w:tr>
        <w:trPr>
          <w:trHeight w:val="22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Power of Attorney (see signature page)</w:t>
            </w:r>
          </w:p>
        </w:tc>
        <w:tc>
          <w:tcPr>
            <w:tcW w:w="0" w:type="dxa"/>
            <w:vAlign w:val="bottom"/>
          </w:tcPr>
          <w:p>
            <w:pPr>
              <w:spacing w:after="0"/>
              <w:rPr>
                <w:sz w:val="1"/>
                <w:szCs w:val="1"/>
                <w:color w:val="auto"/>
              </w:rPr>
            </w:pPr>
          </w:p>
        </w:tc>
      </w:tr>
      <w:tr>
        <w:trPr>
          <w:trHeight w:val="198"/>
        </w:trPr>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11"/>
          </w:tcPr>
          <w:p>
            <w:pPr>
              <w:spacing w:after="0" w:line="198" w:lineRule="exact"/>
              <w:rPr>
                <w:rFonts w:ascii="Times New Roman" w:cs="Times New Roman" w:eastAsia="Times New Roman" w:hAnsi="Times New Roman"/>
                <w:sz w:val="18"/>
                <w:szCs w:val="18"/>
                <w:b w:val="1"/>
                <w:bCs w:val="1"/>
                <w:color w:val="0000FF"/>
              </w:rPr>
            </w:pPr>
            <w:hyperlink r:id="rId18">
              <w:r>
                <w:rPr>
                  <w:rFonts w:ascii="Times New Roman" w:cs="Times New Roman" w:eastAsia="Times New Roman" w:hAnsi="Times New Roman"/>
                  <w:sz w:val="18"/>
                  <w:szCs w:val="18"/>
                  <w:b w:val="1"/>
                  <w:bCs w:val="1"/>
                  <w:color w:val="0000FF"/>
                </w:rPr>
                <w:t>Amended and Restated 2020 Incentive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gridSpan w:val="11"/>
          </w:tcPr>
          <w:p>
            <w:pPr>
              <w:spacing w:after="0"/>
              <w:rPr>
                <w:rFonts w:ascii="Times New Roman" w:cs="Times New Roman" w:eastAsia="Times New Roman" w:hAnsi="Times New Roman"/>
                <w:sz w:val="18"/>
                <w:szCs w:val="18"/>
                <w:b w:val="1"/>
                <w:bCs w:val="1"/>
                <w:color w:val="0000FF"/>
              </w:rPr>
            </w:pPr>
            <w:hyperlink r:id="rId19">
              <w:r>
                <w:rPr>
                  <w:rFonts w:ascii="Times New Roman" w:cs="Times New Roman" w:eastAsia="Times New Roman" w:hAnsi="Times New Roman"/>
                  <w:sz w:val="18"/>
                  <w:szCs w:val="18"/>
                  <w:b w:val="1"/>
                  <w:bCs w:val="1"/>
                  <w:color w:val="0000FF"/>
                </w:rPr>
                <w:t>First Amendment to the Amended and Restated</w:t>
              </w:r>
            </w:hyperlink>
          </w:p>
        </w:tc>
        <w:tc>
          <w:tcPr>
            <w:tcW w:w="0" w:type="dxa"/>
            <w:vAlign w:val="bottom"/>
          </w:tcPr>
          <w:p>
            <w:pPr>
              <w:spacing w:after="0"/>
              <w:rPr>
                <w:sz w:val="1"/>
                <w:szCs w:val="1"/>
                <w:color w:val="auto"/>
              </w:rPr>
            </w:pPr>
          </w:p>
        </w:tc>
      </w:tr>
      <w:tr>
        <w:trPr>
          <w:trHeight w:val="155"/>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b w:val="1"/>
                <w:bCs w:val="1"/>
                <w:color w:val="0000FF"/>
              </w:rPr>
            </w:pPr>
            <w:hyperlink r:id="rId19">
              <w:r>
                <w:rPr>
                  <w:rFonts w:ascii="Times New Roman" w:cs="Times New Roman" w:eastAsia="Times New Roman" w:hAnsi="Times New Roman"/>
                  <w:sz w:val="16"/>
                  <w:szCs w:val="16"/>
                  <w:b w:val="1"/>
                  <w:bCs w:val="1"/>
                  <w:color w:val="0000FF"/>
                </w:rPr>
                <w:t>2020 Incentive Plan</w:t>
              </w:r>
            </w:hyperlink>
          </w:p>
        </w:tc>
        <w:tc>
          <w:tcPr>
            <w:tcW w:w="2160" w:type="dxa"/>
            <w:vAlign w:val="bottom"/>
            <w:tcBorders>
              <w:top w:val="single" w:sz="8" w:color="0000FF"/>
              <w:bottom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40" w:type="dxa"/>
            <w:vAlign w:val="bottom"/>
            <w:gridSpan w:val="11"/>
            <w:vMerge w:val="restart"/>
          </w:tcPr>
          <w:p>
            <w:pPr>
              <w:spacing w:after="0"/>
              <w:rPr>
                <w:rFonts w:ascii="Times New Roman" w:cs="Times New Roman" w:eastAsia="Times New Roman" w:hAnsi="Times New Roman"/>
                <w:sz w:val="18"/>
                <w:szCs w:val="18"/>
                <w:b w:val="1"/>
                <w:bCs w:val="1"/>
                <w:color w:val="0000FF"/>
              </w:rPr>
            </w:pPr>
            <w:hyperlink r:id="rId20">
              <w:r>
                <w:rPr>
                  <w:rFonts w:ascii="Times New Roman" w:cs="Times New Roman" w:eastAsia="Times New Roman" w:hAnsi="Times New Roman"/>
                  <w:sz w:val="18"/>
                  <w:szCs w:val="18"/>
                  <w:b w:val="1"/>
                  <w:bCs w:val="1"/>
                  <w:color w:val="0000FF"/>
                </w:rPr>
                <w:t>Second Amendment to the Amended and Restated</w:t>
              </w:r>
            </w:hyperlink>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1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99.3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b w:val="1"/>
                <w:bCs w:val="1"/>
                <w:color w:val="0000FF"/>
              </w:rPr>
            </w:pPr>
            <w:hyperlink r:id="rId20">
              <w:r>
                <w:rPr>
                  <w:rFonts w:ascii="Times New Roman" w:cs="Times New Roman" w:eastAsia="Times New Roman" w:hAnsi="Times New Roman"/>
                  <w:sz w:val="16"/>
                  <w:szCs w:val="16"/>
                  <w:b w:val="1"/>
                  <w:bCs w:val="1"/>
                  <w:color w:val="0000FF"/>
                </w:rPr>
                <w:t>2020 Incentive Plan</w:t>
              </w:r>
            </w:hyperlink>
          </w:p>
        </w:tc>
        <w:tc>
          <w:tcPr>
            <w:tcW w:w="2240" w:type="dxa"/>
            <w:vAlign w:val="bottom"/>
            <w:tcBorders>
              <w:top w:val="single" w:sz="8" w:color="0000FF"/>
              <w:bottom w:val="single" w:sz="8" w:color="0000FF"/>
            </w:tcBorders>
            <w:gridSpan w:val="6"/>
          </w:tcPr>
          <w:p>
            <w:pPr>
              <w:spacing w:after="0"/>
              <w:rPr>
                <w:sz w:val="13"/>
                <w:szCs w:val="13"/>
                <w:color w:val="auto"/>
              </w:rPr>
            </w:pPr>
          </w:p>
        </w:tc>
        <w:tc>
          <w:tcPr>
            <w:tcW w:w="100" w:type="dxa"/>
            <w:vAlign w:val="bottom"/>
            <w:tcBorders>
              <w:top w:val="single" w:sz="8" w:color="0000FF"/>
              <w:bottom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40" w:type="dxa"/>
            <w:vAlign w:val="bottom"/>
            <w:gridSpan w:val="11"/>
            <w:vMerge w:val="restart"/>
          </w:tcPr>
          <w:p>
            <w:pPr>
              <w:spacing w:after="0"/>
              <w:rPr>
                <w:rFonts w:ascii="Times New Roman" w:cs="Times New Roman" w:eastAsia="Times New Roman" w:hAnsi="Times New Roman"/>
                <w:sz w:val="18"/>
                <w:szCs w:val="18"/>
                <w:b w:val="1"/>
                <w:bCs w:val="1"/>
                <w:color w:val="0000FF"/>
              </w:rPr>
            </w:pPr>
            <w:hyperlink r:id="rId21">
              <w:r>
                <w:rPr>
                  <w:rFonts w:ascii="Times New Roman" w:cs="Times New Roman" w:eastAsia="Times New Roman" w:hAnsi="Times New Roman"/>
                  <w:sz w:val="18"/>
                  <w:szCs w:val="18"/>
                  <w:b w:val="1"/>
                  <w:bCs w:val="1"/>
                  <w:color w:val="0000FF"/>
                </w:rPr>
                <w:t>Third Amendment to the Amended and Restated</w:t>
              </w:r>
            </w:hyperlink>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1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99.4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b w:val="1"/>
                <w:bCs w:val="1"/>
                <w:color w:val="0000FF"/>
              </w:rPr>
            </w:pPr>
            <w:hyperlink r:id="rId21">
              <w:r>
                <w:rPr>
                  <w:rFonts w:ascii="Times New Roman" w:cs="Times New Roman" w:eastAsia="Times New Roman" w:hAnsi="Times New Roman"/>
                  <w:sz w:val="16"/>
                  <w:szCs w:val="16"/>
                  <w:b w:val="1"/>
                  <w:bCs w:val="1"/>
                  <w:color w:val="0000FF"/>
                </w:rPr>
                <w:t>2020 Incentive Plan</w:t>
              </w:r>
            </w:hyperlink>
          </w:p>
        </w:tc>
        <w:tc>
          <w:tcPr>
            <w:tcW w:w="2240" w:type="dxa"/>
            <w:vAlign w:val="bottom"/>
            <w:tcBorders>
              <w:top w:val="single" w:sz="8" w:color="0000FF"/>
              <w:bottom w:val="single" w:sz="8" w:color="0000FF"/>
            </w:tcBorders>
            <w:gridSpan w:val="6"/>
            <w:vMerge w:val="restart"/>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3"/>
          </w:tcPr>
          <w:p>
            <w:pPr>
              <w:spacing w:after="0"/>
              <w:rPr>
                <w:sz w:val="5"/>
                <w:szCs w:val="5"/>
                <w:color w:val="auto"/>
              </w:rPr>
            </w:pPr>
          </w:p>
        </w:tc>
        <w:tc>
          <w:tcPr>
            <w:tcW w:w="224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100" w:hanging="741"/>
        <w:spacing w:after="0"/>
        <w:tabs>
          <w:tab w:leader="none" w:pos="11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000FF"/>
        </w:rPr>
        <w:t>Calculation of 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034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561"/>
        </w:trPr>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001-39291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2/28/2023</w:t>
            </w:r>
          </w:p>
        </w:tc>
      </w:tr>
      <w:tr>
        <w:trPr>
          <w:trHeight w:val="351"/>
        </w:trPr>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001-39291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3.2</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5/19/2022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0</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582930</wp:posOffset>
            </wp:positionV>
            <wp:extent cx="713232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-591185</wp:posOffset>
            </wp:positionV>
            <wp:extent cx="713232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333-256766</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99.1</w:t>
            </w: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6/4/2021</w:t>
            </w:r>
          </w:p>
        </w:tc>
      </w:tr>
      <w:tr>
        <w:trPr>
          <w:trHeight w:val="486"/>
        </w:trPr>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333-265708</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99.2</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6/17/2022</w:t>
            </w:r>
          </w:p>
        </w:tc>
      </w:tr>
      <w:tr>
        <w:trPr>
          <w:trHeight w:val="486"/>
        </w:trPr>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333-272848</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99.3</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6/23/2023</w:t>
            </w:r>
          </w:p>
        </w:tc>
      </w:tr>
      <w:tr>
        <w:trPr>
          <w:trHeight w:val="486"/>
        </w:trPr>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001-39291</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10.6</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5/14/2024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-1071245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-616585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X</w:t>
      </w:r>
    </w:p>
    <w:p>
      <w:pPr>
        <w:sectPr>
          <w:pgSz w:w="11900" w:h="16838" w:orient="portrait"/>
          <w:cols w:equalWidth="0" w:num="3">
            <w:col w:w="5140" w:space="100"/>
            <w:col w:w="4780" w:space="300"/>
            <w:col w:w="720"/>
          </w:cols>
          <w:pgMar w:left="320" w:top="1440" w:right="539" w:bottom="1440" w:gutter="0" w:footer="0" w:header="0"/>
        </w:sectPr>
      </w:pPr>
    </w:p>
    <w:bookmarkStart w:id="3" w:name="page4"/>
    <w:bookmarkEnd w:id="3"/>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Edison, State of New Jersey, on June 26, 2024.</w:t>
      </w:r>
    </w:p>
    <w:p>
      <w:pPr>
        <w:spacing w:after="0" w:line="1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83"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Joe Mastrangelo</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Joe Mastrangelo</w:t>
            </w:r>
          </w:p>
        </w:tc>
      </w:tr>
      <w:tr>
        <w:trPr>
          <w:trHeight w:val="205"/>
        </w:trPr>
        <w:tc>
          <w:tcPr>
            <w:tcW w:w="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9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9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Joe Mastrangelo, Nathan Kroeker and Michael Silberman,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1933,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7"/>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8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Borders>
              <w:bottom w:val="single" w:sz="8" w:color="auto"/>
            </w:tcBorders>
            <w:gridSpan w:val="8"/>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/s/ Joe Mastrangelo</w:t>
            </w:r>
          </w:p>
        </w:tc>
        <w:tc>
          <w:tcPr>
            <w:tcW w:w="960" w:type="dxa"/>
            <w:vAlign w:val="bottom"/>
            <w:gridSpan w:val="3"/>
          </w:tcPr>
          <w:p>
            <w:pPr>
              <w:spacing w:after="0"/>
              <w:rPr>
                <w:sz w:val="16"/>
                <w:szCs w:val="16"/>
                <w:color w:val="auto"/>
              </w:rPr>
            </w:pPr>
          </w:p>
        </w:tc>
        <w:tc>
          <w:tcPr>
            <w:tcW w:w="42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8"/>
          </w:tcPr>
          <w:p>
            <w:pPr>
              <w:jc w:val="center"/>
              <w:ind w:right="1040"/>
              <w:spacing w:after="0"/>
              <w:rPr>
                <w:sz w:val="20"/>
                <w:szCs w:val="20"/>
                <w:color w:val="auto"/>
              </w:rPr>
            </w:pPr>
            <w:r>
              <w:rPr>
                <w:rFonts w:ascii="Times New Roman" w:cs="Times New Roman" w:eastAsia="Times New Roman" w:hAnsi="Times New Roman"/>
                <w:sz w:val="18"/>
                <w:szCs w:val="18"/>
                <w:color w:val="auto"/>
                <w:w w:val="99"/>
              </w:rPr>
              <w:t>Joe Mastrangelo</w:t>
            </w: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gridSpan w:val="11"/>
          </w:tcPr>
          <w:p>
            <w:pPr>
              <w:jc w:val="center"/>
              <w:ind w:right="960"/>
              <w:spacing w:after="0" w:line="194" w:lineRule="exact"/>
              <w:rPr>
                <w:sz w:val="20"/>
                <w:szCs w:val="20"/>
                <w:color w:val="auto"/>
              </w:rPr>
            </w:pPr>
            <w:r>
              <w:rPr>
                <w:rFonts w:ascii="Times New Roman" w:cs="Times New Roman" w:eastAsia="Times New Roman" w:hAnsi="Times New Roman"/>
                <w:sz w:val="18"/>
                <w:szCs w:val="18"/>
                <w:color w:val="auto"/>
                <w:w w:val="99"/>
              </w:rPr>
              <w:t>/s/ Nathan Kroeker</w:t>
            </w:r>
          </w:p>
        </w:tc>
        <w:tc>
          <w:tcPr>
            <w:tcW w:w="42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w w:val="98"/>
              </w:rPr>
              <w:t>Chief Financial Officer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Nathan Kroeker</w:t>
            </w:r>
          </w:p>
        </w:tc>
        <w:tc>
          <w:tcPr>
            <w:tcW w:w="980" w:type="dxa"/>
            <w:vAlign w:val="bottom"/>
            <w:gridSpan w:val="4"/>
          </w:tcPr>
          <w:p>
            <w:pPr>
              <w:spacing w:after="0"/>
              <w:rPr>
                <w:sz w:val="21"/>
                <w:szCs w:val="21"/>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7"/>
          </w:tcPr>
          <w:p>
            <w:pPr>
              <w:jc w:val="center"/>
              <w:ind w:right="1120"/>
              <w:spacing w:after="0" w:line="194" w:lineRule="exact"/>
              <w:rPr>
                <w:sz w:val="20"/>
                <w:szCs w:val="20"/>
                <w:color w:val="auto"/>
              </w:rPr>
            </w:pPr>
            <w:r>
              <w:rPr>
                <w:rFonts w:ascii="Times New Roman" w:cs="Times New Roman" w:eastAsia="Times New Roman" w:hAnsi="Times New Roman"/>
                <w:sz w:val="18"/>
                <w:szCs w:val="18"/>
                <w:color w:val="auto"/>
                <w:w w:val="99"/>
              </w:rPr>
              <w:t>/s/ Sumeet Puri</w:t>
            </w:r>
          </w:p>
        </w:tc>
        <w:tc>
          <w:tcPr>
            <w:tcW w:w="42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Sumeet Puri</w:t>
            </w:r>
          </w:p>
        </w:tc>
        <w:tc>
          <w:tcPr>
            <w:tcW w:w="1120" w:type="dxa"/>
            <w:vAlign w:val="bottom"/>
            <w:gridSpan w:val="6"/>
          </w:tcPr>
          <w:p>
            <w:pPr>
              <w:spacing w:after="0"/>
              <w:rPr>
                <w:sz w:val="21"/>
                <w:szCs w:val="21"/>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400" w:type="dxa"/>
            <w:vAlign w:val="bottom"/>
            <w:gridSpan w:val="12"/>
          </w:tcPr>
          <w:p>
            <w:pPr>
              <w:jc w:val="center"/>
              <w:ind w:right="940"/>
              <w:spacing w:after="0" w:line="194" w:lineRule="exact"/>
              <w:rPr>
                <w:sz w:val="20"/>
                <w:szCs w:val="20"/>
                <w:color w:val="auto"/>
              </w:rPr>
            </w:pPr>
            <w:r>
              <w:rPr>
                <w:rFonts w:ascii="Times New Roman" w:cs="Times New Roman" w:eastAsia="Times New Roman" w:hAnsi="Times New Roman"/>
                <w:sz w:val="18"/>
                <w:szCs w:val="18"/>
                <w:color w:val="auto"/>
                <w:w w:val="99"/>
              </w:rPr>
              <w:t>/s/ Jeffrey Bornstein</w:t>
            </w:r>
          </w:p>
        </w:tc>
        <w:tc>
          <w:tcPr>
            <w:tcW w:w="42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Jeffrey Bornstein</w:t>
            </w:r>
          </w:p>
        </w:tc>
        <w:tc>
          <w:tcPr>
            <w:tcW w:w="940" w:type="dxa"/>
            <w:vAlign w:val="bottom"/>
            <w:gridSpan w:val="2"/>
          </w:tcPr>
          <w:p>
            <w:pPr>
              <w:spacing w:after="0"/>
              <w:rPr>
                <w:sz w:val="21"/>
                <w:szCs w:val="21"/>
                <w:color w:val="auto"/>
              </w:rPr>
            </w:pPr>
          </w:p>
        </w:tc>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/s/ Alex Dimitrief</w:t>
            </w:r>
          </w:p>
        </w:tc>
        <w:tc>
          <w:tcPr>
            <w:tcW w:w="1020" w:type="dxa"/>
            <w:vAlign w:val="bottom"/>
            <w:gridSpan w:val="5"/>
          </w:tcPr>
          <w:p>
            <w:pPr>
              <w:spacing w:after="0"/>
              <w:rPr>
                <w:sz w:val="16"/>
                <w:szCs w:val="16"/>
                <w:color w:val="auto"/>
              </w:rPr>
            </w:pPr>
          </w:p>
        </w:tc>
        <w:tc>
          <w:tcPr>
            <w:tcW w:w="42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20" w:type="dxa"/>
            <w:vAlign w:val="bottom"/>
            <w:gridSpan w:val="7"/>
          </w:tcPr>
          <w:p>
            <w:pPr>
              <w:jc w:val="center"/>
              <w:ind w:right="1120"/>
              <w:spacing w:after="0"/>
              <w:rPr>
                <w:sz w:val="20"/>
                <w:szCs w:val="20"/>
                <w:color w:val="auto"/>
              </w:rPr>
            </w:pPr>
            <w:r>
              <w:rPr>
                <w:rFonts w:ascii="Times New Roman" w:cs="Times New Roman" w:eastAsia="Times New Roman" w:hAnsi="Times New Roman"/>
                <w:sz w:val="18"/>
                <w:szCs w:val="18"/>
                <w:color w:val="auto"/>
                <w:w w:val="99"/>
              </w:rPr>
              <w:t>Alex Dimitrief</w:t>
            </w:r>
          </w:p>
        </w:tc>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9"/>
          </w:tcPr>
          <w:p>
            <w:pPr>
              <w:jc w:val="center"/>
              <w:ind w:right="1020"/>
              <w:spacing w:after="0" w:line="194" w:lineRule="exact"/>
              <w:rPr>
                <w:sz w:val="20"/>
                <w:szCs w:val="20"/>
                <w:color w:val="auto"/>
              </w:rPr>
            </w:pPr>
            <w:r>
              <w:rPr>
                <w:rFonts w:ascii="Times New Roman" w:cs="Times New Roman" w:eastAsia="Times New Roman" w:hAnsi="Times New Roman"/>
                <w:sz w:val="18"/>
                <w:szCs w:val="18"/>
                <w:color w:val="auto"/>
                <w:w w:val="99"/>
              </w:rPr>
              <w:t>/s/ Claude Demby</w:t>
            </w:r>
          </w:p>
        </w:tc>
        <w:tc>
          <w:tcPr>
            <w:tcW w:w="42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Claude Demby</w:t>
            </w:r>
          </w:p>
        </w:tc>
        <w:tc>
          <w:tcPr>
            <w:tcW w:w="1020" w:type="dxa"/>
            <w:vAlign w:val="bottom"/>
            <w:gridSpan w:val="5"/>
          </w:tcPr>
          <w:p>
            <w:pPr>
              <w:spacing w:after="0"/>
              <w:rPr>
                <w:sz w:val="21"/>
                <w:szCs w:val="21"/>
                <w:color w:val="auto"/>
              </w:rPr>
            </w:pPr>
          </w:p>
        </w:tc>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9"/>
          </w:tcPr>
          <w:p>
            <w:pPr>
              <w:jc w:val="center"/>
              <w:ind w:right="1020"/>
              <w:spacing w:after="0" w:line="194" w:lineRule="exact"/>
              <w:rPr>
                <w:sz w:val="20"/>
                <w:szCs w:val="20"/>
                <w:color w:val="auto"/>
              </w:rPr>
            </w:pPr>
            <w:r>
              <w:rPr>
                <w:rFonts w:ascii="Times New Roman" w:cs="Times New Roman" w:eastAsia="Times New Roman" w:hAnsi="Times New Roman"/>
                <w:sz w:val="18"/>
                <w:szCs w:val="18"/>
                <w:color w:val="auto"/>
                <w:w w:val="99"/>
              </w:rPr>
              <w:t>/s/ Jeffrey McNeil</w:t>
            </w:r>
          </w:p>
        </w:tc>
        <w:tc>
          <w:tcPr>
            <w:tcW w:w="42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Jeffrey McNeil</w:t>
            </w:r>
          </w:p>
        </w:tc>
        <w:tc>
          <w:tcPr>
            <w:tcW w:w="1020" w:type="dxa"/>
            <w:vAlign w:val="bottom"/>
            <w:gridSpan w:val="5"/>
          </w:tcPr>
          <w:p>
            <w:pPr>
              <w:spacing w:after="0"/>
              <w:rPr>
                <w:sz w:val="21"/>
                <w:szCs w:val="21"/>
                <w:color w:val="auto"/>
              </w:rPr>
            </w:pPr>
          </w:p>
        </w:tc>
        <w:tc>
          <w:tcPr>
            <w:tcW w:w="42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vMerge w:val="restart"/>
          </w:tcPr>
          <w:p>
            <w:pPr>
              <w:jc w:val="center"/>
              <w:ind w:left="750"/>
              <w:spacing w:after="0"/>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60" w:type="dxa"/>
            <w:vAlign w:val="bottom"/>
            <w:gridSpan w:val="11"/>
            <w:vMerge w:val="restart"/>
          </w:tcPr>
          <w:p>
            <w:pPr>
              <w:jc w:val="center"/>
              <w:ind w:right="980"/>
              <w:spacing w:after="0"/>
              <w:rPr>
                <w:sz w:val="20"/>
                <w:szCs w:val="20"/>
                <w:color w:val="auto"/>
              </w:rPr>
            </w:pPr>
            <w:r>
              <w:rPr>
                <w:rFonts w:ascii="Times New Roman" w:cs="Times New Roman" w:eastAsia="Times New Roman" w:hAnsi="Times New Roman"/>
                <w:sz w:val="18"/>
                <w:szCs w:val="18"/>
                <w:color w:val="auto"/>
              </w:rPr>
              <w:t>Nicholas Robinson</w:t>
            </w:r>
          </w:p>
        </w:tc>
        <w:tc>
          <w:tcPr>
            <w:tcW w:w="420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60" w:type="dxa"/>
            <w:vAlign w:val="bottom"/>
            <w:gridSpan w:val="11"/>
            <w:vMerge w:val="continue"/>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400" w:type="dxa"/>
            <w:vAlign w:val="bottom"/>
            <w:gridSpan w:val="12"/>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9"/>
              </w:rPr>
              <w:t>/s/ Russell Stidolph</w:t>
            </w:r>
          </w:p>
        </w:tc>
        <w:tc>
          <w:tcPr>
            <w:tcW w:w="42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Russell Stidolph</w:t>
            </w:r>
          </w:p>
        </w:tc>
        <w:tc>
          <w:tcPr>
            <w:tcW w:w="960" w:type="dxa"/>
            <w:vAlign w:val="bottom"/>
            <w:gridSpan w:val="3"/>
          </w:tcPr>
          <w:p>
            <w:pPr>
              <w:spacing w:after="0"/>
              <w:rPr>
                <w:sz w:val="21"/>
                <w:szCs w:val="21"/>
                <w:color w:val="auto"/>
              </w:rPr>
            </w:pPr>
          </w:p>
        </w:tc>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620" w:type="dxa"/>
            <w:vAlign w:val="bottom"/>
            <w:gridSpan w:val="13"/>
          </w:tcPr>
          <w:p>
            <w:pPr>
              <w:jc w:val="center"/>
              <w:ind w:right="700"/>
              <w:spacing w:after="0" w:line="194" w:lineRule="exact"/>
              <w:rPr>
                <w:sz w:val="20"/>
                <w:szCs w:val="20"/>
                <w:color w:val="auto"/>
              </w:rPr>
            </w:pPr>
            <w:r>
              <w:rPr>
                <w:rFonts w:ascii="Times New Roman" w:cs="Times New Roman" w:eastAsia="Times New Roman" w:hAnsi="Times New Roman"/>
                <w:sz w:val="18"/>
                <w:szCs w:val="18"/>
                <w:color w:val="auto"/>
                <w:w w:val="98"/>
              </w:rPr>
              <w:t>/s/ Marian “Mimi” Walters</w:t>
            </w:r>
          </w:p>
        </w:tc>
        <w:tc>
          <w:tcPr>
            <w:tcW w:w="42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rPr>
              <w:t>June 26, 2024</w:t>
            </w:r>
          </w:p>
        </w:tc>
        <w:tc>
          <w:tcPr>
            <w:tcW w:w="0" w:type="dxa"/>
            <w:vAlign w:val="bottom"/>
          </w:tcPr>
          <w:p>
            <w:pPr>
              <w:spacing w:after="0"/>
              <w:rPr>
                <w:sz w:val="1"/>
                <w:szCs w:val="1"/>
                <w:color w:val="auto"/>
              </w:rPr>
            </w:pPr>
          </w:p>
        </w:tc>
      </w:tr>
      <w:tr>
        <w:trPr>
          <w:trHeight w:val="250"/>
        </w:trPr>
        <w:tc>
          <w:tcPr>
            <w:tcW w:w="1920" w:type="dxa"/>
            <w:vAlign w:val="bottom"/>
            <w:tcBorders>
              <w:top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color w:val="auto"/>
                <w:w w:val="99"/>
              </w:rPr>
              <w:t>Marian “Mimi” Walters</w:t>
            </w:r>
          </w:p>
        </w:tc>
        <w:tc>
          <w:tcPr>
            <w:tcW w:w="7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Newly </w:t>
      </w:r>
      <w:r>
        <w:rPr>
          <w:rFonts w:ascii="Times New Roman" w:cs="Times New Roman" w:eastAsia="Times New Roman" w:hAnsi="Times New Roman"/>
          <w:sz w:val="17"/>
          <w:szCs w:val="17"/>
          <w:color w:val="auto"/>
        </w:rPr>
        <w:t>Registered Securities</w:t>
      </w:r>
    </w:p>
    <w:p>
      <w:pPr>
        <w:spacing w:after="0" w:line="289" w:lineRule="exact"/>
        <w:rPr>
          <w:sz w:val="20"/>
          <w:szCs w:val="20"/>
          <w:color w:val="auto"/>
        </w:rPr>
      </w:pPr>
    </w:p>
    <w:tbl>
      <w:tblPr>
        <w:tblLayout w:type="fixed"/>
        <w:tblInd w:w="50" w:type="dxa"/>
        <w:tblCellMar>
          <w:top w:w="0" w:type="dxa"/>
          <w:left w:w="0" w:type="dxa"/>
          <w:bottom w:w="0" w:type="dxa"/>
          <w:right w:w="0" w:type="dxa"/>
        </w:tblCellMar>
      </w:tblPr>
      <w:tr>
        <w:trPr>
          <w:trHeight w:val="187"/>
        </w:trPr>
        <w:tc>
          <w:tcPr>
            <w:tcW w:w="12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540" w:type="dxa"/>
            <w:vAlign w:val="bottom"/>
            <w:tcBorders>
              <w:top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5"/>
                <w:szCs w:val="15"/>
                <w:b w:val="1"/>
                <w:bCs w:val="1"/>
                <w:color w:val="auto"/>
              </w:rPr>
              <w:t>Amount Registered</w:t>
            </w:r>
            <w:r>
              <w:rPr>
                <w:rFonts w:ascii="Times New Roman" w:cs="Times New Roman" w:eastAsia="Times New Roman" w:hAnsi="Times New Roman"/>
                <w:sz w:val="21"/>
                <w:szCs w:val="21"/>
                <w:b w:val="1"/>
                <w:bCs w:val="1"/>
                <w:color w:val="auto"/>
                <w:vertAlign w:val="superscript"/>
              </w:rPr>
              <w:t>(1)</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168"/>
        </w:trPr>
        <w:tc>
          <w:tcPr>
            <w:tcW w:w="1220" w:type="dxa"/>
            <w:vAlign w:val="bottom"/>
            <w:tcBorders>
              <w:left w:val="single" w:sz="8" w:color="auto"/>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Title</w:t>
            </w:r>
          </w:p>
        </w:tc>
        <w:tc>
          <w:tcPr>
            <w:tcW w:w="136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Rule</w:t>
            </w:r>
          </w:p>
        </w:tc>
        <w:tc>
          <w:tcPr>
            <w:tcW w:w="154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Maximum Offering</w:t>
            </w:r>
          </w:p>
        </w:tc>
        <w:tc>
          <w:tcPr>
            <w:tcW w:w="166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13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Registration Fee</w:t>
            </w:r>
          </w:p>
        </w:tc>
      </w:tr>
      <w:tr>
        <w:trPr>
          <w:trHeight w:val="253"/>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center"/>
              <w:spacing w:after="0" w:line="253" w:lineRule="exact"/>
              <w:rPr>
                <w:sz w:val="20"/>
                <w:szCs w:val="20"/>
                <w:color w:val="auto"/>
              </w:rPr>
            </w:pPr>
            <w:r>
              <w:rPr>
                <w:rFonts w:ascii="Times New Roman" w:cs="Times New Roman" w:eastAsia="Times New Roman" w:hAnsi="Times New Roman"/>
                <w:sz w:val="16"/>
                <w:szCs w:val="16"/>
                <w:b w:val="1"/>
                <w:bCs w:val="1"/>
                <w:color w:val="auto"/>
                <w:w w:val="96"/>
              </w:rPr>
              <w:t>Price Per Unit</w:t>
            </w:r>
            <w:r>
              <w:rPr>
                <w:rFonts w:ascii="Times New Roman" w:cs="Times New Roman" w:eastAsia="Times New Roman" w:hAnsi="Times New Roman"/>
                <w:sz w:val="23"/>
                <w:szCs w:val="23"/>
                <w:b w:val="1"/>
                <w:bCs w:val="1"/>
                <w:color w:val="auto"/>
                <w:w w:val="96"/>
                <w:vertAlign w:val="superscript"/>
              </w:rPr>
              <w:t>(2)</w:t>
            </w:r>
          </w:p>
        </w:tc>
        <w:tc>
          <w:tcPr>
            <w:tcW w:w="16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 457(c) and</w:t>
            </w:r>
          </w:p>
        </w:tc>
        <w:tc>
          <w:tcPr>
            <w:tcW w:w="1540" w:type="dxa"/>
            <w:vAlign w:val="bottom"/>
            <w:tcBorders>
              <w:right w:val="single" w:sz="8" w:color="auto"/>
            </w:tcBorders>
          </w:tcPr>
          <w:p>
            <w:pPr>
              <w:jc w:val="right"/>
              <w:ind w:right="298"/>
              <w:spacing w:after="0" w:line="191" w:lineRule="exact"/>
              <w:rPr>
                <w:sz w:val="20"/>
                <w:szCs w:val="20"/>
                <w:color w:val="auto"/>
              </w:rPr>
            </w:pPr>
            <w:r>
              <w:rPr>
                <w:rFonts w:ascii="Times New Roman" w:cs="Times New Roman" w:eastAsia="Times New Roman" w:hAnsi="Times New Roman"/>
                <w:sz w:val="18"/>
                <w:szCs w:val="18"/>
                <w:color w:val="auto"/>
              </w:rPr>
              <w:t>19,000,000</w:t>
            </w:r>
          </w:p>
        </w:tc>
        <w:tc>
          <w:tcPr>
            <w:tcW w:w="14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$0.7895</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$15,000,500.00</w:t>
            </w:r>
          </w:p>
        </w:tc>
        <w:tc>
          <w:tcPr>
            <w:tcW w:w="1300" w:type="dxa"/>
            <w:vAlign w:val="bottom"/>
            <w:tcBorders>
              <w:right w:val="single" w:sz="8" w:color="auto"/>
            </w:tcBorders>
          </w:tcPr>
          <w:p>
            <w:pPr>
              <w:jc w:val="right"/>
              <w:ind w:right="195"/>
              <w:spacing w:after="0" w:line="191" w:lineRule="exact"/>
              <w:rPr>
                <w:sz w:val="20"/>
                <w:szCs w:val="20"/>
                <w:color w:val="auto"/>
              </w:rPr>
            </w:pPr>
            <w:r>
              <w:rPr>
                <w:rFonts w:ascii="Times New Roman" w:cs="Times New Roman" w:eastAsia="Times New Roman" w:hAnsi="Times New Roman"/>
                <w:sz w:val="18"/>
                <w:szCs w:val="18"/>
                <w:color w:val="auto"/>
              </w:rPr>
              <w:t>0.0001476</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$2,214.07</w:t>
            </w:r>
          </w:p>
        </w:tc>
      </w:tr>
      <w:tr>
        <w:trPr>
          <w:trHeight w:val="203"/>
        </w:trPr>
        <w:tc>
          <w:tcPr>
            <w:tcW w:w="122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par value $0.0001</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Rule 457(h)</w:t>
            </w:r>
          </w:p>
        </w:tc>
        <w:tc>
          <w:tcPr>
            <w:tcW w:w="15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r>
      <w:tr>
        <w:trPr>
          <w:trHeight w:val="234"/>
        </w:trPr>
        <w:tc>
          <w:tcPr>
            <w:tcW w:w="122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36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44"/>
        </w:trPr>
        <w:tc>
          <w:tcPr>
            <w:tcW w:w="1220" w:type="dxa"/>
            <w:vAlign w:val="bottom"/>
            <w:tcBorders>
              <w:left w:val="single" w:sz="8" w:color="auto"/>
              <w:bottom w:val="single" w:sz="8" w:color="auto"/>
            </w:tcBorders>
          </w:tcPr>
          <w:p>
            <w:pPr>
              <w:spacing w:after="0"/>
              <w:rPr>
                <w:sz w:val="21"/>
                <w:szCs w:val="21"/>
                <w:color w:val="auto"/>
              </w:rPr>
            </w:pPr>
          </w:p>
        </w:tc>
        <w:tc>
          <w:tcPr>
            <w:tcW w:w="2700" w:type="dxa"/>
            <w:vAlign w:val="bottom"/>
            <w:tcBorders>
              <w:bottom w:val="single" w:sz="8" w:color="auto"/>
            </w:tcBorders>
            <w:gridSpan w:val="2"/>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5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$15,000,500.00</w:t>
            </w:r>
          </w:p>
        </w:tc>
        <w:tc>
          <w:tcPr>
            <w:tcW w:w="130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$2,214.07</w:t>
            </w:r>
          </w:p>
        </w:tc>
      </w:tr>
      <w:tr>
        <w:trPr>
          <w:trHeight w:val="250"/>
        </w:trPr>
        <w:tc>
          <w:tcPr>
            <w:tcW w:w="1220" w:type="dxa"/>
            <w:vAlign w:val="bottom"/>
            <w:tcBorders>
              <w:left w:val="single" w:sz="8" w:color="auto"/>
              <w:bottom w:val="single" w:sz="8" w:color="auto"/>
            </w:tcBorders>
          </w:tcPr>
          <w:p>
            <w:pPr>
              <w:spacing w:after="0"/>
              <w:rPr>
                <w:sz w:val="21"/>
                <w:szCs w:val="21"/>
                <w:color w:val="auto"/>
              </w:rPr>
            </w:pPr>
          </w:p>
        </w:tc>
        <w:tc>
          <w:tcPr>
            <w:tcW w:w="270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5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50"/>
        </w:trPr>
        <w:tc>
          <w:tcPr>
            <w:tcW w:w="1220" w:type="dxa"/>
            <w:vAlign w:val="bottom"/>
            <w:tcBorders>
              <w:left w:val="single" w:sz="8" w:color="auto"/>
              <w:bottom w:val="single" w:sz="8" w:color="auto"/>
            </w:tcBorders>
          </w:tcPr>
          <w:p>
            <w:pPr>
              <w:spacing w:after="0"/>
              <w:rPr>
                <w:sz w:val="21"/>
                <w:szCs w:val="21"/>
                <w:color w:val="auto"/>
              </w:rPr>
            </w:pPr>
          </w:p>
        </w:tc>
        <w:tc>
          <w:tcPr>
            <w:tcW w:w="270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5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$2,214.07</w:t>
            </w:r>
          </w:p>
        </w:tc>
      </w:tr>
    </w:tbl>
    <w:p>
      <w:pPr>
        <w:spacing w:after="0" w:line="319" w:lineRule="exact"/>
        <w:rPr>
          <w:sz w:val="20"/>
          <w:szCs w:val="20"/>
          <w:color w:val="auto"/>
        </w:rPr>
      </w:pPr>
    </w:p>
    <w:p>
      <w:pPr>
        <w:jc w:val="both"/>
        <w:ind w:firstLine="8"/>
        <w:spacing w:after="0" w:line="261"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this Registration Statement includes an indeterminate number of additional shares of the Registrant’s Common Stock, par value $0.0001 per share (“Common Stock”), which may be necessary to adjust the number of shares reserved for issuance pursuant to the Eos Energy Enterprises, Inc. Amended and Restated 2020 Incentive Plan as a result of a stock split, stock dividend or similar adjustment of the outstanding common stock of the Registrant.</w:t>
      </w:r>
    </w:p>
    <w:p>
      <w:pPr>
        <w:spacing w:after="0" w:line="206" w:lineRule="exact"/>
        <w:rPr>
          <w:rFonts w:ascii="Times New Roman" w:cs="Times New Roman" w:eastAsia="Times New Roman" w:hAnsi="Times New Roman"/>
          <w:sz w:val="18"/>
          <w:szCs w:val="18"/>
          <w:color w:val="auto"/>
        </w:rPr>
      </w:pPr>
    </w:p>
    <w:p>
      <w:pPr>
        <w:jc w:val="both"/>
        <w:ind w:firstLine="8"/>
        <w:spacing w:after="0" w:line="266"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solely for the purpose of calculating the registration fee pursuant to Rule 457(c) and 457(h) under the Securities Act on the basis of the average of the high and low prices per share of Common Stock on the Nasdaq Capital Market on June 18, 2024, which date is within five business days prior to filing this Registration Statement.</w:t>
      </w:r>
    </w:p>
    <w:p>
      <w:pPr>
        <w:sectPr>
          <w:pgSz w:w="11900" w:h="16838" w:orient="portrait"/>
          <w:cols w:equalWidth="0" w:num="1">
            <w:col w:w="11240"/>
          </w:cols>
          <w:pgMar w:left="320" w:top="1427" w:right="339" w:bottom="1440" w:gutter="0" w:footer="0" w:header="0"/>
        </w:sectPr>
      </w:pPr>
    </w:p>
    <w:bookmarkStart w:id="6" w:name="page7"/>
    <w:bookmarkEnd w:id="6"/>
    <w:p>
      <w:pPr>
        <w:ind w:left="10300"/>
        <w:spacing w:after="0"/>
        <w:rPr>
          <w:sz w:val="20"/>
          <w:szCs w:val="20"/>
          <w:color w:val="auto"/>
        </w:rPr>
      </w:pPr>
      <w:r>
        <w:rPr>
          <w:rFonts w:ascii="Times New Roman" w:cs="Times New Roman" w:eastAsia="Times New Roman" w:hAnsi="Times New Roman"/>
          <w:sz w:val="27"/>
          <w:szCs w:val="27"/>
          <w:b w:val="1"/>
          <w:bCs w:val="1"/>
          <w:color w:val="FFFFFF"/>
        </w:rPr>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8915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Davis Polk &amp; Wardwell llp</w:t>
      </w:r>
    </w:p>
    <w:p>
      <w:pPr>
        <w:spacing w:after="0" w:line="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450 Lexington Avenue</w:t>
      </w:r>
    </w:p>
    <w:p>
      <w:pPr>
        <w:ind w:left="5160"/>
        <w:spacing w:after="0"/>
        <w:rPr>
          <w:sz w:val="20"/>
          <w:szCs w:val="20"/>
          <w:color w:val="auto"/>
        </w:rPr>
      </w:pPr>
      <w:r>
        <w:rPr>
          <w:rFonts w:ascii="Times New Roman" w:cs="Times New Roman" w:eastAsia="Times New Roman" w:hAnsi="Times New Roman"/>
          <w:sz w:val="13"/>
          <w:szCs w:val="13"/>
          <w:color w:val="auto"/>
        </w:rPr>
        <w:t>New York, NY 10017</w:t>
      </w:r>
    </w:p>
    <w:p>
      <w:pPr>
        <w:ind w:left="5160"/>
        <w:spacing w:after="0"/>
        <w:rPr>
          <w:sz w:val="20"/>
          <w:szCs w:val="20"/>
          <w:color w:val="auto"/>
        </w:rPr>
      </w:pPr>
      <w:r>
        <w:rPr>
          <w:rFonts w:ascii="Times New Roman" w:cs="Times New Roman" w:eastAsia="Times New Roman" w:hAnsi="Times New Roman"/>
          <w:sz w:val="13"/>
          <w:szCs w:val="13"/>
          <w:color w:val="auto"/>
        </w:rPr>
        <w:t>davispolk.com</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OPINIO</w:t>
      </w:r>
      <w:r>
        <w:rPr>
          <w:rFonts w:ascii="Times New Roman" w:cs="Times New Roman" w:eastAsia="Times New Roman" w:hAnsi="Times New Roman"/>
          <w:sz w:val="20"/>
          <w:szCs w:val="20"/>
          <w:color w:val="auto"/>
        </w:rPr>
        <w:t>N</w:t>
      </w:r>
      <w:r>
        <w:rPr>
          <w:rFonts w:ascii="Times New Roman" w:cs="Times New Roman" w:eastAsia="Times New Roman" w:hAnsi="Times New Roman"/>
          <w:sz w:val="20"/>
          <w:szCs w:val="20"/>
          <w:b w:val="1"/>
          <w:bCs w:val="1"/>
          <w:color w:val="auto"/>
        </w:rPr>
        <w:t xml:space="preserve"> OF DAVIS POLK &amp; WARDWELL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Eos Energy Enterprises,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3920 Park Avenue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Edison, New Jersey 08820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6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We have acted as special counsel to Eos Energy Enterprises,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are delivering this opinion in connection with the Company’s Registration Statement on Form S-8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filed with the Securities and Exchange Commission pursuant to the Securities Act of 1933, as amended, for the registration of 19,000,000 shares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of the Company’s Common Stock, par value $0.0001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issuable pursuant to the Eos Energy Enterprises, Inc. Amended and Restated 2020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right="620"/>
        <w:spacing w:after="0" w:line="297" w:lineRule="auto"/>
        <w:rPr>
          <w:sz w:val="20"/>
          <w:szCs w:val="20"/>
          <w:color w:val="auto"/>
        </w:rPr>
      </w:pPr>
      <w:r>
        <w:rPr>
          <w:rFonts w:ascii="Times New Roman" w:cs="Times New Roman" w:eastAsia="Times New Roman" w:hAnsi="Times New Roman"/>
          <w:sz w:val="20"/>
          <w:szCs w:val="20"/>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0"/>
          <w:szCs w:val="20"/>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2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color w:val="auto"/>
        </w:rPr>
        <w:t>On the basis of the foregoing, we are of the opinion that the Shares have been duly authorized and, when and to the extent issued pursuant to the Plan, upon receipt by the Company of the consideration for the Shares specified therein, will be validly issued, fully paid and non-assessable.</w:t>
      </w:r>
    </w:p>
    <w:p>
      <w:pPr>
        <w:spacing w:after="0" w:line="195"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20"/>
          <w:szCs w:val="20"/>
          <w:color w:val="auto"/>
        </w:rPr>
        <w:t>We are members of the Bar of the State of New York and the foregoing opinion is limited to the laws of the State of New York and the General Corporation Law of the State of Delaware.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hereby consent to the filing of this opinion as an exhibit to the Registration Statement.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Davis Polk &amp; Wardwell LLP</w:t>
      </w:r>
    </w:p>
    <w:p>
      <w:pPr>
        <w:sectPr>
          <w:pgSz w:w="11900" w:h="16838" w:orient="portrait"/>
          <w:cols w:equalWidth="0" w:num="1">
            <w:col w:w="11240"/>
          </w:cols>
          <w:pgMar w:left="320" w:top="3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consent to the incorporation by reference in this Registration Statement on Form S-8 of our report dated March 4, 2024 relating to the financial statements of Eos Energy Enterprises, Inc. (the “Company”), appearing in the Annual Report on Form 10-K of the Company for the year ended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2024</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jpeg"/><Relationship Id="rId16" Type="http://schemas.openxmlformats.org/officeDocument/2006/relationships/hyperlink" Target="https://www.sec.gov/Archives/edgar/data/1805077/000162828023005647/ex31-thirdamendedandrestat.htm" TargetMode="External"/><Relationship Id="rId17" Type="http://schemas.openxmlformats.org/officeDocument/2006/relationships/hyperlink" Target="https://www.sec.gov/Archives/edgar/data/1805077/000162828022014885/secondamendedandrestatedby.htm" TargetMode="External"/><Relationship Id="rId18" Type="http://schemas.openxmlformats.org/officeDocument/2006/relationships/hyperlink" Target="https://www.sec.gov/Archives/edgar/data/0001805077/000162828021011648/a2020equityincentiveplan.htm" TargetMode="External"/><Relationship Id="rId19" Type="http://schemas.openxmlformats.org/officeDocument/2006/relationships/hyperlink" Target="https://www.sec.gov/Archives/edgar/data/1805077/000162828022017471/firstamendmenttothe2020inc.htm" TargetMode="External"/><Relationship Id="rId20" Type="http://schemas.openxmlformats.org/officeDocument/2006/relationships/hyperlink" Target="https://www.sec.gov/Archives/edgar/data/1805077/000180507723000025/a2023secondamendmentto2020.htm" TargetMode="External"/><Relationship Id="rId21" Type="http://schemas.openxmlformats.org/officeDocument/2006/relationships/hyperlink" Target="https://www.sec.gov/Archives/edgar/data/1805077/000180507724000051/thirdamendmenttoamende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2024-06-26T16:22:07Z</dcterms:created>
  <dcterms:modified xsi:type="dcterms:W3CDTF">2024-06-26T16:22:07Z</dcterms:modified>
</cp:coreProperties>
</file>