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311150</wp:posOffset>
            </wp:positionH>
            <wp:positionV relativeFrom="page">
              <wp:posOffset>662940</wp:posOffset>
            </wp:positionV>
            <wp:extent cx="69348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688975</wp:posOffset>
            </wp:positionV>
            <wp:extent cx="6934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06" w:lineRule="exact"/>
        <w:rPr>
          <w:sz w:val="24"/>
          <w:szCs w:val="24"/>
          <w:color w:val="auto"/>
        </w:rPr>
      </w:pPr>
    </w:p>
    <w:p>
      <w:pPr>
        <w:ind w:left="3820" w:right="1600" w:hanging="3632"/>
        <w:spacing w:after="0" w:line="232" w:lineRule="auto"/>
        <w:tabs>
          <w:tab w:leader="none" w:pos="507"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81" w:lineRule="exact"/>
        <w:rPr>
          <w:sz w:val="24"/>
          <w:szCs w:val="24"/>
          <w:color w:val="auto"/>
        </w:rPr>
      </w:pPr>
    </w:p>
    <w:p>
      <w:pPr>
        <w:ind w:left="500" w:right="1580" w:hanging="337"/>
        <w:spacing w:after="0" w:line="396" w:lineRule="auto"/>
        <w:tabs>
          <w:tab w:leader="none" w:pos="5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1847215</wp:posOffset>
            </wp:positionH>
            <wp:positionV relativeFrom="paragraph">
              <wp:posOffset>-110490</wp:posOffset>
            </wp:positionV>
            <wp:extent cx="28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001-39291</w:t>
      </w:r>
    </w:p>
    <w:p>
      <w:pPr>
        <w:spacing w:after="0" w:line="14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3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84-4290188</w:t>
            </w:r>
          </w:p>
        </w:tc>
      </w:tr>
      <w:tr>
        <w:trPr>
          <w:trHeight w:val="234"/>
        </w:trPr>
        <w:tc>
          <w:tcPr>
            <w:tcW w:w="6920" w:type="dxa"/>
            <w:vAlign w:val="bottom"/>
            <w:gridSpan w:val="6"/>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20" w:type="dxa"/>
            <w:vAlign w:val="bottom"/>
          </w:tcPr>
          <w:p>
            <w:pPr>
              <w:spacing w:after="0"/>
              <w:rPr>
                <w:sz w:val="20"/>
                <w:szCs w:val="20"/>
                <w:color w:val="auto"/>
              </w:rPr>
            </w:pPr>
          </w:p>
        </w:tc>
        <w:tc>
          <w:tcPr>
            <w:tcW w:w="33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5"/>
        </w:trPr>
        <w:tc>
          <w:tcPr>
            <w:tcW w:w="1620" w:type="dxa"/>
            <w:vAlign w:val="bottom"/>
          </w:tcPr>
          <w:p>
            <w:pPr>
              <w:spacing w:after="0"/>
              <w:rPr>
                <w:sz w:val="24"/>
                <w:szCs w:val="24"/>
                <w:color w:val="auto"/>
              </w:rPr>
            </w:pPr>
          </w:p>
        </w:tc>
        <w:tc>
          <w:tcPr>
            <w:tcW w:w="3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3920 Park Avenue</w:t>
            </w:r>
          </w:p>
        </w:tc>
        <w:tc>
          <w:tcPr>
            <w:tcW w:w="300" w:type="dxa"/>
            <w:vAlign w:val="bottom"/>
          </w:tcPr>
          <w:p>
            <w:pPr>
              <w:spacing w:after="0"/>
              <w:rPr>
                <w:sz w:val="24"/>
                <w:szCs w:val="24"/>
                <w:color w:val="auto"/>
              </w:rPr>
            </w:pPr>
          </w:p>
        </w:tc>
        <w:tc>
          <w:tcPr>
            <w:tcW w:w="18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Edison</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NJ</w:t>
            </w:r>
          </w:p>
        </w:tc>
        <w:tc>
          <w:tcPr>
            <w:tcW w:w="33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08820</w:t>
            </w:r>
          </w:p>
        </w:tc>
      </w:tr>
      <w:tr>
        <w:trPr>
          <w:trHeight w:val="234"/>
        </w:trPr>
        <w:tc>
          <w:tcPr>
            <w:tcW w:w="4780" w:type="dxa"/>
            <w:vAlign w:val="bottom"/>
            <w:gridSpan w:val="3"/>
          </w:tcPr>
          <w:p>
            <w:pPr>
              <w:jc w:val="center"/>
              <w:ind w:left="1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(732) 225-8400</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20" w:type="dxa"/>
            <w:vAlign w:val="bottom"/>
            <w:gridSpan w:val="6"/>
          </w:tcPr>
          <w:p>
            <w:pPr>
              <w:ind w:left="8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r>
      <w:tr>
        <w:trPr>
          <w:trHeight w:val="365"/>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3160" w:type="dxa"/>
            <w:vAlign w:val="bottom"/>
            <w:gridSpan w:val="2"/>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52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47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00" w:type="dxa"/>
            <w:vAlign w:val="bottom"/>
          </w:tcPr>
          <w:p>
            <w:pPr>
              <w:spacing w:after="0"/>
              <w:rPr>
                <w:sz w:val="21"/>
                <w:szCs w:val="21"/>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EOSE</w:t>
            </w:r>
          </w:p>
        </w:tc>
        <w:tc>
          <w:tcPr>
            <w:tcW w:w="5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7620" w:val="left"/>
          <w:tab w:leader="none" w:pos="8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339,514,027 shares of common stock as of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51435</wp:posOffset>
            </wp:positionV>
            <wp:extent cx="6934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77470</wp:posOffset>
            </wp:positionV>
            <wp:extent cx="6934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62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0"/>
                <w:szCs w:val="20"/>
                <w:color w:val="auto"/>
              </w:rPr>
            </w:pPr>
          </w:p>
        </w:tc>
      </w:tr>
      <w:tr>
        <w:trPr>
          <w:trHeight w:val="257"/>
        </w:trPr>
        <w:tc>
          <w:tcPr>
            <w:tcW w:w="880" w:type="dxa"/>
            <w:vAlign w:val="bottom"/>
          </w:tcPr>
          <w:p>
            <w:pPr>
              <w:spacing w:after="0"/>
              <w:rPr>
                <w:sz w:val="22"/>
                <w:szCs w:val="22"/>
                <w:color w:val="auto"/>
              </w:rPr>
            </w:pPr>
          </w:p>
        </w:tc>
        <w:tc>
          <w:tcPr>
            <w:tcW w:w="9620" w:type="dxa"/>
            <w:vAlign w:val="bottom"/>
          </w:tcPr>
          <w:p>
            <w:pPr>
              <w:spacing w:after="0"/>
              <w:rPr>
                <w:sz w:val="22"/>
                <w:szCs w:val="22"/>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880" w:type="dxa"/>
            <w:vAlign w:val="bottom"/>
            <w:shd w:val="clear" w:color="auto" w:fill="CCEEFF"/>
          </w:tcPr>
          <w:p>
            <w:pPr>
              <w:spacing w:after="0"/>
              <w:rPr>
                <w:sz w:val="19"/>
                <w:szCs w:val="19"/>
                <w:color w:val="auto"/>
              </w:rPr>
            </w:pPr>
          </w:p>
        </w:tc>
        <w:tc>
          <w:tcPr>
            <w:tcW w:w="962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740" w:type="dxa"/>
            <w:vAlign w:val="bottom"/>
            <w:shd w:val="clear" w:color="auto" w:fill="CCEEFF"/>
          </w:tcPr>
          <w:p>
            <w:pPr>
              <w:spacing w:after="0"/>
              <w:rPr>
                <w:sz w:val="19"/>
                <w:szCs w:val="19"/>
                <w:color w:val="auto"/>
              </w:rPr>
            </w:pP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80" w:type="dxa"/>
            <w:vAlign w:val="bottom"/>
            <w:shd w:val="clear" w:color="auto" w:fill="CCEEFF"/>
          </w:tcPr>
          <w:p>
            <w:pPr>
              <w:spacing w:after="0"/>
              <w:rPr>
                <w:sz w:val="19"/>
                <w:szCs w:val="19"/>
                <w:color w:val="auto"/>
              </w:rPr>
            </w:pP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Balance Sheets as of March 31, 2026 and December 31, 2025</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184"/>
        </w:trPr>
        <w:tc>
          <w:tcPr>
            <w:tcW w:w="880" w:type="dxa"/>
            <w:vAlign w:val="bottom"/>
          </w:tcPr>
          <w:p>
            <w:pPr>
              <w:spacing w:after="0"/>
              <w:rPr>
                <w:sz w:val="16"/>
                <w:szCs w:val="16"/>
                <w:color w:val="auto"/>
              </w:rPr>
            </w:pPr>
          </w:p>
        </w:tc>
        <w:tc>
          <w:tcPr>
            <w:tcW w:w="96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Unaudited Condensed Consolidated Statements of Operations and Comprehensive Income for the Three Months Ended March 31,</w:t>
            </w:r>
          </w:p>
        </w:tc>
        <w:tc>
          <w:tcPr>
            <w:tcW w:w="74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 and 2025</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80" w:type="dxa"/>
            <w:vAlign w:val="bottom"/>
            <w:shd w:val="clear" w:color="auto" w:fill="CCEEFF"/>
          </w:tcPr>
          <w:p>
            <w:pPr>
              <w:spacing w:after="0"/>
              <w:rPr>
                <w:sz w:val="19"/>
                <w:szCs w:val="19"/>
                <w:color w:val="auto"/>
              </w:rPr>
            </w:pP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Statements of Shareholders’ Deficit for the Three Months Ended March 31, 2026 and 2025</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80" w:type="dxa"/>
            <w:vAlign w:val="bottom"/>
          </w:tcPr>
          <w:p>
            <w:pPr>
              <w:spacing w:after="0"/>
              <w:rPr>
                <w:sz w:val="19"/>
                <w:szCs w:val="19"/>
                <w:color w:val="auto"/>
              </w:rPr>
            </w:pP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Three Months Ended March 31, 2026 and 2025</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80" w:type="dxa"/>
            <w:vAlign w:val="bottom"/>
            <w:shd w:val="clear" w:color="auto" w:fill="CCEEFF"/>
          </w:tcPr>
          <w:p>
            <w:pPr>
              <w:spacing w:after="0"/>
              <w:rPr>
                <w:sz w:val="19"/>
                <w:szCs w:val="19"/>
                <w:color w:val="auto"/>
              </w:rPr>
            </w:pP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40</w:t>
            </w: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46</w:t>
            </w: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46</w:t>
            </w:r>
          </w:p>
        </w:tc>
      </w:tr>
      <w:tr>
        <w:trPr>
          <w:trHeight w:val="256"/>
        </w:trPr>
        <w:tc>
          <w:tcPr>
            <w:tcW w:w="880" w:type="dxa"/>
            <w:vAlign w:val="bottom"/>
            <w:shd w:val="clear" w:color="auto" w:fill="CCEEFF"/>
          </w:tcPr>
          <w:p>
            <w:pPr>
              <w:spacing w:after="0"/>
              <w:rPr>
                <w:sz w:val="22"/>
                <w:szCs w:val="22"/>
                <w:color w:val="auto"/>
              </w:rPr>
            </w:pPr>
          </w:p>
        </w:tc>
        <w:tc>
          <w:tcPr>
            <w:tcW w:w="96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30"/>
        </w:trPr>
        <w:tc>
          <w:tcPr>
            <w:tcW w:w="880" w:type="dxa"/>
            <w:vAlign w:val="bottom"/>
          </w:tcPr>
          <w:p>
            <w:pPr>
              <w:spacing w:after="0"/>
              <w:rPr>
                <w:sz w:val="19"/>
                <w:szCs w:val="19"/>
                <w:color w:val="auto"/>
              </w:rPr>
            </w:pPr>
          </w:p>
        </w:tc>
        <w:tc>
          <w:tcPr>
            <w:tcW w:w="96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740" w:type="dxa"/>
            <w:vAlign w:val="bottom"/>
          </w:tcPr>
          <w:p>
            <w:pPr>
              <w:spacing w:after="0"/>
              <w:rPr>
                <w:sz w:val="19"/>
                <w:szCs w:val="19"/>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Mine Safety Disclosures</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Information</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Exhibits</w:t>
            </w:r>
          </w:p>
        </w:tc>
        <w:tc>
          <w:tcPr>
            <w:tcW w:w="7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49</w:t>
            </w:r>
          </w:p>
        </w:tc>
      </w:tr>
      <w:tr>
        <w:trPr>
          <w:trHeight w:val="234"/>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620" w:type="dxa"/>
            <w:vAlign w:val="bottom"/>
          </w:tcPr>
          <w:p>
            <w:pPr>
              <w:spacing w:after="0"/>
              <w:rPr>
                <w:sz w:val="20"/>
                <w:szCs w:val="20"/>
                <w:color w:val="auto"/>
              </w:rPr>
            </w:pP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10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adversely affecting the business in which we are engaged;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forecast trends accurately;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generate cash, service indebtedness and incur additional indebtedness;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financing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customer's ability to secure project financing;</w:t>
      </w:r>
    </w:p>
    <w:p>
      <w:pPr>
        <w:spacing w:after="0" w:line="63" w:lineRule="exact"/>
        <w:rPr>
          <w:rFonts w:ascii="Times New Roman" w:cs="Times New Roman" w:eastAsia="Times New Roman" w:hAnsi="Times New Roman"/>
          <w:sz w:val="18"/>
          <w:szCs w:val="18"/>
          <w:i w:val="1"/>
          <w:iCs w:val="1"/>
          <w:color w:val="auto"/>
        </w:rPr>
      </w:pPr>
    </w:p>
    <w:p>
      <w:pPr>
        <w:ind w:left="660" w:right="320" w:hanging="328"/>
        <w:spacing w:after="0" w:line="31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Credit Agreement (defined below), including risks of default, dilution of outstanding common stock, consequences for failure to meet milestones and contractual lockup of shares;</w:t>
      </w:r>
    </w:p>
    <w:p>
      <w:pPr>
        <w:ind w:left="660" w:right="200" w:hanging="328"/>
        <w:spacing w:after="0" w:line="31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of final tax credits available to our customers or to Eos pursuant to the Inflation Reduction Act including potential impacts from any repeal or modification of the legislation;</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and availability of future funding under the Department of Energy Loan Facility;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continue to develop efficient manufacturing processes to scale and to forecast related costs and efficiencies accurately;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our revenue and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existing or new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convert firm order backlog and pipeline to 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security breaches in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legal proceedings or claims;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evolving energy policies in the United States and other countries and the potential costs of regulatory compliance;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changes to the U.S. trade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the listing of our shares of common stock on NASDAQ;</w:t>
      </w:r>
    </w:p>
    <w:p>
      <w:pPr>
        <w:spacing w:after="0" w:line="63" w:lineRule="exact"/>
        <w:rPr>
          <w:rFonts w:ascii="Times New Roman" w:cs="Times New Roman" w:eastAsia="Times New Roman" w:hAnsi="Times New Roman"/>
          <w:sz w:val="18"/>
          <w:szCs w:val="18"/>
          <w:i w:val="1"/>
          <w:iCs w:val="1"/>
          <w:color w:val="auto"/>
        </w:rPr>
      </w:pPr>
    </w:p>
    <w:p>
      <w:pPr>
        <w:ind w:left="660" w:right="180" w:hanging="328"/>
        <w:spacing w:after="0" w:line="313"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grow our business and manage growth profitably, maintain relationships with customers and suppliers and retain our management and key employees;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adverse changes in general economic conditions, including inflationary pressures and increased interest rates;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from supply chain disruptions and other impacts of geopolitical conflict;</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applicable laws or regulations; and</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detailed under the section titled “Risk Factors”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disclosures contained in the Company’s Annual Report on Form 10-K for the year ended December 31, 2025 for additional discussion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uncertainties that could cause the Company’s actual results to differ materially from those expressed or implied in its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9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60" w:type="dxa"/>
            <w:vAlign w:val="bottom"/>
          </w:tcPr>
          <w:p>
            <w:pPr>
              <w:jc w:val="right"/>
              <w:ind w:right="32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vMerge w:val="continue"/>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567,992</w:t>
            </w: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34,636</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Vendor deposits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 current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receivable, net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708,480</w:t>
            </w: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114,415</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0" w:type="dxa"/>
            <w:vAlign w:val="bottom"/>
          </w:tcPr>
          <w:p>
            <w:pPr>
              <w:spacing w:after="0"/>
              <w:rPr>
                <w:sz w:val="1"/>
                <w:szCs w:val="1"/>
                <w:color w:val="auto"/>
              </w:rPr>
            </w:pPr>
          </w:p>
        </w:tc>
      </w:tr>
      <w:tr>
        <w:trPr>
          <w:trHeight w:val="22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799,324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885,197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478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99,915</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143,540</w:t>
            </w:r>
          </w:p>
        </w:tc>
        <w:tc>
          <w:tcPr>
            <w:tcW w:w="0" w:type="dxa"/>
            <w:vAlign w:val="bottom"/>
          </w:tcPr>
          <w:p>
            <w:pPr>
              <w:spacing w:after="0"/>
              <w:rPr>
                <w:sz w:val="1"/>
                <w:szCs w:val="1"/>
                <w:color w:val="auto"/>
              </w:rPr>
            </w:pPr>
          </w:p>
        </w:tc>
      </w:tr>
      <w:tr>
        <w:trPr>
          <w:trHeight w:val="250"/>
        </w:trPr>
        <w:tc>
          <w:tcPr>
            <w:tcW w:w="2960" w:type="dxa"/>
            <w:vAlign w:val="bottom"/>
            <w:shd w:val="clear" w:color="auto" w:fill="CCEEFF"/>
          </w:tcPr>
          <w:p>
            <w:pPr>
              <w:spacing w:after="0"/>
              <w:rPr>
                <w:sz w:val="21"/>
                <w:szCs w:val="21"/>
                <w:color w:val="auto"/>
              </w:rPr>
            </w:pPr>
          </w:p>
        </w:tc>
        <w:tc>
          <w:tcPr>
            <w:tcW w:w="4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662,467</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 related party</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150,427</w:t>
            </w:r>
          </w:p>
        </w:tc>
        <w:tc>
          <w:tcPr>
            <w:tcW w:w="0" w:type="dxa"/>
            <w:vAlign w:val="bottom"/>
          </w:tcPr>
          <w:p>
            <w:pPr>
              <w:spacing w:after="0"/>
              <w:rPr>
                <w:sz w:val="1"/>
                <w:szCs w:val="1"/>
                <w:color w:val="auto"/>
              </w:rPr>
            </w:pP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 long-term</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liability</w:t>
            </w:r>
          </w:p>
        </w:tc>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313,253</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liability - related party</w:t>
            </w: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470,715</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4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959,783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1,618,977</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1,762,517</w:t>
            </w: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960" w:type="dxa"/>
            <w:vAlign w:val="bottom"/>
            <w:shd w:val="clear" w:color="auto" w:fill="CCEEFF"/>
          </w:tcPr>
          <w:p>
            <w:pPr>
              <w:spacing w:after="0"/>
              <w:rPr>
                <w:sz w:val="22"/>
                <w:szCs w:val="22"/>
                <w:color w:val="auto"/>
              </w:rPr>
            </w:pPr>
          </w:p>
        </w:tc>
        <w:tc>
          <w:tcPr>
            <w:tcW w:w="4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4"/>
        </w:trPr>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14)</w:t>
            </w:r>
          </w:p>
        </w:tc>
        <w:tc>
          <w:tcPr>
            <w:tcW w:w="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0"/>
        </w:trPr>
        <w:tc>
          <w:tcPr>
            <w:tcW w:w="7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SERIES B PREFERRED STOCK - related party</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1,361,542</w:t>
            </w:r>
          </w:p>
        </w:tc>
      </w:tr>
      <w:tr>
        <w:trPr>
          <w:trHeight w:val="270"/>
        </w:trPr>
        <w:tc>
          <w:tcPr>
            <w:tcW w:w="74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29"/>
        </w:trPr>
        <w:tc>
          <w:tcPr>
            <w:tcW w:w="742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6"/>
        </w:trPr>
        <w:tc>
          <w:tcPr>
            <w:tcW w:w="74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600,000,000 shares authorized, 339,459,021 and 337,132,374</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on March 31, 2026 and December 31, 2025, respectively</w:t>
            </w:r>
          </w:p>
        </w:tc>
        <w:tc>
          <w:tcPr>
            <w:tcW w:w="3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427,722</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(2,535,819)</w:t>
            </w:r>
          </w:p>
        </w:tc>
      </w:tr>
      <w:tr>
        <w:trPr>
          <w:trHeight w:val="230"/>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 related party</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(130,807)</w:t>
            </w: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(868,438)</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(2,238,862)</w:t>
            </w:r>
          </w:p>
        </w:tc>
      </w:tr>
      <w:tr>
        <w:trPr>
          <w:trHeight w:val="248"/>
        </w:trPr>
        <w:tc>
          <w:tcPr>
            <w:tcW w:w="7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shareholders' deficit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885,197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12" w:lineRule="exact"/>
        <w:rPr>
          <w:sz w:val="20"/>
          <w:szCs w:val="20"/>
          <w:color w:val="auto"/>
        </w:rPr>
      </w:pPr>
    </w:p>
    <w:p>
      <w:pPr>
        <w:jc w:val="center"/>
        <w:ind w:left="340" w:right="90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INCOME </w:t>
      </w: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101,390</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2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3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(52,932)</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2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3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debt - related party</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2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w:t>
            </w:r>
          </w:p>
        </w:tc>
      </w:tr>
      <w:tr>
        <w:trPr>
          <w:trHeight w:val="23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w:t>
            </w:r>
          </w:p>
        </w:tc>
      </w:tr>
      <w:tr>
        <w:trPr>
          <w:trHeight w:val="229"/>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15,141</w:t>
            </w:r>
          </w:p>
        </w:tc>
      </w:tr>
      <w:tr>
        <w:trPr>
          <w:trHeight w:val="229"/>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shareholders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r>
      <w:tr>
        <w:trPr>
          <w:trHeight w:val="229"/>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Remeasurement of Preferred Stock - related party</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778,878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79,997</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applicable to common stock</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1,287,761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95,133</w:t>
            </w:r>
          </w:p>
        </w:tc>
      </w:tr>
      <w:tr>
        <w:trPr>
          <w:trHeight w:val="257"/>
        </w:trPr>
        <w:tc>
          <w:tcPr>
            <w:tcW w:w="7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debt - credit risk - related party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1,329,290</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95,140</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 (NOTE 19)</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826,557</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95,133</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income per share attributable to common shareholders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70"/>
        </w:trPr>
        <w:tc>
          <w:tcPr>
            <w:tcW w:w="76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339,602,063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225,474,247</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544,828,933</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436,368,282</w:t>
            </w: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DEFICIT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21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7"/>
                <w:szCs w:val="17"/>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210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80"/>
              <w:spacing w:after="0" w:line="162"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4240" w:type="dxa"/>
            <w:vAlign w:val="bottom"/>
          </w:tcPr>
          <w:p>
            <w:pPr>
              <w:spacing w:after="0"/>
              <w:rPr>
                <w:sz w:val="7"/>
                <w:szCs w:val="7"/>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7"/>
                <w:szCs w:val="7"/>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221,791,205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(1,561,716)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(1,070,463)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Cancellation of shares used to settle payroll tax</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Preferred Stock - related party</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15,136</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March 31,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227,049,683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(1,546,580)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(942,183)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December 31,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337,132,374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(2,238,862)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Preferred Stock - related party</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778,878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debt - credit risk - related party</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on March 31, 2026</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339,459,021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1,247,734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(2,026,936)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(868,438)</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reconcile net income to net cash used in operating activities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 related parties</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debt - related party</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(45,925)</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w:t>
            </w: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3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Vendor deposits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 receivable</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payable - related parties</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30"/>
        </w:trPr>
        <w:tc>
          <w:tcPr>
            <w:tcW w:w="7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w:t>
            </w:r>
          </w:p>
        </w:tc>
      </w:tr>
      <w:tr>
        <w:trPr>
          <w:trHeight w:val="230"/>
        </w:trPr>
        <w:tc>
          <w:tcPr>
            <w:tcW w:w="7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37"/>
        </w:trPr>
        <w:tc>
          <w:tcPr>
            <w:tcW w:w="7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internally developed software</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50"/>
        </w:trPr>
        <w:tc>
          <w:tcPr>
            <w:tcW w:w="77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r>
      <w:tr>
        <w:trPr>
          <w:trHeight w:val="229"/>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received from Credit and Securities Purchase Transaction, net - related party</w:t>
            </w: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w:t>
            </w: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equipment financing facility</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2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shares from employees for income tax withholding purposes</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42,162</w:t>
            </w:r>
          </w:p>
        </w:tc>
      </w:tr>
      <w:tr>
        <w:trPr>
          <w:trHeight w:val="237"/>
        </w:trPr>
        <w:tc>
          <w:tcPr>
            <w:tcW w:w="7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7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the period</w:t>
            </w: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624,566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103,362</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the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472,368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and unpaid capital expenditures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unpaid investment in internally developed software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Paid-in kind interest added to principal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30"/>
        </w:trPr>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Remeasurement of preferred stock - related party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(79,997)</w:t>
            </w:r>
          </w:p>
        </w:tc>
      </w:tr>
      <w:tr>
        <w:trPr>
          <w:trHeight w:val="230"/>
        </w:trPr>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operating lease assets in exchange for lease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6"/>
        </w:trPr>
        <w:tc>
          <w:tcPr>
            <w:tcW w:w="7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 See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further discussion.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2025 Annual Report on Form 10-K. These interim results are not necessarily indicative of results for the full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The amendments in this update introduce a practical expedient aimed at simplifying the estimation of expected credit losses for current accounts receivable and current contract assets. The update is effective for annual periods beginning after December 15, 2025, including interim periods within those fiscal years. Early adoption was permitted. The Company adopted the ASU effective January 1, 2026 on a prospective basis and elected the practical expedient for the calculation of current expected credit losses. The adoption of this ASU did not have a material impact on the Company’s financial statements.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w:t>
      </w:r>
      <w:r>
        <w:rPr>
          <w:rFonts w:ascii="Times New Roman" w:cs="Times New Roman" w:eastAsia="Times New Roman" w:hAnsi="Times New Roman"/>
          <w:sz w:val="18"/>
          <w:szCs w:val="18"/>
          <w:color w:val="auto"/>
        </w:rPr>
        <w:t>The amendments in this update require disaggregation of certain expense captions into specified categories in disclosures within the footnotes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financial statements. In January 2025, the FASB issued ASU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Clarifying the Effective Date. </w:t>
      </w:r>
      <w:r>
        <w:rPr>
          <w:rFonts w:ascii="Times New Roman" w:cs="Times New Roman" w:eastAsia="Times New Roman" w:hAnsi="Times New Roman"/>
          <w:sz w:val="18"/>
          <w:szCs w:val="18"/>
          <w:color w:val="auto"/>
        </w:rPr>
        <w:t>This update is effective for fiscal years beginning after December 15, 2027. Early adoption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Entities should apply the amendments in this update retrospectively to all prior periods presented in the financial statements. The Company is currently assessing the potential impact this amendment could have on its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Improvements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Internal-Use Software</w:t>
      </w:r>
      <w:r>
        <w:rPr>
          <w:rFonts w:ascii="Times New Roman" w:cs="Times New Roman" w:eastAsia="Times New Roman" w:hAnsi="Times New Roman"/>
          <w:sz w:val="18"/>
          <w:szCs w:val="18"/>
          <w:color w:val="auto"/>
        </w:rPr>
        <w:t>. The amendments in this update clarify and refine the guidance for capitalizing costs related to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development phases and implementation activities. The update is effective for annual periods beginning after December 15, 2027, including interim periods within those fiscal years. Early adoption is permitted beginning in fiscal year 2026. The Company is currently assessing its plans for adoption and evaluating the potential impact this amendment could have on its financial statements and related disclosures.</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December 4,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which adds guidance to ASC 832 on the recognition, measurement, and presentation of government grants. In the absence of such guidance, many for-profit entities historically have analogized to other GAAP, including IAS 20 or ASC 958-605, when accounting for government grants. The amendments in this update are effective for interim reporting periods within annual reporting periods beginning after December 15, 2028, for public business entities, Early adoption is permitted. The Company is currently assessing its plans for adoption and evaluating the potential impact this amendment could have on its financial statements and related disclosures.</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8,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is intended to improve the navigability of the guidance in ASC 270 and clarify when it applies. Under the amendments, an entity is subject to ASC 270 if it provides “interim financial statements and notes in accordance with GAAP.” The amendment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update, the amendments are not intended to “change the fundamental nature of interim reporting or expand or reduce current interim disclosure requirements”. The amendments in this update are effective for interim reporting periods within annual reporting periods beginning after December 15, 2027, for public business entities, early adoption is permitted. The Company is currently assessing its plans for adoption and evaluating the potential impact this amendment could have on its financial statements and related disclosures.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17,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is currently assessing its plans for adoption and evaluating the potential impact this amendment could have on its financial statements and related disclosures.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p>
      <w:pPr>
        <w:spacing w:after="0" w:line="18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2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r>
      <w:tr>
        <w:trPr>
          <w:trHeight w:val="23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48"/>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had three customers who individually accounted for greater than 10% of total revenue and collectively accounted for approximately 93.3% of the total 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had two customers who individually accounted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Revenue Recognition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10% of total revenue and collectively accounted for approximately 96.2% of the total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Contract assets, current, Contract liabilities, current and Contract liabilities, long-term are included separately on the Unaudited Condensed Consolidated Balance Sheets and contract assets expected to be recognized in greater than twelve months are included under Other assets, net.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w:t>
            </w:r>
          </w:p>
        </w:tc>
      </w:t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increased by $25,505, net, during the three months ended March 31, 2026, due to recognition of revenues for which invoicing has not yet occurred.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changes in Contract liabilities:</w:t>
            </w:r>
          </w:p>
        </w:tc>
        <w:tc>
          <w:tcPr>
            <w:tcW w:w="1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05"/>
        </w:trPr>
        <w:tc>
          <w:tcPr>
            <w:tcW w:w="6780" w:type="dxa"/>
            <w:vAlign w:val="bottom"/>
          </w:tcPr>
          <w:p>
            <w:pPr>
              <w:spacing w:after="0"/>
              <w:rPr>
                <w:sz w:val="24"/>
                <w:szCs w:val="24"/>
                <w:color w:val="auto"/>
              </w:rPr>
            </w:pPr>
          </w:p>
        </w:tc>
        <w:tc>
          <w:tcPr>
            <w:tcW w:w="37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4"/>
                <w:szCs w:val="24"/>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beginning of the period</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26,349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in beginning balance recognized in revenue</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(2,512)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in current period</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(3,987)</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23,563</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end of the period</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43,413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of $6,718 as of March 31, 2026, are expected to be recognized within the next twelve months and long-term contract liabilities of $2,234 are expected to be recognized as revenue in greater than twelve months. Contract assets of $39,438 as of March 31, 2026, are expected to be reclassified to accounts receivable within the next twelve months and long-term contract assets of $1,555 are expected to be reclassified to accounts receivable in greater than twelve months.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Remaining performance obligations (“RPO”) represent the allocated transaction price of unsatisfied or partially unsatisfied performance obligations. The Company expects to recognize revenue related to the RPOs as the performance obligations are satisfied in accordance with the Company’s revenue recognition policy, which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Company’s Annual Report on Form 10-K for the year ended December 31, 2025. As of March 31, 2026, the Company's remaining performance obligations, excluding contracts satisfied in less than on year, were approximately $30,997. The Company expects to recognize revenue of approximately 82% of the remaining performance obligations over the next twelve months, with the remainder recognized thereafter.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Cash Equivalents and Restricted Cash</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cash - current as of March 31, 2026, consists of (i) accounts related to the DOE Loan Facility for reserves related to warranty claims, debt servicing, the Davis Bacon Act, secured letters of credit, escrow deposits related to U.S. Custom Bonds insurance and escrow deposits related to our credit card program agreements and (ii) the interest reserve account maintained pursuant to the second Limited Consent Agreement between the Company and the DOE (the “Second DOE Limited Consent Agreement”), which is equivalent to twelve months of interest payments of the May 2025 Convertible Notes and the November 2025 Convertible Notes.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 current as of March 31, 2025, consists of accounts related to the DOE Loan Facility for reserves related to warranty claims, debt servicing, the Davis Bacon Act and secured letters of credit.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Cash, Cash Equivalents and Restricted Cash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Long-term restricted cash as of March 31, 2026, relates to, as defined in the credit and guaranty agreement (“Credit Agreement”), the Minimum Liquidity covenant. Under the Minimum Liquidity covenant, as defined in the Credit Agreement and the DOE Loan Facility, the Company shall not permit cash and cash equivalents at any time be less than $15,000. The remainder of Long-term restricted cash relates to an interest reserve account maintained pursuant to the Second DOE Limited Consent Agreement equivalent to six months of interest payments of the May 2025 Convertible Notes and the November 2025 Convertible Notes. Restricted cash per the Second DOE Limited Consent Agreement shall be reduced by the amounts of any actual interest payments made for the May 2025 Convertible Notes and the November 2025 Convertible Notes, but shall not be less than all interest payments on the May 2025 Convertible Notes and the November 2025 Convertible Notes due within 12 months.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restricted cash as of March 31, 2025, relates to the Minimum Liquidity covenant, prior to the first tranche funding the Minimum Liquidity covenant, the Company shall not permit cash and cash equivalents at any time be less than $15,000.</w:t>
      </w:r>
    </w:p>
    <w:p>
      <w:pPr>
        <w:spacing w:after="0" w:line="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reconciles reported amounts from the Unaudited Condensed Consolidated Balance Sheets to Cash, Cash Equivalents and Restricted Cash reported within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82,553</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Inventory balances: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Property, plant and equipment, net balances: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6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c>
          <w:tcPr>
            <w:tcW w:w="30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 years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79,272</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- 10 years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175"/>
        </w:trPr>
        <w:tc>
          <w:tcPr>
            <w:tcW w:w="4180" w:type="dxa"/>
            <w:vAlign w:val="bottom"/>
            <w:shd w:val="clear" w:color="auto" w:fill="CCEEFF"/>
          </w:tcPr>
          <w:p>
            <w:pPr>
              <w:spacing w:after="0"/>
              <w:rPr>
                <w:sz w:val="15"/>
                <w:szCs w:val="15"/>
                <w:color w:val="auto"/>
              </w:rPr>
            </w:pPr>
          </w:p>
        </w:tc>
        <w:tc>
          <w:tcPr>
            <w:tcW w:w="2620" w:type="dxa"/>
            <w:vAlign w:val="bottom"/>
            <w:gridSpan w:val="3"/>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Lesser of useful life/</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 lease</w:t>
            </w: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 years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16,192</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 (“CIP”)</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36,644</w:t>
            </w:r>
          </w:p>
        </w:tc>
      </w:tr>
      <w:tr>
        <w:trPr>
          <w:trHeight w:val="223"/>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149,403</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114,415</w:t>
            </w:r>
          </w:p>
        </w:tc>
      </w:tr>
      <w:tr>
        <w:trPr>
          <w:trHeight w:val="20"/>
        </w:trPr>
        <w:tc>
          <w:tcPr>
            <w:tcW w:w="4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plant and equipment was $5,303 and $2,656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Property, Plant and Equipment, Net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loss from write-down of property, plant and equipment of $71 and $561 for the three months ended March 31, 2026.and 2025,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capitalized interest costs recognized was $1,024. There were no capitalized interest costs recognized for the three months ended March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consisted of various patents and internal-use software. The patents are determined to have useful lives and are amortized into the results of operations over ten years. The internal-use software has a useful life and is amortized into the results of operations over three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69"/>
        </w:trPr>
        <w:tc>
          <w:tcPr>
            <w:tcW w:w="2720" w:type="dxa"/>
            <w:vAlign w:val="bottom"/>
          </w:tcPr>
          <w:p>
            <w:pPr>
              <w:spacing w:after="0"/>
              <w:rPr>
                <w:sz w:val="14"/>
                <w:szCs w:val="14"/>
                <w:color w:val="auto"/>
              </w:rPr>
            </w:pPr>
          </w:p>
        </w:tc>
        <w:tc>
          <w:tcPr>
            <w:tcW w:w="136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20" w:type="dxa"/>
            <w:vAlign w:val="bottom"/>
          </w:tcPr>
          <w:p>
            <w:pPr>
              <w:spacing w:after="0"/>
              <w:rPr>
                <w:sz w:val="14"/>
                <w:szCs w:val="14"/>
                <w:color w:val="auto"/>
              </w:rPr>
            </w:pPr>
          </w:p>
        </w:tc>
        <w:tc>
          <w:tcPr>
            <w:tcW w:w="140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11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Net Carrying</w:t>
            </w:r>
          </w:p>
        </w:tc>
        <w:tc>
          <w:tcPr>
            <w:tcW w:w="100" w:type="dxa"/>
            <w:vAlign w:val="bottom"/>
          </w:tcPr>
          <w:p>
            <w:pPr>
              <w:spacing w:after="0"/>
              <w:rPr>
                <w:sz w:val="14"/>
                <w:szCs w:val="14"/>
                <w:color w:val="auto"/>
              </w:rPr>
            </w:pPr>
          </w:p>
        </w:tc>
        <w:tc>
          <w:tcPr>
            <w:tcW w:w="136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60" w:type="dxa"/>
            <w:vAlign w:val="bottom"/>
          </w:tcPr>
          <w:p>
            <w:pPr>
              <w:spacing w:after="0"/>
              <w:rPr>
                <w:sz w:val="14"/>
                <w:szCs w:val="14"/>
                <w:color w:val="auto"/>
              </w:rPr>
            </w:pPr>
          </w:p>
        </w:tc>
        <w:tc>
          <w:tcPr>
            <w:tcW w:w="13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1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Net Carrying</w:t>
            </w:r>
          </w:p>
        </w:tc>
      </w:tr>
      <w:tr>
        <w:trPr>
          <w:trHeight w:val="239"/>
        </w:trPr>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r>
      <w:tr>
        <w:trPr>
          <w:trHeight w:val="227"/>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amortization expense of $91 and $24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March 31, 2026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Borders>
              <w:bottom w:val="single" w:sz="8" w:color="CCEEFF"/>
            </w:tcBorders>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5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were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1"/>
                <w:szCs w:val="21"/>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9"/>
        </w:trPr>
        <w:tc>
          <w:tcPr>
            <w:tcW w:w="6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Warranty reserve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expenses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25,794</w:t>
            </w:r>
          </w:p>
        </w:tc>
      </w:tr>
      <w:tr>
        <w:trPr>
          <w:trHeight w:val="20"/>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the table below for the warranty reserve activity for the three months ended March 31, 2026.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warranty reserve activity:</w:t>
            </w: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6780" w:type="dxa"/>
            <w:vAlign w:val="bottom"/>
          </w:tcPr>
          <w:p>
            <w:pPr>
              <w:spacing w:after="0"/>
              <w:rPr>
                <w:sz w:val="24"/>
                <w:szCs w:val="24"/>
                <w:color w:val="auto"/>
              </w:rPr>
            </w:pPr>
          </w:p>
        </w:tc>
        <w:tc>
          <w:tcPr>
            <w:tcW w:w="37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4"/>
                <w:szCs w:val="24"/>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beginning of period</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period deliveries</w:t>
            </w: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the warranty reserve estimate</w:t>
            </w:r>
          </w:p>
        </w:tc>
        <w:tc>
          <w:tcPr>
            <w:tcW w:w="1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end of period</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Government Grants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 (“OBBBA”)</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into law, introducing several modifications to the energy-related tax incentives originally established under the Inflation Reduction Act. The OBBBA maintained tax credits available to manufacturers and include a credit for ten percent of qualified costs incurred to make electrode active materials in addition to credits of $35 per kWh of capacity for eligible battery cells and $10 per kWh of capacity for eligible battery modules. These credits are cumulative, meaning that companies are able to claim each of the available tax credits based on the battery components produced and sold through 2029, after which the PTC will begin to gradually phase down through 2032. The OBBBA introduces new limitations related to the sourcing of materials from a prohibited foreign entity starting after December 31, 2025. These provisions restrict eligibility for credits where material assistance is received from such entities. Additionally, the OBBBA includes ownership and effective control related provisions concerning 'specified foreign entities' and 'foreign-influenced entities. The Company has evaluated the OBBBA and determined there is no impact on the financial statements. The Company will evaluate additional guidance as it becomes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Government Grants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Since the PTC is a refundable credit (i.e., a credit with a direct-pay option available), the PTC is outside the scope of ASC 740. Therefore, the Company accounts for the PTC under a government grant model. GAAP does not currently address the accounting for government grants received by a business entity that are outside the scope of ASC 740. The Company’s accounting policy is to analogize to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Government Assistance, </w:t>
      </w:r>
      <w:r>
        <w:rPr>
          <w:rFonts w:ascii="Times New Roman" w:cs="Times New Roman" w:eastAsia="Times New Roman" w:hAnsi="Times New Roman"/>
          <w:sz w:val="18"/>
          <w:szCs w:val="18"/>
          <w:color w:val="auto"/>
        </w:rPr>
        <w:t>under IFRS Accounting Standards. Under IAS 20, once it is reasonably assured that the entity will comply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the grant, the grant money is recognized on a systematic basis over the periods in which the entity recognizes the related expenses or losses for which the grant money is intended to compensate. The Company recognizes grants once it is probable that both of the following conditions will be met:</w:t>
      </w:r>
    </w:p>
    <w:p>
      <w:pPr>
        <w:spacing w:after="0" w:line="5" w:lineRule="exact"/>
        <w:rPr>
          <w:sz w:val="20"/>
          <w:szCs w:val="20"/>
          <w:color w:val="auto"/>
        </w:rPr>
      </w:pPr>
    </w:p>
    <w:p>
      <w:pPr>
        <w:ind w:right="2020" w:firstLine="8"/>
        <w:spacing w:after="0" w:line="404"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eligible to receive the grant and (2) the Company is able to comply with the relevant conditions of the grant. The PTC is recorded as the applicable items become finished goods and the conditions in the preceding paragraph are met.</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PTC credits of $10,341 and $1,799 for three months ended March 31, 2026 and 2025, respectively as a reduction of cost of goods sold on the Unaudited Condensed Consolidated Statements of Operations and Comprehensive Income. As of March 31, 2026, and December 31, 2025, grant receivable related to the PTC in the amount of $21,369 and $11,028, respectively, is recorded in the Unaudited Condensed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and Securities Purchase Transaction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Company entered into a Securities Purchase Agreement (the “SPA”) with CCM Denali Equity Holdings, LP. Additionally, the Company also entered into a Credit Agreement with CCM Denali Debt Holdings, LP, an affiliate of Cerberus Capital Management LP (“Cerberus”, “Lender”). The SPA and the Credit and Guaranty Agreement are collectively referred to as the “Credit and Securities Purchase Transaction”. Pursuant to the terms and conditions of Credit and Securities Purchase Transaction, Cerberus and CCM Denali Equity Holdings, LP, are considered related parties as result of the transactions.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incurred advisory fees of $668 and $670, respectively. During the three months ended March 31, 2026 and March 31, 2025 the Company incurred manufacturing costs of $0 and $241, respectively. The fees are from two vendors affiliated with Cerberus and are included in Cost of goods sold, Selling, general and administrative expenses in the Unaudited Condensed Consolidated Statements of Operations and Comprehensive Income and Intangible assets, net in the Unaudited Condensed Consolidated Balance Sheets.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amounts due to these vendors affiliated with Cerberus were $453 and $285, respectively. These amounts are included in Accounts payable and Accrued expenses in the Unaudited Condensed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Borrowings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obligations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c>
          <w:tcPr>
            <w:tcW w:w="140" w:type="dxa"/>
            <w:vAlign w:val="bottom"/>
            <w:vMerge w:val="restart"/>
          </w:tcPr>
          <w:p>
            <w:pPr>
              <w:spacing w:after="0"/>
              <w:rPr>
                <w:sz w:val="14"/>
                <w:szCs w:val="14"/>
                <w:color w:val="auto"/>
              </w:rPr>
            </w:pPr>
          </w:p>
        </w:tc>
        <w:tc>
          <w:tcPr>
            <w:tcW w:w="128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6"/>
                <w:szCs w:val="16"/>
                <w:b w:val="1"/>
                <w:bCs w:val="1"/>
                <w:color w:val="auto"/>
              </w:rPr>
              <w:t>Effective</w:t>
            </w:r>
          </w:p>
        </w:tc>
        <w:tc>
          <w:tcPr>
            <w:tcW w:w="160" w:type="dxa"/>
            <w:vAlign w:val="bottom"/>
          </w:tcPr>
          <w:p>
            <w:pPr>
              <w:spacing w:after="0"/>
              <w:rPr>
                <w:sz w:val="14"/>
                <w:szCs w:val="14"/>
                <w:color w:val="auto"/>
              </w:rPr>
            </w:pPr>
          </w:p>
        </w:tc>
        <w:tc>
          <w:tcPr>
            <w:tcW w:w="122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0" w:type="dxa"/>
            <w:vAlign w:val="bottom"/>
          </w:tcPr>
          <w:p>
            <w:pPr>
              <w:spacing w:after="0"/>
              <w:rPr>
                <w:sz w:val="1"/>
                <w:szCs w:val="1"/>
                <w:color w:val="auto"/>
              </w:rPr>
            </w:pPr>
          </w:p>
        </w:tc>
      </w:tr>
      <w:tr>
        <w:trPr>
          <w:trHeight w:val="214"/>
        </w:trPr>
        <w:tc>
          <w:tcPr>
            <w:tcW w:w="30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 Draw Term Loan</w:t>
            </w:r>
          </w:p>
        </w:tc>
        <w:tc>
          <w:tcPr>
            <w:tcW w:w="1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June 2034</w:t>
            </w:r>
            <w:r>
              <w:rPr>
                <w:rFonts w:ascii="Times New Roman" w:cs="Times New Roman" w:eastAsia="Times New Roman" w:hAnsi="Times New Roman"/>
                <w:sz w:val="9"/>
                <w:szCs w:val="9"/>
                <w:color w:val="auto"/>
              </w:rPr>
              <w:t>(1)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150,427</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 related party</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150,427</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 facility</w:t>
            </w:r>
          </w:p>
        </w:tc>
        <w:tc>
          <w:tcPr>
            <w:tcW w:w="1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April 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2025 Convertible Notes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June 2030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2025 Convertible Notes</w:t>
            </w:r>
          </w:p>
        </w:tc>
        <w:tc>
          <w:tcPr>
            <w:tcW w:w="1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December 2031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530,096</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DOE Loan Facility</w:t>
            </w:r>
          </w:p>
        </w:tc>
        <w:tc>
          <w:tcPr>
            <w:tcW w:w="160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June 2034</w:t>
            </w:r>
            <w:r>
              <w:rPr>
                <w:rFonts w:ascii="Times New Roman" w:cs="Times New Roman" w:eastAsia="Times New Roman" w:hAnsi="Times New Roman"/>
                <w:sz w:val="9"/>
                <w:szCs w:val="9"/>
                <w:color w:val="auto"/>
              </w:rPr>
              <w:t>(1)</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9"/>
                <w:szCs w:val="9"/>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813,266</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 non-current</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812,894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Carrying value includes unamortized deferred financing costs, unamortized discounts and fair value of embedded derivative liabilities, except for the Delayed Draw Term Loan, which is carried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fair value.</w:t>
      </w:r>
    </w:p>
    <w:p>
      <w:pPr>
        <w:spacing w:after="0" w:line="3"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DDTL and DOE Loan Facility contain Springing Maturity dates that could make the debt due March 14, 2030.</w:t>
      </w:r>
    </w:p>
    <w:p>
      <w:pPr>
        <w:spacing w:after="0" w:line="48"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represents a weighted average of both draws under the DOE Loan facility The first draw has a effective interest rate of 7.6% and the second draw has an effective interest rate of 8.0%.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 Payable – Related Party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2021, the Company entered into an investment agreement with Spring Creek Capital, LLC, a wholly-owned, indirect subsidiary of Koch Industries. This investment agreement was entered into with B. Riley Securities, Inc., a related party, acted as a placement agent. The investment agreement provides for the issuance and sale to Koch Industries of the 2021 Convertible Note in the aggregate principal amount of $100,000. The maturity date of the 2021 Convertible Notes was June 30, 2026, subject to earlier conversion, redemption or repurchase.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2021 Convertible Note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0"/>
        </w:trPr>
        <w:tc>
          <w:tcPr>
            <w:tcW w:w="6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the 2021 Convertible Notes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2025, the Company repurchased the full $122,868 aggregate principal amount, in addition to $3,072 of interest payable outstanding for $131,000 inclusive of a repurchase premium in a privately negotiated transaction. The holder of the 2021 Convertible Notes was contingently required to reimburse the Company for up to $5,000 of the repurchase premium based on the holders overall return on its investment in the Company. On June 13, 2025, the Company received the $5,000 repurchase premium. Neither the holder of the 2021 Convertible Notes, nor the Company have any outstanding contractual obligations. Absent termination, the 2021 Convertible Notes would have matured on June 30, 2026.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AFG Convertible Notes - Related Party</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2023, the Company issued and sold $13,750 in aggregate principal amount of 26.5% Convertible Senior PIK Notes due 2026 (“AFG Convertible Notes”) to Great American Insurance Company, Ardsley Partners Renewable Energy, LP, CCI SPV III, LP, Denman Street LLC, John B. Bending Irrevocable Children’s Trust, John B. Berding and AE Convert, LLC (the "Affiliated Purchasers") (together, the “Purchasers”). AE Convert LLC, a Delaware limited liability company was managed by Russell Stidolph, a related party as Mr. Stidolph was a director of the Company. The AFG Convertible Notes bear interest at a rate of 26.5% per annum, as amended, to be reduced to 7.0%, commencing on June 30, 2026 (the “Original Maturity Date”), which is entirely paid-in-kind (“PIK Interest”) semi-annually in arrears on June 30 and December 30. It was expected that the AFG Convertible Notes would have matured on September 30, 2034, subject to earlier conversion, redemption or repurchase.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Conversion of AFG Convertible Notes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 2025, the Company issued a Notice of Redemption of Non-Affiliated Holders for all outstanding AFG Convertible Notes, pursuant to which the Company intended to fully redeem the AFG Convertible Notes (other than those held by the Affiliated Purchaser) on August 18, 2025 for a redemption price equal to the then current capitalized principal amount of the AFG Convertible Notes (other than those held by the Affiliated Purchaser) plus the aggregate amount of all accrued and unpaid or uncapitalized interest payments on the capitalized principal amount of the AFG Convertible Notes (other than those held by the Affiliated Purchaser) that the holders of the AFG Convertible Notes to be redeemed would have been entitled to receive had the AFG Convertible Notes remained outstanding to June 30, 2026. In accordance with the terms of the AFG Indenture and the Notice of Redemption of Non-Affiliated Holders, each of the holders of the AFG Convertible Notes (other than those held by the Affiliated Purchaser) opted to exercise its conversion right to convert all of such holder’s outstanding AFG Convertible Notes into shares of Common Stock at a conversion rate equal to 598.8024 shares of Common Stock per $1,000 capitalized principal amount of AFG Convertible Notes. During the third quarter of 2025, the Company issued 16,578,810 shares of Common Stock in the aggregate to such holders of the AFG Convertible Notes (other than those held by the Affiliated Purchaser).</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Special Meeting of Stockholders of the Company, held on October 16, 2025, the Company’s stockholders approved, for purposes of complying with Nasdaq Listing Rules, including, but not limited to, Rule 5635, the Company’s issuance of shares of the Company’s common stock to the Affiliated Purchaser upon redemption or conversion of the AFG Convertible Notes pursuant to the AFG Indenture as supplemented by the First Supplemental Indenture. After obtaining the stockholder approval the Company issued a notice of redemption to the Affiliated Purchaser on October 24, 2025 for all outstanding AFG Convertible Notes held by the Affiliated Purchaser, pursuant to which the Company intended to fully redeem the remaining AFG Convertible Notes on November 10, 2025 for a redemption price equal to the then current capitalized principal amount of the AFG Convertible Notes plus the aggregate amount of all accrued and unpaid or uncapitalized interest payments on the capitalized principal amount of the AFG Convertible Notes that the Affiliated Purchaser would have been entitled to receive had the AFG Convertible Notes remained outstanding at the Original Maturity Date. On October 28, 2025, in accordance with the terms of the AFG Indenture and the notice of redemption, the Affiliated Purchaser opted to exercise its conversion right to convert all of its outstanding AFG Convertible Notes into shares of Common Stock at a conversion rate equal to 598.8024 shares of Common Stock per $1,000 capitalized principal amount of AFG Convertible Notes. During the fourth quarter of 2025, the Company issued 2,863,291 shares of Common Stock to the Affiliated Purchaser.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recognized on the AFG Convertible Notes is as follows:</w:t>
            </w:r>
          </w:p>
        </w:tc>
        <w:tc>
          <w:tcPr>
            <w:tcW w:w="1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6700" w:type="dxa"/>
            <w:vAlign w:val="bottom"/>
          </w:tcPr>
          <w:p>
            <w:pPr>
              <w:spacing w:after="0"/>
              <w:rPr>
                <w:sz w:val="24"/>
                <w:szCs w:val="24"/>
                <w:color w:val="auto"/>
              </w:rPr>
            </w:pPr>
          </w:p>
        </w:tc>
        <w:tc>
          <w:tcPr>
            <w:tcW w:w="37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5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auto"/>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0"/>
        </w:trPr>
        <w:tc>
          <w:tcPr>
            <w:tcW w:w="6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Term Loan (“DDTL”)</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Credit Agreement the Company entered into a multi-draw facility (the “Delayed Draw Term Loan” or “DDTL”) on June 21, 2024, with CCM Denali Debt Holdings, LP, the Company drew an aggregate principal amount of $210,500 through multiple tranches upon satisfaction of the applicable milestone requirements. The draws were subject to a 5.0% original issue discount and applicable lender fees. The total net proceeds of approximately $198,800. Additionally, as part of the strategic investment under the Credit and Guaranty Agreement, the Company may access a $105,000 revolving facility at the sole discretion of the Lenders’ as the Delayed Draw Term Loan has been fully funded as of January 24,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28, 2025, the Company amended the Credit Agreement, by and among the Company, certain of the Company’s subsidiaries as guarantors party thereto and the Lender, pursuant to which among other things, the applicability of the Minimum Consolidated Revenue and Minimum Consolidated Earnings before interest, tax, depreciation and amortization ("EBITDA") financial covenants were deferred until March 31, 2027 and certain provisions were amended to conform with comparable provisions in the DOE Loan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as amended, contains the following financial covenants, including (each as defined in the Credit Agreement, as amended):</w:t>
      </w:r>
    </w:p>
    <w:p>
      <w:pPr>
        <w:spacing w:after="0" w:line="14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EBITDA - not applicable for March 31, 2026.</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Consolidated Revenue - not applicable for March 31, 2026.</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Liquidity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and for the three months ended March 31, 2026, the Company was in compliance with the Minimum Liquidity financial covenant.</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facilities are subject to certain events of default which can be triggered by, among other things, (i) breach of payment obligations and other obligations and representations in the Credit Agreement or related documents, (ii) default under other debt facilities with a principal above a predetermined amount,</w:t>
      </w:r>
    </w:p>
    <w:p>
      <w:pPr>
        <w:spacing w:after="0" w:line="1" w:lineRule="exact"/>
        <w:rPr>
          <w:sz w:val="20"/>
          <w:szCs w:val="20"/>
          <w:color w:val="auto"/>
        </w:rPr>
      </w:pPr>
    </w:p>
    <w:p>
      <w:pPr>
        <w:jc w:val="both"/>
        <w:ind w:firstLine="8"/>
        <w:spacing w:after="0" w:line="244" w:lineRule="auto"/>
        <w:tabs>
          <w:tab w:leader="none" w:pos="3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comply with certain covenants in the Credit Agreement, (iv) entry into a decree or order for relief in respect of the Company or any of its subsidiaries in an involuntary case under the Bankruptcy Code of the United States or under any other debtor relief law, (v) any money judgment, writ or warrant of attachment or similar process involving in the aggregate at any time an amount in excess of $2,500, (vi) any order, judgment or decree entered against the Company or the Guarantors decreeing the dissolution or split up of such entity, (vii) the failure of the common stock to be listed on an internationally recognized stock exchange in the United States and (viii) a change of control.</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elected the fair value option to account for all draws under the DDTL for operational purposes. The financial liability was initially measured at its issue-date fair value and is subsequently remeasured at fair value on a recurring basis at each reporting period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7680"/>
        <w:spacing w:after="0"/>
        <w:tabs>
          <w:tab w:leader="none" w:pos="99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Loss on change in fair value</w:t>
            </w:r>
            <w:r>
              <w:rPr>
                <w:rFonts w:ascii="Times New Roman" w:cs="Times New Roman" w:eastAsia="Times New Roman" w:hAnsi="Times New Roman"/>
                <w:sz w:val="23"/>
                <w:szCs w:val="23"/>
                <w:color w:val="auto"/>
                <w:vertAlign w:val="superscript"/>
              </w:rPr>
              <w:t>(a)</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30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attributable to changes in instrument-specific credit risk</w:t>
            </w:r>
            <w:r>
              <w:rPr>
                <w:rFonts w:ascii="Times New Roman" w:cs="Times New Roman" w:eastAsia="Times New Roman" w:hAnsi="Times New Roman"/>
                <w:sz w:val="23"/>
                <w:szCs w:val="23"/>
                <w:color w:val="auto"/>
                <w:vertAlign w:val="superscript"/>
              </w:rPr>
              <w:t>(b)</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41,539</w:t>
            </w:r>
          </w:p>
        </w:tc>
        <w:tc>
          <w:tcPr>
            <w:tcW w:w="100" w:type="dxa"/>
            <w:vAlign w:val="bottom"/>
          </w:tcPr>
          <w:p>
            <w:pPr>
              <w:spacing w:after="0"/>
              <w:rPr>
                <w:sz w:val="24"/>
                <w:szCs w:val="24"/>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right="1800" w:firstLine="8"/>
        <w:spacing w:after="0" w:line="464"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is included in Change in fair value of debt - related party on the Unaudited Condensed Consolidated Statements of Operations and Comprehensive Income. (b)This is included in Change in fair value of debt - credit risk - related party in Accumulated other comprehensive (loss) income.</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did not separately report interest expense attributable to the DDTL because such interest was included in the determination of the fair value of the Note. See Note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the assumptions used to determine the fair value the Delayed Draw Term Loan at issuance and at March 31, 2026.</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Interest Rates </w:t>
      </w:r>
      <w:r>
        <w:rPr>
          <w:rFonts w:ascii="Times New Roman" w:cs="Times New Roman" w:eastAsia="Times New Roman" w:hAnsi="Times New Roman"/>
          <w:sz w:val="18"/>
          <w:szCs w:val="18"/>
          <w:color w:val="auto"/>
        </w:rPr>
        <w:t>- Borrowings under the Credit Agreement bear interest at an annual rate equal to 7.0% per annum (as amended),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increases: (i) an additional 5.0% per annum upon the occurrence of an event of default under the Credit Agreement. The Company may elect to add accrued and unpaid interest on the loans to the principal amount of the loans (capitalized interest).</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 The Maturity Date is defined as the earlier of (i) June 15, 2034, and (ii) the date that all the loans shall become due and payable in full,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acceleration or otherwise; provided that, if on any Springing Maturity Date any Convertible Notes remain outstanding, the Maturity Date shall instead be the Springing Maturity. The Springing Maturity Date is defined as the 91st day prior to the date on which any convertible note may be redeemed, repurchased, converted, or exchanged in satisfaction of the obligations (“Convertible Note Maturity”). As of March 31, 2026, the May 2025 Convertible Notes and November 2025 Convertible Notes, remain outstanding and are scheduled to mature on June 15, 2030 and December 1, 2031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 Amount of</w:t>
            </w:r>
          </w:p>
        </w:tc>
        <w:tc>
          <w:tcPr>
            <w:tcW w:w="100" w:type="dxa"/>
            <w:vAlign w:val="bottom"/>
          </w:tcPr>
          <w:p>
            <w:pPr>
              <w:spacing w:after="0"/>
              <w:rPr>
                <w:sz w:val="18"/>
                <w:szCs w:val="18"/>
                <w:color w:val="auto"/>
              </w:rPr>
            </w:pPr>
          </w:p>
        </w:tc>
        <w:tc>
          <w:tcPr>
            <w:tcW w:w="20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Coupon Interest</w:t>
            </w:r>
          </w:p>
        </w:tc>
        <w:tc>
          <w:tcPr>
            <w:tcW w:w="380" w:type="dxa"/>
            <w:vAlign w:val="bottom"/>
          </w:tcPr>
          <w:p>
            <w:pPr>
              <w:spacing w:after="0"/>
              <w:rPr>
                <w:sz w:val="18"/>
                <w:szCs w:val="18"/>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Debt Issuance</w:t>
            </w:r>
          </w:p>
        </w:tc>
      </w:tr>
      <w:tr>
        <w:trPr>
          <w:trHeight w:val="26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 Draw</w:t>
            </w:r>
          </w:p>
        </w:tc>
        <w:tc>
          <w:tcPr>
            <w:tcW w:w="300" w:type="dxa"/>
            <w:vAlign w:val="bottom"/>
          </w:tcPr>
          <w:p>
            <w:pPr>
              <w:spacing w:after="0"/>
              <w:rPr>
                <w:sz w:val="23"/>
                <w:szCs w:val="23"/>
                <w:color w:val="auto"/>
              </w:rPr>
            </w:pP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Initial Draw</w:t>
            </w:r>
          </w:p>
        </w:tc>
        <w:tc>
          <w:tcPr>
            <w:tcW w:w="100" w:type="dxa"/>
            <w:vAlign w:val="bottom"/>
          </w:tcPr>
          <w:p>
            <w:pPr>
              <w:spacing w:after="0"/>
              <w:rPr>
                <w:sz w:val="23"/>
                <w:szCs w:val="23"/>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80" w:type="dxa"/>
            <w:vAlign w:val="bottom"/>
          </w:tcPr>
          <w:p>
            <w:pPr>
              <w:spacing w:after="0"/>
              <w:rPr>
                <w:sz w:val="23"/>
                <w:szCs w:val="23"/>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04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8"/>
        </w:trPr>
        <w:tc>
          <w:tcPr>
            <w:tcW w:w="5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Equipment Financing loans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total equipment financing carrying value was $0 and $372, respectively of which $0 and $372 are recorded as a current liability on the Unaudited Condensed Consolidated Balance Sheets, respectively. As of March 31, 2026 the Equipment Financing Facility has been terminated.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attributable to the equipment financing agreement was $52 and $82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2025 Convertible Notes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 2025, the Company issued $225,000 principal amounts of its May 2025 Convertible Notes. The Company granted initial purchasers an option to purchase, for settlement within a period of thirteen days from the date the May 2025 Convertible Notes were first issued, up to an additional $25,000 principal amounts which were exercised in full. The May 2025 Convertible Notes will accrue interest at a rate of 6.75% per annum, payable semi-annually in arrears on June 15 and December 15, beginning on December 15,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May 2025 Convertible Notes will mature on June 15, 2030, absent conditions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Conversion Rights - </w:t>
      </w:r>
      <w:r>
        <w:rPr>
          <w:rFonts w:ascii="Times New Roman" w:cs="Times New Roman" w:eastAsia="Times New Roman" w:hAnsi="Times New Roman"/>
          <w:sz w:val="18"/>
          <w:szCs w:val="18"/>
          <w:color w:val="auto"/>
        </w:rPr>
        <w:t>The May 2025 Convertible Notes can be converted into shares of our common stock under certain conditions before March 15, 2030:</w:t>
      </w:r>
    </w:p>
    <w:p>
      <w:pPr>
        <w:spacing w:after="0" w:line="144" w:lineRule="exact"/>
        <w:rPr>
          <w:sz w:val="20"/>
          <w:szCs w:val="20"/>
          <w:color w:val="auto"/>
        </w:rPr>
      </w:pPr>
    </w:p>
    <w:p>
      <w:pPr>
        <w:ind w:left="660" w:right="2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Price Trigger: </w:t>
      </w:r>
      <w:r>
        <w:rPr>
          <w:rFonts w:ascii="Times New Roman" w:cs="Times New Roman" w:eastAsia="Times New Roman" w:hAnsi="Times New Roman"/>
          <w:sz w:val="18"/>
          <w:szCs w:val="18"/>
          <w:color w:val="auto"/>
        </w:rPr>
        <w:t>If, during any calendar quarter starting after September 30, 2025, our stock price closes above 130% of the conversion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at least 20 out of the last 30 trading days of that quarter.</w:t>
      </w:r>
    </w:p>
    <w:p>
      <w:pPr>
        <w:spacing w:after="0" w:line="8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Price Condition: </w:t>
      </w:r>
      <w:r>
        <w:rPr>
          <w:rFonts w:ascii="Times New Roman" w:cs="Times New Roman" w:eastAsia="Times New Roman" w:hAnsi="Times New Roman"/>
          <w:sz w:val="18"/>
          <w:szCs w:val="18"/>
          <w:color w:val="auto"/>
        </w:rPr>
        <w:t>If, during a 10-day period, the trading price of the notes falls below 98% of the product of the last reported sale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of our common stock on such trading day and the conversion rate on such trading day, then conversion is allowed during the five business days that follow.</w:t>
      </w:r>
    </w:p>
    <w:p>
      <w:pPr>
        <w:spacing w:after="0" w:line="1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Events: </w:t>
      </w:r>
      <w:r>
        <w:rPr>
          <w:rFonts w:ascii="Times New Roman" w:cs="Times New Roman" w:eastAsia="Times New Roman" w:hAnsi="Times New Roman"/>
          <w:sz w:val="18"/>
          <w:szCs w:val="18"/>
          <w:color w:val="auto"/>
        </w:rPr>
        <w:t>Upon the occurrence of certain corporate events or distributions on our common stock, as described in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w:t>
      </w:r>
    </w:p>
    <w:p>
      <w:pPr>
        <w:spacing w:after="0" w:line="73" w:lineRule="exact"/>
        <w:rPr>
          <w:rFonts w:ascii="Times New Roman" w:cs="Times New Roman" w:eastAsia="Times New Roman" w:hAnsi="Times New Roman"/>
          <w:sz w:val="18"/>
          <w:szCs w:val="18"/>
          <w:color w:val="auto"/>
        </w:rPr>
      </w:pPr>
    </w:p>
    <w:p>
      <w:pPr>
        <w:ind w:right="60" w:firstLine="332"/>
        <w:spacing w:after="0" w:line="417" w:lineRule="auto"/>
        <w:tabs>
          <w:tab w:leader="none" w:pos="6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If the Company calls such notes for redemption on or after June 20, 2028, then the holders may choose to convert them at that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March 15, 2030, the notes can be converted at any time until two trading days prior to maturity.</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conversion price is approximately $5.10 per share, and the Company may choose to settle conversions in stock, cash or a mix of both. The conversion price is subject to customary adjustments upon the occurrence of certain events. If a make-whole fundamental change (as defined in the May 2025 Convertible Notes Indenture) occurs, the conversion rate may temporarily increase to provide additional value.</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 The May 2025 Convertible Notes will be redeemable, in whole or in part, at the Company’s option at any time, and from time to time,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June 20,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May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Embedded Derivatives </w:t>
      </w:r>
      <w:r>
        <w:rPr>
          <w:rFonts w:ascii="Times New Roman" w:cs="Times New Roman" w:eastAsia="Times New Roman" w:hAnsi="Times New Roman"/>
          <w:sz w:val="18"/>
          <w:szCs w:val="18"/>
          <w:color w:val="auto"/>
        </w:rPr>
        <w:t>- The May 2025 Convertible Notes include certain embedded features, such as provisions for fundamental change,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special interest and indemnification. In accordance with ASC 815, the Company assessed these embedded features to determine whether bifurcation and separate accounting as derivatives was required. Although these features are not clearly and closely related to the host debt contract and meet the definition of a derivative under ASC 815, the Company determined that the combined fair value of these embedded derivatives is de minimis. Accordingly, these features have not been bifurcated from the host contract and are not accounted for separately. The Company will continue to evaluate these features for any changes in facts or circumstances that may warrant reconsideration of this assessment.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conversion feature embedded in the May 2025 Convertible Notes qualifies for the scope exception under ASC 815-40 and, therefore, is not required to be bifurcated and accounted for separately.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recognized on the May 2025 Convertible Notes is as follows:</w:t>
            </w: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7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1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86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carrying value for the May 2025 Convertible Notes is as follows:</w:t>
            </w:r>
          </w:p>
        </w:tc>
        <w:tc>
          <w:tcPr>
            <w:tcW w:w="3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obligated to repay all contractual interest attributable to the May 2025 Convertible Notes on a semi-annual basis in cash. As of March 31, 2026 and December 31, 2025, $984 and $141, respectively, of interest payable attributable for the May 2025 Convertible Notes was included in Accrued expenses in the Unaudited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2025 Convertible Notes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2025, the Company issued $525,000 principal amounts of its November 2025 Convertible Notes. The Company granted initial purchasers an option to purchase, for settlement within a period of thirteen days from the date the November 2025 Convertible Notes were first issued, up to an additional $75,000 principal amounts which were exercised in full on November 24, 2025. The November 2025 Convertible Notes will accrue interest at a rate of 1.75% per annum, payable semi-annually in arrears on June 1 and December 1 of each year, beginning on June 1, 2026.</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The November 2025 Convertible Notes will mature on December 1, 2031, absent conditions described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Conversion Rights - </w:t>
      </w:r>
      <w:r>
        <w:rPr>
          <w:rFonts w:ascii="Times New Roman" w:cs="Times New Roman" w:eastAsia="Times New Roman" w:hAnsi="Times New Roman"/>
          <w:sz w:val="18"/>
          <w:szCs w:val="18"/>
          <w:color w:val="auto"/>
        </w:rPr>
        <w:t>The November 2025 Convertible Notes can be converted into shares of our common stock under certain conditions before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 2031:</w:t>
      </w:r>
    </w:p>
    <w:p>
      <w:pPr>
        <w:spacing w:after="0" w:line="74" w:lineRule="exact"/>
        <w:rPr>
          <w:sz w:val="20"/>
          <w:szCs w:val="20"/>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Price Trigger: </w:t>
      </w:r>
      <w:r>
        <w:rPr>
          <w:rFonts w:ascii="Times New Roman" w:cs="Times New Roman" w:eastAsia="Times New Roman" w:hAnsi="Times New Roman"/>
          <w:sz w:val="18"/>
          <w:szCs w:val="18"/>
          <w:color w:val="auto"/>
        </w:rPr>
        <w:t>If, during any calendar quarter starting after June 30, 2026, our stock price closes above 130% of the conversion price for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20 out of 30 trading days ending on, and including, the trading day immediately before the date the Company sends the related redemption notice.</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Price Condition: </w:t>
      </w:r>
      <w:r>
        <w:rPr>
          <w:rFonts w:ascii="Times New Roman" w:cs="Times New Roman" w:eastAsia="Times New Roman" w:hAnsi="Times New Roman"/>
          <w:sz w:val="18"/>
          <w:szCs w:val="18"/>
          <w:color w:val="auto"/>
        </w:rPr>
        <w:t>If, during a 10-day period, the trading price of the notes falls below 98% of the product of the last reported sale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of our common stock on such trading day and the conversion rate on such trading day, then conversion is allowed during the five business days that follow.</w:t>
      </w:r>
    </w:p>
    <w:p>
      <w:pPr>
        <w:spacing w:after="0" w:line="10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Events: </w:t>
      </w:r>
      <w:r>
        <w:rPr>
          <w:rFonts w:ascii="Times New Roman" w:cs="Times New Roman" w:eastAsia="Times New Roman" w:hAnsi="Times New Roman"/>
          <w:sz w:val="18"/>
          <w:szCs w:val="18"/>
          <w:color w:val="auto"/>
        </w:rPr>
        <w:t>Upon the occurrence of certain corporate events or distributions on our common stock, as described in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memorandum.</w:t>
      </w:r>
    </w:p>
    <w:p>
      <w:pPr>
        <w:spacing w:after="0" w:line="73"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If the Company calls such notes for redemption on or after December 5, 2028, then the holders may choose to convert them at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September 3, 2031, the notes can be converted at any time until two trading days prior to 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conversion price is approximately $16.29 per share, and the Company may choose to settle conversions in stock, cash or a mix of both. The conversion price is subject to customary adjustments upon the occurrence of certain events. If a make-whole fundamental change (as defined in the November 2025 Convertible Notes Indenture) occurs, the conversion rate may temporarily increase to provide additional value.</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Redemption </w:t>
      </w:r>
      <w:r>
        <w:rPr>
          <w:rFonts w:ascii="Times New Roman" w:cs="Times New Roman" w:eastAsia="Times New Roman" w:hAnsi="Times New Roman"/>
          <w:sz w:val="18"/>
          <w:szCs w:val="18"/>
          <w:color w:val="auto"/>
        </w:rPr>
        <w:t>- The November 2025 Convertible Notes will be redeemable, in whole or in part, at the Company’s option at any time, and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after December 5, 2028 and on or before the 41st scheduled trading day immediately before the maturity date, but only if certain liquidity conditions are satisfied and the last reported sale price per shares of the Company’s common stock exceeds 130% of the conversion price on (i) each of at least 20 trading days, whether or not consecutive, during the thirty consecutive trading days ending on, and including, the trading day immediately before the date the Company sends the related redemption notice; and (ii) the trading day immediately before the date the Company sends such redemption notice. However, the Company may not redeem less than all of the outstanding notes unless at least $75,000 aggregate principal amount of notes are outstanding and not called for redemption as of the time the Company sends the related redemption notice. The redemption price is equivalent to the principal amount of the November 2025 Convertible Notes called for redemption, plus accrued and unpaid interest.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 Prior to obtaining shareholder approval for the issuance of common stock upon conversion, the Company will be required to settle all conversions in cash.</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Embedded Derivatives </w:t>
      </w:r>
      <w:r>
        <w:rPr>
          <w:rFonts w:ascii="Times New Roman" w:cs="Times New Roman" w:eastAsia="Times New Roman" w:hAnsi="Times New Roman"/>
          <w:sz w:val="18"/>
          <w:szCs w:val="18"/>
          <w:color w:val="auto"/>
        </w:rPr>
        <w:t>- The November 2025 Convertible Notes include certain embedded features, such as provisions for fundamental change,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special interest, conversion feature and indemnification. In accordance with ASC 815, the Company assessed these embedded features to determine whether bifurcation and separate accounting as derivatives was required. The Company concluded the embedded features meet the bifurcation criteria because the economic characteristics and the risks of the embedded features are not clearly and closely related to the debt host, the host is not remeasured at fair value and the embedded features would meet the definition of a derivative if freestanding. The Company also evaluated indexation and equity classification guidance with respect to the conversion feature. Although the conversion feature is considered indexed to the Company's own stock, it does not qualify for equity classification at issuance, as prior to the first date on which the Company reserves the maximum number of convertible shares, and before shareholder approval is obtained to authorize additional shares, all conversions are required to be cash-settled, and shareholder approval to increase authorized shares is not solely within the Company's control. As a result, the conversion feature did not qualify for the derivative scope exception in ASC 815 at issuance. At issuance, the Company recognized the embedded derivative at its fair value, with an offset to debt discount. The embedded derivative is remeasured at fair value each reporting period, and changes in fair value are recognized in Change in fair value of derivatives on the Company’s Unaudited Condensed Consolidated Statements of Operations and Comprehensive Income. The Company will continue to evaluate these features for any changes in facts or circumstances that may warrant reconsideration of this assessment.</w:t>
      </w:r>
    </w:p>
    <w:p>
      <w:pPr>
        <w:sectPr>
          <w:pgSz w:w="11900" w:h="16838" w:orient="portrait"/>
          <w:cols w:equalWidth="0" w:num="1">
            <w:col w:w="11240"/>
          </w:cols>
          <w:pgMar w:left="320" w:top="121" w:right="33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November 2025 Convertible Notes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for the November 2025 Convertible Notes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r>
      <w:tr>
        <w:trPr>
          <w:trHeight w:val="218"/>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30"/>
        </w:trPr>
        <w:tc>
          <w:tcPr>
            <w:tcW w:w="40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w:t>
            </w:r>
          </w:p>
        </w:tc>
      </w:tr>
      <w:tr>
        <w:trPr>
          <w:trHeight w:val="234"/>
        </w:trPr>
        <w:tc>
          <w:tcPr>
            <w:tcW w:w="4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10,679</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bl>
    <w:p>
      <w:pPr>
        <w:spacing w:after="0" w:line="483" w:lineRule="exact"/>
        <w:rPr>
          <w:sz w:val="20"/>
          <w:szCs w:val="20"/>
          <w:color w:val="auto"/>
        </w:rPr>
      </w:pPr>
    </w:p>
    <w:p>
      <w:pPr>
        <w:sectPr>
          <w:pgSz w:w="11900" w:h="16838" w:orient="portrait"/>
          <w:cols w:equalWidth="0" w:num="2">
            <w:col w:w="6380" w:space="720"/>
            <w:col w:w="4140"/>
          </w:cols>
          <w:pgMar w:left="320" w:top="121"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(298,297)</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Embedded conversion feature</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228,719</w:t>
            </w:r>
          </w:p>
        </w:tc>
      </w:tr>
      <w:tr>
        <w:trPr>
          <w:trHeight w:val="248"/>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530,096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obligated to repay all contractual interest attributable to the November 2025 Convertible Notes on a semi-annual basis in cash. As of March 31, 2026 and December 31, 2025, $3,675 and $1,050, respectively, of interest payable attributable for the November 2025 Convertible Notes was included in Accrued expenses in the Unaudited Condensed Consolidated Balance Sheets.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DOE Loan Facility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2024, the Company entered into a loan agreement with the United States Federal Financing Bank ("FFB") and the United States DOE Loan Programs Office (“LPO”) (“the DOE Loan Facility"). The loan provides for a principal amount of up to $277,497 of borrowings and capitalized interest amount of up to $25,953.</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DOE Loan Facility provides for a multi draw term loan facility under a series of at least two tranches and, if the Company elects, up to four tranches of the loan (each, a “Tranche”), subject to the achievement of certain funding conditions. Each Tranche corresponds to the production, maintenance, development, and operation of a given production line to be funded using the proceeds of such Tranche. The principal amount of each Tranche consists of a maximum principal amount designated for such Tranche in the DOE Loan Facility. Each Tranche provides the Company funding for 80% of the Eligible Project Costs. Eligible Project Costs means Project Costs that satisfy each of the following conditions: (a) DOE has determined the Project Costs to be eligible costs in accordance with Sections 609.2 and 609.10 of the Applicable Regulations; (b) the Project Costs have not been paid and are not expected to be paid any time after the First Advance Date with: (i) any federal grants, assistance, or loans (excluding the DOE Loan Facility); or (ii) other funds guaranteed by the Federal Government; (c) the Project Costs are identified in the Construction Budget; (d) the Project Costs do not constitute Cost Overruns; and (e) the Project Costs were incurred after the Eligibility Effective Date.) associated with the corresponding production line, with the Company responsible for funding the remaining 20% of the Project Costs.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2025, the Company amended the DOE Loan Facility in order to clarify the maximum Tranche Commitment principal amounts by excluding capitalized interest (Tranche 1: $90,945; Tranche 2: $106,733; Tranche 3: $67,529; and Tranche 4: $12,290). The Amendment did not materially alter rights, obligations, or meaning of the DOE Loan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DOE Loan Facility draw-downs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Date of Draw</w:t>
            </w:r>
          </w:p>
        </w:tc>
        <w:tc>
          <w:tcPr>
            <w:tcW w:w="10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Gross Amount of Initial Draw</w:t>
            </w:r>
          </w:p>
        </w:tc>
        <w:tc>
          <w:tcPr>
            <w:tcW w:w="2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Tranche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90,945</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Draw-downs received November 2024</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4.791 %</w:t>
            </w:r>
          </w:p>
        </w:tc>
      </w:tr>
      <w:tr>
        <w:trPr>
          <w:trHeight w:val="230"/>
        </w:trPr>
        <w:tc>
          <w:tcPr>
            <w:tcW w:w="73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Draw-downs received July 2025</w:t>
            </w: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4.286 %</w:t>
            </w: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Balance available on Tranche 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drawn on Tranches 2, 3 or 4 as of March 31,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recognized on the DOE Loan Facility is as follows: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1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carrying value for the DOE Loan Facility is as follows:</w:t>
            </w: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(life to date draw-downs)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90,945</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PIK Interest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DOE Loan Facility bears interest at the applicable U.S. Treasury rate plus a spread equal to 0.375%. The interest is paid in-kind ("Capitalized PIK Interest") on a quarterly basis, in accordance with the terms under the DOE Loan Facility. Cash payment of the Capitalized PIK Interest on the DOE Loan Facility commences in 2028.</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May 28, 2025, the Company and the DOE entered into a Limited Consent Agreement (“DOE Limited Consent Agreement”), pursuant to which among other things, the applicability of the Minimum Consolidated Revenue and Minimum Consolidated EBITDA financial covenants were deferred until March 31, 2027 and certain provisions were added to conform with comparable provisions in the Delayed Draw Term Loan. Additionally, the DOE Limited Consent Agreement requires the Company to reserve 24 months of interest expense for the May 2025 Convertible Notes. Refer to Note 4, </w:t>
      </w:r>
      <w:r>
        <w:rPr>
          <w:rFonts w:ascii="Times New Roman" w:cs="Times New Roman" w:eastAsia="Times New Roman" w:hAnsi="Times New Roman"/>
          <w:sz w:val="18"/>
          <w:szCs w:val="18"/>
          <w:i w:val="1"/>
          <w:iCs w:val="1"/>
          <w:color w:val="auto"/>
        </w:rPr>
        <w:t>Cash,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Equivalents and Restricted Cash </w:t>
      </w:r>
      <w:r>
        <w:rPr>
          <w:rFonts w:ascii="Times New Roman" w:cs="Times New Roman" w:eastAsia="Times New Roman" w:hAnsi="Times New Roman"/>
          <w:sz w:val="18"/>
          <w:szCs w:val="18"/>
          <w:color w:val="auto"/>
        </w:rPr>
        <w:t>for further information.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18, 2025, the Company and the DOE entered into the Second DOE Limited Consent Agreement, allowing the Company to, among other things, (i) offer common stock and new convertible unsecured senior notes, (ii) issue securities related to those offerings, (iii) issue common stock if the November 2025 Convertible Notes are converted, (iv) make cash payments on the November 2025 Convertible Notes and (v) confirm that the November 2025 Convertible Notes count as permitted indebtedness under the DOE Loan Facility.</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Under the Second DOE Limited Consent Agreement, following the issuance of the November 2025 Convertible Notes, the company must maintain adequate cash reserves to cover all interest payments due on both the May 2025 Convertible Notes and November 2025 Convertible Notes for a period of 18 months. This reserve will decrease as interest payments are made, but shall not be less than all interest payments on the May 2025 Convertible Notes and the November 2025 Convertible Notes due within 12 months. Refer to Note 4, </w:t>
      </w:r>
      <w:r>
        <w:rPr>
          <w:rFonts w:ascii="Times New Roman" w:cs="Times New Roman" w:eastAsia="Times New Roman" w:hAnsi="Times New Roman"/>
          <w:sz w:val="18"/>
          <w:szCs w:val="18"/>
          <w:i w:val="1"/>
          <w:iCs w:val="1"/>
          <w:color w:val="auto"/>
        </w:rPr>
        <w:t>Cash, Cash Equivalents and Restricted Cash</w:t>
      </w:r>
      <w:r>
        <w:rPr>
          <w:rFonts w:ascii="Times New Roman" w:cs="Times New Roman" w:eastAsia="Times New Roman" w:hAnsi="Times New Roman"/>
          <w:sz w:val="18"/>
          <w:szCs w:val="18"/>
          <w:color w:val="auto"/>
        </w:rPr>
        <w:t xml:space="preserve"> for further information.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DOE Loan facility, as amended, contains the following financial covenant, (as defined in the DOE Loan facility) Minimum Liquidity. As of March 31, 2026, the Company was in compliance with the Minimum Liquidity financial covenant.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DOE Loan Facility contains certain representations and warranties customary for the facilities extended under the DOE Loan Facility, including, among other things, representations and warranties regarding: (i) the organization and existence of the Company, (ii) authority and the absence of any conflicts, (iii) capitalization, (iv) solvency and (v) compliance with applicable law and the DOE Loan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Maturity </w:t>
      </w:r>
      <w:r>
        <w:rPr>
          <w:rFonts w:ascii="Times New Roman" w:cs="Times New Roman" w:eastAsia="Times New Roman" w:hAnsi="Times New Roman"/>
          <w:sz w:val="18"/>
          <w:szCs w:val="18"/>
          <w:color w:val="auto"/>
        </w:rPr>
        <w:t>- The Maturity Date is defined as the earlier of (i) June 15, 2034, and (ii) the date that all the loans shall become due and payable in full,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acceleration or otherwise; provided that, if on any Springing Maturity Date any Convertible Notes remain outstanding, the Maturity Date shall instead be the Springing Maturity. The Springing Maturity Date is defined as the 91st day prior to the Convertible Note Maturity. As of March 31, 2026, the May 2025 Convertible Notes and November 2025 Convertible Notes, remain outstanding and are scheduled to mature on June 15, 2030 and December 1, 2031,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warrants outstanding and fair value for all warrants as of March 31, 2026 and December 31, 2025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6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06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740" w:type="dxa"/>
            <w:vAlign w:val="bottom"/>
            <w:tcBorders>
              <w:top w:val="single" w:sz="8" w:color="auto"/>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7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260" w:type="dxa"/>
            <w:vAlign w:val="bottom"/>
          </w:tcPr>
          <w:p>
            <w:pPr>
              <w:spacing w:after="0"/>
              <w:rPr>
                <w:sz w:val="15"/>
                <w:szCs w:val="15"/>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7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280" w:type="dxa"/>
            <w:vAlign w:val="bottom"/>
          </w:tcPr>
          <w:p>
            <w:pPr>
              <w:spacing w:after="0"/>
              <w:rPr>
                <w:sz w:val="15"/>
                <w:szCs w:val="15"/>
                <w:color w:val="auto"/>
              </w:rPr>
            </w:pPr>
          </w:p>
        </w:tc>
        <w:tc>
          <w:tcPr>
            <w:tcW w:w="13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Warrants liability</w:t>
            </w:r>
          </w:p>
        </w:tc>
        <w:tc>
          <w:tcPr>
            <w:tcW w:w="10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2023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153,440</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2023 warrants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35,263</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2023 warrants</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9,960,566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12,010,566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124,550</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29,562,546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31,612,546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313,253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Warrants liability - related party</w:t>
            </w:r>
          </w:p>
        </w:tc>
        <w:tc>
          <w:tcPr>
            <w:tcW w:w="1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 Warrant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203,485</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470,715</w:t>
            </w:r>
          </w:p>
        </w:tc>
        <w:tc>
          <w:tcPr>
            <w:tcW w:w="0" w:type="dxa"/>
            <w:vAlign w:val="bottom"/>
          </w:tcPr>
          <w:p>
            <w:pPr>
              <w:spacing w:after="0"/>
              <w:rPr>
                <w:sz w:val="1"/>
                <w:szCs w:val="1"/>
                <w:color w:val="auto"/>
              </w:rPr>
            </w:pPr>
          </w:p>
        </w:tc>
      </w:tr>
      <w:tr>
        <w:trPr>
          <w:trHeight w:val="223"/>
        </w:trPr>
        <w:tc>
          <w:tcPr>
            <w:tcW w:w="33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203,485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470,715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change in fair value for April 2023 Warrants, May 2023 Warrants and December 2023 Warrants have been recognized in Change in fair value of warrants on the Company’s Unaudited Condensed Consolidated Statements of Operations and Comprehensive Income. The fair value for these warrants is included in Warrants liability on the Unaudited Condensed Consolidated Balance Sheets. The change in fair value for the SPA Warrant has been recognized in Change in fair value of derivatives - related parties on the Company’s Unaudited Condensed Consolidated Statements of Operations and Comprehensive Income. The fair value for these warrants is included in Warrants liability - related party on the Unaudited Condensed Consolidated Balance Sheets. See Note 13,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information</w:t>
      </w:r>
      <w:r>
        <w:rPr>
          <w:rFonts w:ascii="Times New Roman" w:cs="Times New Roman" w:eastAsia="Times New Roman" w:hAnsi="Times New Roman"/>
          <w:sz w:val="18"/>
          <w:szCs w:val="18"/>
          <w:i w:val="1"/>
          <w:iCs w:val="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2023, the Company issued 16,000,000 shares of common stock and 16,000,000 private placement warrants to purchase shares of common stock. In May 2023, the Company issued another 3,601,980 shares of common stock and 3,601,980 private placement warrants to purchase shares of common stock (the “April 2023 warrants” and “May 2023 warrants”, respectively).</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2023, the Company issued in a combined public offering 34,482,759 shares of common stock and 34,482,759 accompanying common warrants to purchase shares of common stock (the "December 2023 warrants"). For the three months ended March 31, 2026, 2,050,000 of the December 2023 warrants were exercised. For the three months ended March 31, 2025, 4,393,102 of the December 2023 warrants were exercised.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warrants do not qualify for equity classification guidance in ASC 815-40 and are measured at fair value at each reporting period.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Warrants Liability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 - related party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SPA Warrant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21, 2024, the Company entered into a Securities Purchase Agreement with CCM Denali Equity Holdings, LP (the “Purchaser”). The Company issued to the Purchaser, one warrant to purchase 43,276,194 shares of common stock. The warrant has a ten-year term, $0.01 per share exercise price, and is exercisable at the Purchaser’s discretion for cash or on a cashless basis. The SPA Warrant is subject to automatic cashless exercise on the expiration date if the fair market value of one share is greater than the exercise price then in effect. Upon an acceleration under the Credit Agreement, the Company may be required to purchase the SPA Warrant from the holder at an amount equal to the closing sale price of underlying common stock less the SPA Warrant exercise price at the request of the holder. The SPA Warrant meets the criteria for liability classification under ASC 480 and is recognized at fair value with changes in fair value included in Change in fair value of derivatives - related parties in the Unaudited Condensed Consolidated Statements of Operations and Comprehensive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Warrants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initial draw of the DDTL, on three separate predetermined draw dates upon the achievement of the corresponding performance milestone for each such draw date, the Company received additional funds under the Credit Agreement and issued securities under the SPA in an amount equal to the applicable percentage, up to an aggregate of 33.0% ownership limitation on a fully-diluted basis as of the time the DDTL was fully drawn. Although these contingent warrants were not issued or exercisable until additional draws occurred, they met the guidance under ASC 480 and were recognized at fair value with changes in fair value reported in the Unaudited Condensed Consolidated Statements of Operations and Comprehensive Income. The Company has achieved all performance milestones and no Contingent Warrants remain outstanding.</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establish a hierarchy, which prioritizes the inputs used to measure fair value into three levels and bases the categorization within the hierarchy upon the lowest level of input that is available and significant to the fair value measurement: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5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3 - Inputs that are generally unobservable and typically reflect management’s estimate of assumptions that market participants would use in pricing the asset or liability.</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contract assets, contract liabilities, accounts payable and DOE Loan Facility are considered to be representative of their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tables set forth the Company's financial liabilities measured at fair values based on the fair value hierarchy, as described above. These should also be read with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Company’s Annual Report on Form 10-K for the year ended December 31,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6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169"/>
        </w:trPr>
        <w:tc>
          <w:tcPr>
            <w:tcW w:w="20" w:type="dxa"/>
            <w:vAlign w:val="bottom"/>
          </w:tcPr>
          <w:p>
            <w:pPr>
              <w:spacing w:after="0"/>
              <w:rPr>
                <w:sz w:val="14"/>
                <w:szCs w:val="14"/>
                <w:color w:val="auto"/>
              </w:rPr>
            </w:pPr>
          </w:p>
        </w:tc>
        <w:tc>
          <w:tcPr>
            <w:tcW w:w="36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SPA Warrant </w:t>
            </w:r>
            <w:r>
              <w:rPr>
                <w:rFonts w:ascii="Times New Roman" w:cs="Times New Roman" w:eastAsia="Times New Roman" w:hAnsi="Times New Roman"/>
                <w:sz w:val="23"/>
                <w:szCs w:val="23"/>
                <w:color w:val="auto"/>
                <w:vertAlign w:val="superscript"/>
              </w:rPr>
              <w:t>(a)</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470,715</w:t>
            </w: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May and December 2023 Warrants</w:t>
            </w:r>
          </w:p>
        </w:tc>
        <w:tc>
          <w:tcPr>
            <w:tcW w:w="8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313,253</w:t>
            </w: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Delayed Draw Term Loan</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150,427</w:t>
            </w:r>
          </w:p>
        </w:tc>
      </w:tr>
      <w:tr>
        <w:trPr>
          <w:trHeight w:val="229"/>
        </w:trPr>
        <w:tc>
          <w:tcPr>
            <w:tcW w:w="20" w:type="dxa"/>
            <w:vAlign w:val="bottom"/>
          </w:tcPr>
          <w:p>
            <w:pPr>
              <w:spacing w:after="0"/>
              <w:rPr>
                <w:sz w:val="19"/>
                <w:szCs w:val="19"/>
                <w:color w:val="auto"/>
              </w:rPr>
            </w:pPr>
          </w:p>
        </w:tc>
        <w:tc>
          <w:tcPr>
            <w:tcW w:w="36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Embedded derivatives</w:t>
            </w:r>
            <w:r>
              <w:rPr>
                <w:rFonts w:ascii="Times New Roman" w:cs="Times New Roman" w:eastAsia="Times New Roman" w:hAnsi="Times New Roman"/>
                <w:sz w:val="23"/>
                <w:szCs w:val="23"/>
                <w:color w:val="auto"/>
                <w:vertAlign w:val="superscript"/>
              </w:rPr>
              <w:t>(b)</w:t>
            </w:r>
          </w:p>
        </w:tc>
        <w:tc>
          <w:tcPr>
            <w:tcW w:w="8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228,719</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64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Warrants liability - Related party on the Unaudited Condensed Consolidated Balance Sheets as of March 31, 2026 and December 31, 2025.</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Notes Payable - Related Party on the Unaudited Condensed Consolidated Balance Sheets as of March 31, 2026 and December 31,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2023 warrants, May 2023 warrants and December 2023 warrants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April 2023 warrants, May 2023 warrants and December 2023 warrants all are valued using the Black-Scholes model at inception and on subsequent valuation dates. This model incorporates inputs such as the stock price of the Company, risk-free interest rate, volatility and time to expiration. The volatility is a significant unobservable input classified as Level 3 of the fair value hierarchy.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inputs used to determine the fair value of the April 2023 warrants, May 2023 warrants, and the December 2023 warrants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April 2023 warrants</w:t>
            </w:r>
          </w:p>
        </w:tc>
        <w:tc>
          <w:tcPr>
            <w:tcW w:w="320" w:type="dxa"/>
            <w:vAlign w:val="bottom"/>
          </w:tcPr>
          <w:p>
            <w:pPr>
              <w:spacing w:after="0"/>
              <w:rPr>
                <w:sz w:val="21"/>
                <w:szCs w:val="21"/>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1"/>
                <w:szCs w:val="21"/>
                <w:color w:val="auto"/>
              </w:rPr>
            </w:pP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expiration</w:t>
            </w:r>
          </w:p>
        </w:tc>
        <w:tc>
          <w:tcPr>
            <w:tcW w:w="3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years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Years</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r>
        <w:trPr>
          <w:trHeight w:val="270"/>
        </w:trPr>
        <w:tc>
          <w:tcPr>
            <w:tcW w:w="6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May 2023 warrants</w:t>
            </w:r>
          </w:p>
        </w:tc>
        <w:tc>
          <w:tcPr>
            <w:tcW w:w="320" w:type="dxa"/>
            <w:vAlign w:val="bottom"/>
          </w:tcPr>
          <w:p>
            <w:pPr>
              <w:spacing w:after="0"/>
              <w:rPr>
                <w:sz w:val="21"/>
                <w:szCs w:val="21"/>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1"/>
                <w:szCs w:val="21"/>
                <w:color w:val="auto"/>
              </w:rPr>
            </w:pP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expiration</w:t>
            </w:r>
          </w:p>
        </w:tc>
        <w:tc>
          <w:tcPr>
            <w:tcW w:w="3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Years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Years</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r>
        <w:trPr>
          <w:trHeight w:val="270"/>
        </w:trPr>
        <w:tc>
          <w:tcPr>
            <w:tcW w:w="65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2023 warrants</w:t>
            </w:r>
          </w:p>
        </w:tc>
        <w:tc>
          <w:tcPr>
            <w:tcW w:w="320" w:type="dxa"/>
            <w:vAlign w:val="bottom"/>
          </w:tcPr>
          <w:p>
            <w:pPr>
              <w:spacing w:after="0"/>
              <w:rPr>
                <w:sz w:val="21"/>
                <w:szCs w:val="21"/>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Pr>
          <w:p>
            <w:pPr>
              <w:spacing w:after="0"/>
              <w:rPr>
                <w:sz w:val="21"/>
                <w:szCs w:val="21"/>
                <w:color w:val="auto"/>
              </w:rPr>
            </w:pP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expiration</w:t>
            </w:r>
          </w:p>
        </w:tc>
        <w:tc>
          <w:tcPr>
            <w:tcW w:w="32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Years</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Years</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embedded conversion features in the November 2025 Convertible Note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inputs used to determine the fair value of the embedded derivative liabilities are as follows:</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1"/>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2025 Convertible Note</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3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4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Years</w:t>
            </w:r>
          </w:p>
        </w:tc>
        <w:tc>
          <w:tcPr>
            <w:tcW w:w="8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Years</w:t>
            </w: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debt yield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Quantitative information about all significant unobservable inputs used in the fair value measurement for recurring level 3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each draw of the Delayed Draw Term Loan was estimated using a discounted cash flow (“DCF”) method, based on the contractual cash flows discounted at a debt yield and considering the probability of achieving certain milestones.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for the SPA warrant is estimated based on its intrinsic value, using the Eos common stock closing price adjusted by a discount for lack of marketability (“DLOM”), less the exercise price of $0.01 for the SPA Warrant. A DLOM was applied considering the SPA Warrants are unregistered.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Delayed Draw Term Loan</w:t>
            </w:r>
          </w:p>
        </w:tc>
        <w:tc>
          <w:tcPr>
            <w:tcW w:w="20" w:type="dxa"/>
            <w:vAlign w:val="bottom"/>
          </w:tcPr>
          <w:p>
            <w:pPr>
              <w:spacing w:after="0"/>
              <w:rPr>
                <w:sz w:val="20"/>
                <w:szCs w:val="20"/>
                <w:color w:val="auto"/>
              </w:rPr>
            </w:pP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20" w:type="dxa"/>
            <w:vAlign w:val="bottom"/>
          </w:tcPr>
          <w:p>
            <w:pPr>
              <w:spacing w:after="0"/>
              <w:rPr>
                <w:sz w:val="20"/>
                <w:szCs w:val="20"/>
                <w:color w:val="auto"/>
              </w:rPr>
            </w:pPr>
          </w:p>
        </w:tc>
        <w:tc>
          <w:tcPr>
            <w:tcW w:w="2280" w:type="dxa"/>
            <w:vAlign w:val="bottom"/>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yield</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743"/>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SPA Warrant</w:t>
            </w:r>
          </w:p>
        </w:tc>
        <w:tc>
          <w:tcPr>
            <w:tcW w:w="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24"/>
                <w:szCs w:val="24"/>
                <w:color w:val="auto"/>
              </w:rPr>
            </w:pPr>
          </w:p>
        </w:tc>
        <w:tc>
          <w:tcPr>
            <w:tcW w:w="2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3"/>
        </w:trPr>
        <w:tc>
          <w:tcPr>
            <w:tcW w:w="6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Rollforward for Liabilities Measured at Fair Value on a Recurring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liabilities that are included within the Company’s accompanying Unaudited Condensed Consolidated Balance Sheets and are designated as Level 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2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Delayed Draw Term Loan</w:t>
            </w: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150,427</w:t>
            </w:r>
          </w:p>
        </w:tc>
        <w:tc>
          <w:tcPr>
            <w:tcW w:w="10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 January Draw</w:t>
            </w:r>
          </w:p>
        </w:tc>
        <w:tc>
          <w:tcPr>
            <w:tcW w:w="1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 Warrant and Contingent Warrants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470,715</w:t>
            </w:r>
          </w:p>
        </w:tc>
        <w:tc>
          <w:tcPr>
            <w:tcW w:w="10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to preferred stock</w:t>
            </w:r>
          </w:p>
        </w:tc>
        <w:tc>
          <w:tcPr>
            <w:tcW w:w="1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(102,185)</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May, and December 2023 Warrants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313,253</w:t>
            </w:r>
          </w:p>
        </w:tc>
        <w:tc>
          <w:tcPr>
            <w:tcW w:w="10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189,322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 warrants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(168,725)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(45,788)</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Embedded derivatives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228,719</w:t>
            </w:r>
          </w:p>
        </w:tc>
        <w:tc>
          <w:tcPr>
            <w:tcW w:w="100" w:type="dxa"/>
            <w:vAlign w:val="bottom"/>
          </w:tcPr>
          <w:p>
            <w:pPr>
              <w:spacing w:after="0"/>
              <w:rPr>
                <w:sz w:val="19"/>
                <w:szCs w:val="19"/>
                <w:color w:val="auto"/>
              </w:rPr>
            </w:pPr>
          </w:p>
        </w:tc>
        <w:tc>
          <w:tcPr>
            <w:tcW w:w="13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27,462</w:t>
            </w:r>
          </w:p>
        </w:tc>
      </w:tr>
      <w:tr>
        <w:trPr>
          <w:trHeight w:val="20"/>
        </w:trPr>
        <w:tc>
          <w:tcPr>
            <w:tcW w:w="6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financial instruments not carried at fair value in the Unaudited Condensed Consolidated Balance Sheets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Level in fair value</w:t>
            </w: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3"/>
                <w:szCs w:val="13"/>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00" w:type="dxa"/>
            <w:vAlign w:val="bottom"/>
          </w:tcPr>
          <w:p>
            <w:pPr>
              <w:spacing w:after="0"/>
              <w:rPr>
                <w:sz w:val="13"/>
                <w:szCs w:val="13"/>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 Convertible Notes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2025 Convertible Notes</w:t>
            </w:r>
            <w:r>
              <w:rPr>
                <w:rFonts w:ascii="Times New Roman" w:cs="Times New Roman" w:eastAsia="Times New Roman" w:hAnsi="Times New Roman"/>
                <w:sz w:val="14"/>
                <w:szCs w:val="14"/>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586,237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1,292,216</w:t>
            </w:r>
          </w:p>
        </w:tc>
        <w:tc>
          <w:tcPr>
            <w:tcW w:w="0" w:type="dxa"/>
            <w:vAlign w:val="bottom"/>
          </w:tcPr>
          <w:p>
            <w:pPr>
              <w:spacing w:after="0"/>
              <w:rPr>
                <w:sz w:val="1"/>
                <w:szCs w:val="1"/>
                <w:color w:val="auto"/>
              </w:rPr>
            </w:pPr>
          </w:p>
        </w:tc>
      </w:tr>
      <w:tr>
        <w:trPr>
          <w:trHeight w:val="37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DOE Loan Facility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95,427</w:t>
            </w:r>
          </w:p>
        </w:tc>
        <w:tc>
          <w:tcPr>
            <w:tcW w:w="0" w:type="dxa"/>
            <w:vAlign w:val="bottom"/>
          </w:tcPr>
          <w:p>
            <w:pPr>
              <w:spacing w:after="0"/>
              <w:rPr>
                <w:sz w:val="1"/>
                <w:szCs w:val="1"/>
                <w:color w:val="auto"/>
              </w:rPr>
            </w:pPr>
          </w:p>
        </w:tc>
      </w:tr>
      <w:tr>
        <w:trPr>
          <w:trHeight w:val="223"/>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1,089,063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2,024,381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2,097,255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the embedded derivative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U.S. Supreme Court issued a ruling invalidating certain tariffs previously imposed under the International Emergency Economic Powers Act. As a result of this ruling, we may be eligible for a refund of tariffs previously paid on imported materials. As the recoverability and timing of any such refund remains uncertain, we have not recognized a receivable and corresponding offset to expense or asset as of March 31, 2026, and will not until such amounts are realized or realizable. We continue to monitor these developments and their potential impact on our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Action Complaints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6, 2026, a class action lawsuit (the “Yung Complaint”) was filed in the United States District Court of New Jersey by plaintiff Shui Shing Yung against the Company and two individual officers: the Company’s Chief Executive Officer and its Chief Financial Officer (with the Company, the “Yung Defendants”). The Yung Complaint alleges that the Yung Defendants violated federal securities laws by making knowingly false or misleading statements about the Company’s manufacturing capabilities and financial outlook. The Company intends to vigorously contest this matter.</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2026, a shareholder derivative lawsuit (the “Berger Complaint”) was filed in the United States District Court of the District of New Jersey by plaintiff Paul Berger against certain defendants including the Company’s Chief Executive Officer, the Company’s Chief Financial Officer, and nine of the Company’s current Directors (the “Berger Defendants”). The Berger Complaint alleges that the Berger Defendants breached their fiduciary duties to the Company by allowing the Company to make knowingly false or misleading statements about the Company’s manufacturing capabilities and financial outlook. The Company intends to vigorously contest this matter.</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25, 2026, a shareholder derivative lawsuit (the “Skaff Complaint”) was filed in the United States District Court of the District of New Jersey by plaintiff Ronald F. Skaff against certain defendants including the Company’s Chief Executive Officer, the Company’s Chief Financial Officer, and nine of the Company’s current Directors (the “Skaff Defendants”). The Skaff Complaint alleges that the Skaff Defendants breached their fiduciary duties to the Company by allowing the Company to make knowingly false or misleading statements about the Company’s manufacturing capabilities and financial outlook. The Company intends to vigorously contest this matter.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the Unaudited Condensed Consolidated Statements of Operations and Comprehensive Income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 compensation expense has been recorded in cost of goods sold, research and development expenses and selling, general and administrative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Eligible employees are granted restricted stock that generally vest over three years from the date of grant. Under the directors plan, restricted stock generally vest one year from the date of grant. As of March 31, 2026, there was $39,450 of unrecognized compensation expense attributable to unvested RSUs, expected to be recognized over a weighted-average remaining vesting period of 2.2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(“PRSU”)</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2024, the Company granted contingent shares to select key executives that may be earned based on the Company’s total shareholder return (“TSR”) over a two and three-year period following the grant date (“2024 TSR Awards”). During the second quarter of 2025, the Company also granted contingent shares to select key employees that may be earned based on the Company’s TSR over three individual one-year periods and a cumulative three-year period following the grant date (“2025 TSR Awards”).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TSR awards are paid out in stock at the end of the vesting period based on the Company’s stock performance. The performance is measured by determining the percentile rank of the total shareholder return of the Company’s common stock relative to the TSR of the Russell 2000 index peer group for the two and three-year period following the grant date. This peer group includes the entire Russell 2000 index as it existed at the beginning of the performance period, excluding any companies that were removed from the index during the performance period. The payment of awards following the two and three-year award period is based on performance achieved in accordance with the scale set forth in the plan agreement and may range from 0% to 200% of the initial grant. The fair value of the TSR awards is estimated using a Monte Carlo simulation in an option pricing framework.</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Company granted shares contingent upon the achievement of certain performance targets for fiscal year 2025 and continued employment through the vesting period.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was $3,319 of unrecognized compensation expense attributable to unvested PRSUs, expected to be recognized over a weighted-average remaining vesting period of 1.8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$5 for the three months ended March 31, 2026 and 2025, related to taxable earnings from foreign operations. The income tax expense differs from the amount computed by applying the statutory U.S. federal income tax rate of 21% to the loss before income taxes. This is due to fair value adjustments - derivatives and warrants, Section 162(m) disallowance, foreign operations and pre-tax losses for which no tax benefit can be recognized for U.S. income tax purposes.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and applies the annual effective tax rate to its ordinary earnings each interim period. Any significant unusual or infrequent items are not included in the estimation of the annual effective tax rate; instead, these items and their related income tax expense are separately stated in the interim period in which they occur.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March 31, 2026 and December 31, 2025 due to cumulative losses. Therefore, the Company has a valuation allowance against its net U.S. deferred tax assets.</w:t>
      </w:r>
    </w:p>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has unrecognized tax benefits associated with uncertain tax positions that, if recognized, would not affect the effective tax rate on income from continuing operations. The Company is currently under examination by the IRS related to tax year 2022. The Company is not under examination by any other taxing jurisdictions and none of the unrecognized tax benefits are expected to reverse within the next 12 months.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U.S. federal and various state jurisdictions, as well as in Italy and India. The open tax years for federal returns are 2022 and forward, and open tax years for state returns are generally 2020 and forward. In addition, net operating losses generated in closed years and utilized in open years are subject to adjustment by the tax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Shareholders’ Deficit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such designations, voting and other rights and preferences as may be determined from time to time by the Company’s Board of Directors. The preferred stock has a par value of $0.0001. As of March 31, 2026 and December 31, 2025, there were no shares of preferred stock issued or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600,000,000 shares of common stock at $0.0001 par value as of March 31, 2026. The holders of the Company’s common stock are entitled to one vote for each share held. At March 31, 2026 and December 31, 2025, there were 339,459,021 and 337,132,374, respectively, shares of common stock issued and outstanding,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treasury stock of $0 and $488 for the three months ended March 31, 2026 and 2025, respectively, for shares withheld from employees to cover the payroll tax liability of RSUs vested. The treasury stock was immediately retired.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DOE 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570,000 warrants to the DOE in November 2025 to purchase shares of common stock at a price of $0.01 per share (the “DOE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The DOE Warrants meet the requirements for equity classification guidance in ASC 815-40. The DOE Warrants are scheduled to expire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2030. There were 570,000 DOE Warrants outstanding as of March 31, 2026 and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Redeemable Preferred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Series B Preferred Stock has a par value of $0.0001 per share. The table below summarizes the Company’s outstanding Series B Preferred Stock as of December 31,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Stock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96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7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Original Issue Price</w:t>
            </w:r>
          </w:p>
        </w:tc>
        <w:tc>
          <w:tcPr>
            <w:tcW w:w="1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0" w:type="dxa"/>
            <w:vAlign w:val="bottom"/>
          </w:tcPr>
          <w:p>
            <w:pPr>
              <w:spacing w:after="0"/>
              <w:rPr>
                <w:sz w:val="1"/>
                <w:szCs w:val="1"/>
                <w:color w:val="auto"/>
              </w:rPr>
            </w:pPr>
          </w:p>
        </w:tc>
      </w:tr>
      <w:tr>
        <w:trPr>
          <w:trHeight w:val="243"/>
        </w:trPr>
        <w:tc>
          <w:tcPr>
            <w:tcW w:w="2460" w:type="dxa"/>
            <w:vAlign w:val="bottom"/>
            <w:vMerge w:val="continue"/>
          </w:tcPr>
          <w:p>
            <w:pPr>
              <w:spacing w:after="0"/>
              <w:rPr>
                <w:sz w:val="21"/>
                <w:szCs w:val="21"/>
                <w:color w:val="auto"/>
              </w:rPr>
            </w:pPr>
          </w:p>
        </w:tc>
        <w:tc>
          <w:tcPr>
            <w:tcW w:w="196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720" w:type="dxa"/>
            <w:vAlign w:val="bottom"/>
            <w:gridSpan w:val="3"/>
            <w:vMerge w:val="continue"/>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Equivalent</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B-1 Preferred Stock</w:t>
            </w:r>
          </w:p>
        </w:tc>
        <w:tc>
          <w:tcPr>
            <w:tcW w:w="186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9/12/2024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841,999.99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31,940,063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B-2 Preferred Stock</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9/12/2024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28.806463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28.806463</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28,806,463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B-3 Preferred Stock</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11/1/2024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3,358,000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38.259864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38,259,864</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B-4 Preferred Stock</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1/24/2025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16.150528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5,990,000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16.150528</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17,305,070</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Conversion rights: The Series B Preferred Stock is convertible into common stock at a conversion ratio of 1.0 million shares of common stock per share of Series B Preferred Stock (“Conversion Ratio”). The Conversion Ratio is subject to antidilution protection that is triggered if the Company issues equity for a price per share that is less than the conversion price then in effect, subject to certain exceptions.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Company’s issuance of the May 2025 Convertible Notes and common stock through the public offering triggered an adjustment to the Series B-4 Preferred Stock liquidation value under the terms of the Securities Purchase Agreement. The number of common shares issuable upon conversion of the Series B-4 increased by 1,154,542 to 17,305,070. The Company recorded a down round deemed dividend of $4,456 increasing additional paid-in capital and accumulated deficit on the Consolidated Statements of Shareholders' Deficit.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Holders of the Series B Preferred Stock are entitled to receive dividends or distributions on each share of Series B Preferred Stock equal to dividends or distributions actually paid on each share of common stock on an as-converted basis.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Appointment of Directors: At all times when the holders of the Preferred Stock beneficially own at least 10%, 15% or 30% of the capital stock of the Company, the Preferred Stock shareholders, exclusively and voting together as a separate class, will have the right to appoint a maximum of 1, 2 or 3 Directors to the Board of Directors of the Company (the “Board”), respectively. At all times when the holders of the Preferred Stock beneficially own at least 40% of the capital stock of the Company, the Preferred Stock shareholders, exclusively and voting together as a separate class, will have the right to nominate a fourth director, who shall be nominated by the Board or the nominating committee of the Board to a class of common directors and thereafter stand for election as a common director on the Board. The Preferred Stock shareholders will have the right to nominate a fourth director to the Board only if such appointment does not result in a change of control under any Company governing documents or violate any applicable laws, including requirements of the SEC and Nasdaq and any such fourth director appointment shall be subject to and conditioned upon compliance by the holders of the Preferred Stock with the Hart-Scott-Rodino Antitrust Improvements Act of 1976, including the submission of any required filings and the expiration or termination of any applicable waiting periods.</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Preemptive rights: The Series B Certificates of Designation contain customary preemptive rights that permit the Holders of Series B Preferred Stock to participate in certain future equity offerings by the Company.</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Rights to distributions upon liquidation of the Company: In the event of a voluntary or involuntary liquidation, dissolution, or winding up of the Company, the holders of the Series B Preferred Stock are entitled to receive distribution of any of the assets or surplus funds of the Company pro rata with the holders of the common stock and any other holders of the preferred stock of the Company issued pursuant to the SPA and the Credit Agreement (the “Investor Preferred Stock”), including the Series B Preferred Stock, in an amount equal to such amount per share as would have been payable had all shares of Series B Preferred Stock been converted to common stock.</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Protective provisions: The Company is prohibited from taking certain actions that could adversely affect the rights of the Preferred Stock without the affirmative vote of a majority of the outstanding shares of Preferred Stock until the later of (i) such time when the holders of Investor Preferred Stock shall no longer beneficially own at least 5% of the outstanding capital stock of the Corporation and (ii) June 21, 2029, in the case of the Series B-1 Preferred Stock, August 29, 2029, in the case of the Series B-2 Preferred Stock, November 1, 2029 in the case of the Series B-3 Preferred Stock or January 24, 2030 in the case of Series B-4 Preferred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Stock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Rights: At any time after June 21, 2029, in the case of the Series B-1 Preferred Stock, August 29, 2029, in the case of the Series B-2 Preferred Stock, November 1, 2029 in the case of the Series B-3 Preferred Stock or January 24, 2030 in the case of Series B-4 Preferred Stock, the outstanding shares of Series B Preferred Stock held by any holder become redeemable for cash at the redemption price. The redemption price will be an amount per share equal to the greater of (i) the B-1 Original Issue Price, the B-2 Original Issue Price, the B-3 Original Issue Price or the Series B-4 Preferred Stock Original Issue, as applicable, plus all accrued and unpaid dividends thereon, up to and including the date of redemption and (ii) the number of shares of common stock issuable upon conversion of the applicable Series B Preferred Stock multiplied by the average of the closing sale price of the common stock for the five (5) business days immediately prior to the date of redemption plus all accrued and unpaid dividends thereon, up to and including the date of redemption.</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all then outstanding shares of Series B Preferred Stock were classified as mezzanine equity on the Unaudited Consolidated Balance Sheets at its redemption value because it is probable of becoming redeemable. The Company recorded remeasurement of the Series B Preferred Stock, which reduces Additional paid-in capital, on the Unaudited Consolidated Statements of Shareholders' Deficit.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Earnings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provides the numerators and denominators used in computing basic and diluted net income (loss) per share for the three months ended March 31, 2026 and 2025. Generally, basic earnings per share (“EPS”) is computed by dividing earnings available to common shareholders by the weighted average number of shares of common stock outstanding during the period. In accordance with ASC 260, the DOE Warrants are included in basic EPS as the shares are issuable for little cash consideration. The SPA Warrant, Series B Preferred Stock, the warrants issued in 2023, May 2025 Convertible Notes and November 2025 Convertible Notes are participating securities that do not have the obligation to share in the losses of the Company. Therefore, the more dilutive of the “if-converted” and “two-class” method must be applied when calculating EPS for the common shares.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basic EPS, the “two-class” method was applied and undistributed earnings were allocated to participating securities. These undistributed earnings were allocated based on each participating securities’ proportionate share of the total weighted-average shares outstanding.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95,133</w:t>
            </w:r>
          </w:p>
        </w:tc>
      </w:tr>
      <w:tr>
        <w:trPr>
          <w:trHeight w:val="23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earnings allocated to participating securities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826,557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339,602,063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225,474,247</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0"/>
        </w:trPr>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purposes of diluted EPS, the more dilutive of the “treasury-stock method”, “if-converted” and “two-class” method must be applied when calculating dilutive EPS.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Earnings Per Share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1,287,761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potentially dilutive shares: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interest on convertible notes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30"/>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change in fair value on embedded derivatives for convertible notes</w:t>
            </w:r>
          </w:p>
        </w:tc>
        <w:tc>
          <w:tcPr>
            <w:tcW w:w="5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w:t>
            </w:r>
          </w:p>
        </w:tc>
      </w:tr>
      <w:tr>
        <w:trPr>
          <w:trHeight w:val="229"/>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for change in fair value on SPA Warrant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(42,064)</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change in fair value on April, May and December 2023 Warrants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r>
      <w:tr>
        <w:trPr>
          <w:trHeight w:val="230"/>
        </w:trPr>
        <w:tc>
          <w:tcPr>
            <w:tcW w:w="6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Adjustment for remeasurement of Series B Preferred Stock</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(778,878)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(79,997)</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for diluted earnings per share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(87,907)</w:t>
            </w:r>
          </w:p>
        </w:tc>
      </w:tr>
      <w:tr>
        <w:trPr>
          <w:trHeight w:val="257"/>
        </w:trPr>
        <w:tc>
          <w:tcPr>
            <w:tcW w:w="6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basic common shares outstanding</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339,602,063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225,474,247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11,074,195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13,385,305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Series B Preferred Stock</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116,311,460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110,850,111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66,107,625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68,498,537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RSUs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7,981,966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8,621,012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8,017,961</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1,576,336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1,521,109</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dilutive common shares outstanding</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544,828,933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436,368,282</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calculation of diluted net income (loss) per share because their effect would have been anti-dilutive.</w:t>
      </w:r>
    </w:p>
    <w:p>
      <w:pPr>
        <w:spacing w:after="0" w:line="11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8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and private placement warrants</w:t>
            </w:r>
          </w:p>
        </w:tc>
        <w:tc>
          <w:tcPr>
            <w:tcW w:w="1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7,326,654</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warrants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15,320,062</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1,585,056</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1,799,126</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(if converted)</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6,142,293</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elected to recognize changes in the redemption value of the Series B Preferred Stock. At each balance sheet date, the redemption value of the Series B Preferred Stock will be calculated and remeasured to its redemption value. The remeasurement is recorded as a deemed dividend or contribution, which, in the absence of Retained earnings, is recognized within additional paid in capital and earnings available to common shareholders in computing basic and diluted EPS. Other potentially dilutive common shares and the related impact to earnings are considered when calculating EPS on a diluted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designs, develops, manufactures, and markets innovative zinc-based energy storage solutions for utility-scale, microgrid and C&amp;I applications. The Company operates and holds long-lived assets in a single geographical region, with nearly all of its revenue coming from customers in the United States.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reviews financial information on a consolidated basis and uses Gross profit (loss) and Net income (loss) to assess financial performance considering budget-to-actual variances when making key decisions on how to allocate company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 information is summarized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revenue</w:t>
            </w:r>
          </w:p>
        </w:tc>
        <w:tc>
          <w:tcPr>
            <w:tcW w:w="136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w:t>
            </w:r>
          </w:p>
        </w:tc>
      </w:tr>
      <w:tr>
        <w:trPr>
          <w:trHeight w:val="229"/>
        </w:trPr>
        <w:tc>
          <w:tcPr>
            <w:tcW w:w="6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 revenue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3"/>
        </w:trPr>
        <w:tc>
          <w:tcPr>
            <w:tcW w:w="6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w:t>
            </w:r>
          </w:p>
        </w:tc>
      </w:tr>
      <w:tr>
        <w:trPr>
          <w:trHeight w:val="223"/>
        </w:trPr>
        <w:tc>
          <w:tcPr>
            <w:tcW w:w="67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29"/>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30"/>
        </w:trPr>
        <w:tc>
          <w:tcPr>
            <w:tcW w:w="67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(588,124)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(67,507)</w:t>
            </w:r>
          </w:p>
        </w:tc>
      </w:tr>
      <w:tr>
        <w:trPr>
          <w:trHeight w:val="248"/>
        </w:trPr>
        <w:tc>
          <w:tcPr>
            <w:tcW w:w="6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20" w:firstLine="8"/>
        <w:spacing w:after="0" w:line="282" w:lineRule="auto"/>
        <w:tabs>
          <w:tab w:leader="none" w:pos="1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loss from write-down of property, plant and equipment, interest expense, net, change in fair value of debt, change in fair value of warrants, change in fair value of derivatives, costs related to the Company’s debt transactions and other miscellaneous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Segment Reporting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Additional segment financial information is summarized as follows: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7"/>
        </w:trPr>
        <w:tc>
          <w:tcPr>
            <w:tcW w:w="67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263,283</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w:t>
            </w:r>
          </w:p>
        </w:tc>
      </w:tr>
      <w:tr>
        <w:trPr>
          <w:trHeight w:val="230"/>
        </w:trPr>
        <w:tc>
          <w:tcPr>
            <w:tcW w:w="6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(b)</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Includes Intangible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geographic area data includes nets sales based on product shipment destination.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7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2026, the Company entered into a binding term sheet with CCM Frontier JV Holdco, LLC, an affiliate of Cerberus Capital Management, L.P. (“CCM Frontier”), providing for the formation of a joint venture focused on the development of certain energy storage and power opportunities (the “Joint Venture”). The joint venture is expected to be organized through Frontier Power USA Parent, LLC (the “JV Company”). Closing of the transactions contemplated by the term sheet is subject to the negotiation and execution of definitive agreements and the satisfaction of customary and other conditions.</w:t>
      </w:r>
    </w:p>
    <w:p>
      <w:pPr>
        <w:spacing w:after="0" w:line="58" w:lineRule="exact"/>
        <w:rPr>
          <w:sz w:val="20"/>
          <w:szCs w:val="20"/>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Pursuant to the term sheet, at or prior to closing, CCM Frontier is expected to (i) receive founder’s equity in the form of Class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units in exchange for certain contributed contracts, relationships and platform assets, (ii) contribute $100,000 in cash in exchange for Class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units of the JV Company, and</w:t>
      </w:r>
    </w:p>
    <w:p>
      <w:pPr>
        <w:spacing w:after="0" w:line="1" w:lineRule="exact"/>
        <w:rPr>
          <w:sz w:val="20"/>
          <w:szCs w:val="20"/>
          <w:color w:val="auto"/>
        </w:rPr>
      </w:pPr>
    </w:p>
    <w:p>
      <w:pPr>
        <w:ind w:firstLine="8"/>
        <w:spacing w:after="0" w:line="258"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warrant to purchase shares of the Company’s common stock. Concurrently, the Company is expected to contribute an amount equal to the proceeds raised in a contemplated rights offering, targeted at $150,000, in exchange for Class B units of the JV Company.</w:t>
      </w:r>
    </w:p>
    <w:p>
      <w:pPr>
        <w:spacing w:after="0" w:line="11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Company’s investment in the JV Company is expected to be funded through a rights offering to holders of the Company’s common stock and certain warrants. Participants in the rights offering are expected to receive common stock and warrants to purchase additional shares of common stock, with the warrants having an exercise price set at a discount to the volume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average price of the Company’s common stock at the time of launch. CCM Frontier is expected to receive a similarly priced warrant in consideration for its cash contribution.</w:t>
      </w:r>
    </w:p>
    <w:p>
      <w:pPr>
        <w:spacing w:after="0" w:line="133"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The completion of the Joint Venture transactions is subject to several conditions, including, among others, (i) completion of the rights offering, (ii) approval by the Company’s stockholders of an increase in authorized shares of common stock, (iii) receipt of required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approvals, including consent from the U.S. Department of Energy, and (iv) execution of definitive commercial and governance agreements.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accompanying Unaudited Condensed Consolidated Financial Statements for the three months ended March 31, 2026 and 2025 and the Company’s Annual Report on Form 10-K for the year ended December 31, 2025, including the financial statements and notes thereto.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an innovative Znyth™ technology battery energy storage system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is intended to deliver results in even the most extreme temperatures and conditions. The system is designed to be safe, flexible, scalable, sustainable and manufactured in the United States, using raw materials primarily sourced in the United States. We believe the Company’s Z3 battery module is the core of its innovative systems. The Z3 battery module is the only US designed and manufactured battery module that today provide utilities, independent power producers, renewables developers and C&amp;I customers with an alternative to lithium-ion and lead-acid monopolar batteries for critical 3- to 12-hour discharge duration applications. We believe the Z3 battery will transform how utility, industrial and commercial customers store power.</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its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 (c) commissioning services that ensure the customer’s installation of the BESS meets the performance expected by the customer; and (d) long-term maintenance plans to maintain optimal operating performance of the Company’s systems.</w:t>
      </w:r>
    </w:p>
    <w:p>
      <w:pPr>
        <w:spacing w:after="0" w:line="1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C&amp;I companies.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07"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Company continues to invest in the design, development and production of its next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 product, the Eos Z3 battery. The Z3 builds upon the same underlying electrochemistry the Company has utilized for nearly a decade. The Eos Z3 is engineered to reduce cost and weight while improving manufacturability and overall system performance. Compared to the Company’s prior Gen 2.3 product, the Z3 incorporates a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design, including a simplified tub structure, approximately 50% fewer cells and approximately 98% fewer welds per battery module. The Company believes the Eos Z3 will provide customers with approximately twice the energy density per square foot while maintaining the safety and reliability characteristics of the previous generation.</w:t>
      </w:r>
    </w:p>
    <w:p>
      <w:pPr>
        <w:spacing w:after="0" w:line="13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The Company has successfully transitioned to the Eos Z3 platform, enabled by the commissioning and commercial operation of its first fully automated battery manufacturing line. The Z3 leverages the same proven underlying chemistry, which has demonstrated durability over more than 3 million cycles, while incorporating a redesigned mechanical architecture that enhances performance, reduces costs and improves manufacturability. Z3 battery modules have been shipped since the third quarter of 2023, and the transition reflects over fifteen years of accumulated insights and operational experience. The Company believes this experience will continue to drive manufacturing efficiencies as production scales and its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 operations expand.</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2025, the Company introduced DawnOS, a software platform designed to enhance the value, reliability and safety of the Company’s BESS. DawnOS builds upon the Z3 battery architecture through a fully integrated hardware and software solution. It serves as the system’s intelligence layer and is designed to manage large numbers of battery modules in real time. The platform provides precise balancing, dynamic switching and continuous system operation, including in situations where individual modules within a string become imbalanced. DawnOS is intended to increase usable energy per cycle, reduce field service requirements and operate with embedded security and automation features. Through its advanced control capabilities, the Company expects DawnOS to be an integral component of its product portfolio going forward, reflecting its role in improving system resilience, efficiency and overall operational performance.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2026, the Company introduced Eos Indensity, an energy storage architecture that uses a spatial intelligence design framework to provide high density storage with flexibility and safety in constrained as well as traditional sites. The system targets up to 1 GWh per acre, roughly four times most incumbent footprints, through stackable Indensity Core units that integrate Eos Z3 battery modules with the Eos DawnOS controls platform. The modular self contained form factor enables efficient transport, simplified installation and long term serviceability. Eos Indensity can be deployed indoors or outdoors, including inside existing buildings. It addresses long duration, response driven use cases across data centers, military bases, manufacturing facilities and critical infrastructure, supported by a domestic FEOC compliant supply chain. The Company expects Indensity to be an integral component of its product portfolio going forward.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the simplicity, flexibility and safety characteristics of its products represent important attributes valued by the market. In addition, the Company benefits from legislative incentives, including the Inflation Reduction Act and the One Big Beautiful Bill Act ("OBBBA"), which provide production tax credits (“PTC”) for domestically manufactured battery components, as well as tax credits available to customers for projects that satisfy domestic content requirements. The Company also intends to continue working with a consortium of community organizations, universities and supply chain partners to pursue available funding opportunities under the Bipartisan Infrastructure Law of 2021.</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108" w:lineRule="exact"/>
        <w:rPr>
          <w:sz w:val="20"/>
          <w:szCs w:val="20"/>
          <w:color w:val="auto"/>
        </w:rPr>
      </w:pPr>
    </w:p>
    <w:p>
      <w:pPr>
        <w:jc w:val="both"/>
        <w:ind w:left="660" w:hanging="328"/>
        <w:spacing w:after="0" w:line="25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introduced Eos Indensity, an energy storage architecture that uses a spatial intelligence design framework to provide high density storage with flexibility and safety in constrained as well as traditional sites. The system targets up to 1 GWh per acre, roughly four times most incumbent footprints, through stackable Indensity Core units that integrate Eos Z3 battery modules with the Eos DawnOS controls platform. The modular self contained form factor enables efficient transport, simplified installation and long term serviceability. Eos Indensity can be deployed indoors or outdoors, including inside existing buildings. It addresses long duration, response driven use cases across data centers, military bases, manufacturing facilities and critical infrastructure, supported by a domestic FEOC compliant supply chain.</w:t>
      </w:r>
    </w:p>
    <w:p>
      <w:pPr>
        <w:spacing w:after="0" w:line="52"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announced the appointment of Nathaniel Fick to its Board of Directors as an independent Common Class III director.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6" w:lineRule="exact"/>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the Company announced a joint development agreement with TURBINE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Energy, Inc. to develop and deploy private power infrastructure for AI, a new model designed to deliver firm, dispatchable energy for hyperscale data centers and other mission-critical loads on accelerated timelines.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5"/>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1"/>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generates revenues from the delivery of its BESS and service-related solutions. The Company expects revenues to increase as it scales production to meet customer demand.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Revenue increased by $46.5 million or 445% from $10.5 million. The increase was primarily drive by an increase in deliveries, an increase in the average selling price and higher revenue from third-party materials. These increases were partially offset by a decline in service revenue.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5"/>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primarily consists of direct costs relating to labor, material and overhead directly tied to product assembly, procurement and construction (“EPC”), project delivery, commissioning and start-up test procedures. Indirect costs included in cost of goods sold are manufacturing overhead such as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For the three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months ended March 31, 2026 and 2025, the Company recognized $10.3 million and $1.8 million, respectively, reduction of cost of goods sold related to the IRA PTC. The Company expects its cost of goods sold to exceed revenues in the near term as it continues to scale production and prepares battery energy storage systems delivered to customers to go-live.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by $66.4 million or 190% from $35.0 million. The increase in Cost of goods sold was driven by significantly higher cube deliveries, higher direct and indirect labor, higher field service costs associated with increased deliveries and higher volume-driven warranty accruals.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5"/>
        </w:trPr>
        <w:tc>
          <w:tcPr>
            <w:tcW w:w="5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other personnel-related costs, materials, third-party services, depreciation and amortization of intangible assets.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$3.9 million or 57% for the three months ended March 31, 2026, compared to the three months ended March 31, 2025. The increase was primarily attributable to higher facility, materials and supplies, outside services and payroll-related costs partially offset by lower stock-based compensation costs.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5"/>
        </w:trPr>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payroll and personnel-related, outside professional services, facilities, depreciation, travel, marketing and public company costs.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$3.1 million or 15% for the three months ended March 31, 2026 compared to the three months ended March 31, 2025. The increase was primarily attributable to higher facility, marketing, insurance and payroll-related costs, partially offset by lower legal fees and stock-based compensation costs.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Loss from write-down of property, plant and equipment</w:t>
            </w: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1"/>
        </w:trPr>
        <w:tc>
          <w:tcPr>
            <w:tcW w:w="7860" w:type="dxa"/>
            <w:vAlign w:val="bottom"/>
          </w:tcPr>
          <w:p>
            <w:pPr>
              <w:spacing w:after="0"/>
              <w:rPr>
                <w:sz w:val="24"/>
                <w:szCs w:val="24"/>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4"/>
                <w:szCs w:val="24"/>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a loss of $0.1 million and $0.6 million from write-down of property, plant and equipment for the three months ended March 31, 2026 and 2025, respectively. The write-downs were mainly due to design changes from the Z3-Phase 1 to Z3-Phase 2 production in which the Phase 1 production assets could not be utilized or repurposed for Phase 2 production. Additionally, the loss from write-down of property, plant and equipment contains costs for disposal of miscellaneous equipment and tooling that cannot be repurposed for more automated processes.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7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includes expenses for contractual interest, amortization of debt issuance costs and debt discounts, partially offset by capitalized interest costs on CIP assets and interest income.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$11.3 million for the three months ended March 31, 2026, compared to the three months ended March 31, 2025, primarily due to an increased principal balance under the DOE Loan Facility and interest associated with the May 2025 Convertible Notes and November 2025 Convertible Notes, which were not outstanding as of March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97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expense - related party</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91"/>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Convertible Note Payable interest and amortization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AFG Convertible Note interest and amortization</w:t>
            </w:r>
          </w:p>
        </w:tc>
        <w:tc>
          <w:tcPr>
            <w:tcW w:w="28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r>
      <w:tr>
        <w:trPr>
          <w:trHeight w:val="248"/>
        </w:trPr>
        <w:tc>
          <w:tcPr>
            <w:tcW w:w="78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related party</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 related party decreased $5.8 million for the three months ended March 31, 2026, compared to the three months ended March 31, 2025, due to the fact that the 2021 Convertible Note Payable and the AFG Convertible Note were no longer outstanding during the three months ended March 31, 2026. See Note 11,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 for further discussion.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in fair value of debt - related party</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7860" w:type="dxa"/>
            <w:vAlign w:val="bottom"/>
          </w:tcPr>
          <w:p>
            <w:pPr>
              <w:spacing w:after="0"/>
              <w:rPr>
                <w:sz w:val="22"/>
                <w:szCs w:val="22"/>
                <w:color w:val="auto"/>
              </w:rPr>
            </w:pPr>
          </w:p>
        </w:tc>
        <w:tc>
          <w:tcPr>
            <w:tcW w:w="338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debt - related party</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debt - related party is related to the DDTL. The Change in fair value of debt - related party of $4.2 million and $5.9 million for the three months ended March 31, 2026 and March 31, 2025, respectively, primarily reflects the accretion of the DDTL resulting from the passage of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change in fair value of warrants was composed of the items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warrants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2023 warrants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2023 warrants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2023 warrants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r>
      <w:tr>
        <w:trPr>
          <w:trHeight w:val="248"/>
        </w:trPr>
        <w:tc>
          <w:tcPr>
            <w:tcW w:w="7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for the three months ended March 31, 2026 and March 31, 2025 is largely driven by the Company's common stock price decrease quarter over quarter.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6"/>
        </w:trPr>
        <w:tc>
          <w:tcPr>
            <w:tcW w:w="7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Change in fair value of derivatives of $165.9 million related to the change in fair value of the embedded derivative associated with the November 2025 Convertible Notes. The change is largely driven by the Company’s common stock price decrease quarter over quarter. The November 2025 Convertible Notes were not outstanding for the comparable period for the three months ended March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derivatives -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71"/>
        </w:trPr>
        <w:tc>
          <w:tcPr>
            <w:tcW w:w="128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358"/>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embedded derivatives - related parties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r>
      <w:tr>
        <w:trPr>
          <w:trHeight w:val="378"/>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 - related parties</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w:t>
            </w:r>
          </w:p>
        </w:tc>
      </w:tr>
      <w:tr>
        <w:trPr>
          <w:trHeight w:val="356"/>
        </w:trPr>
        <w:tc>
          <w:tcPr>
            <w:tcW w:w="78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derivatives - related parties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Change in the fair value of derivatives - related parties, was due to the 2021 Convertible Note Payable and AFG Convertible Notes (See Note 11,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and the Change in fair value of warrants - related parties was due to changes in fair value of our SPA Warrant and Contingent warrants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12, </w:t>
      </w:r>
      <w:r>
        <w:rPr>
          <w:rFonts w:ascii="Times New Roman" w:cs="Times New Roman" w:eastAsia="Times New Roman" w:hAnsi="Times New Roman"/>
          <w:sz w:val="18"/>
          <w:szCs w:val="18"/>
          <w:i w:val="1"/>
          <w:iCs w:val="1"/>
          <w:color w:val="auto"/>
        </w:rPr>
        <w:t>Warrants Liability</w:t>
      </w:r>
      <w:r>
        <w:rPr>
          <w:rFonts w:ascii="Times New Roman" w:cs="Times New Roman" w:eastAsia="Times New Roman" w:hAnsi="Times New Roman"/>
          <w:sz w:val="18"/>
          <w:szCs w:val="18"/>
          <w:color w:val="auto"/>
        </w:rPr>
        <w:t>). The change is largely driven by the Company's common stock price decrease quarter over quarter. The 2021 Convertible Note Payable and AFG Convertible Notes were not outstanding for the comparable period for the three months ended March 31,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expense</w:t>
            </w: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05"/>
        </w:trPr>
        <w:tc>
          <w:tcPr>
            <w:tcW w:w="7860" w:type="dxa"/>
            <w:vAlign w:val="bottom"/>
          </w:tcPr>
          <w:p>
            <w:pPr>
              <w:spacing w:after="0"/>
              <w:rPr>
                <w:sz w:val="24"/>
                <w:szCs w:val="24"/>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Other expense of $0.6 million, was primarily due to the recognition of financing issuance costs from the Credit and Securities Purchase Transaction.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86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20" w:type="dxa"/>
            <w:vAlign w:val="bottom"/>
            <w:tcBorders>
              <w:bottom w:val="single" w:sz="8" w:color="auto"/>
            </w:tcBorders>
          </w:tcPr>
          <w:p>
            <w:pPr>
              <w:spacing w:after="0"/>
              <w:rPr>
                <w:sz w:val="24"/>
                <w:szCs w:val="24"/>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income tax expense for the three months ended March 31, 2026 and 2025, attributable to taxable earnings from the Company’s foreign operations which were insignificant for the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incurred Net income of $508.9 million. Adjustments to reconcile the net income to cash used in operations are primarily from non-cash items on the Unaudited Condensed Consolidated Statements of Cash Flows. The non-cash items totaled $577.0 million. The Company incurred negative cash flows from operations of $119.7 million and had an accumulated deficit of $2,026.9 million as of March 31, 2026.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the Company had $410.7 million of unrestricted cash and cash equivalents available to fund the Company’s operations, and working capital of $464.7 million on the Unaudited Condensed Consolidated Balance Sheets. Additionally, the Company had $61.7 million of restricted cash, refer to Note 4, </w:t>
      </w:r>
      <w:r>
        <w:rPr>
          <w:rFonts w:ascii="Times New Roman" w:cs="Times New Roman" w:eastAsia="Times New Roman" w:hAnsi="Times New Roman"/>
          <w:sz w:val="18"/>
          <w:szCs w:val="18"/>
          <w:i w:val="1"/>
          <w:iCs w:val="1"/>
          <w:color w:val="auto"/>
        </w:rPr>
        <w:t>Cash, Cash Equivalents and Restricted Cash</w:t>
      </w:r>
      <w:r>
        <w:rPr>
          <w:rFonts w:ascii="Times New Roman" w:cs="Times New Roman" w:eastAsia="Times New Roman" w:hAnsi="Times New Roman"/>
          <w:sz w:val="18"/>
          <w:szCs w:val="18"/>
          <w:color w:val="auto"/>
        </w:rPr>
        <w:t xml:space="preserve"> for further discussion.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historically relied on outside capital to fund its cost structure and expects this reliance to continue for the foreseeable future until the Company reaches profitability through its planned revenue generating activities. During the three months ended March 31, 2026, the Company did not have any significant capital transactions.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March 31, 2026, under the DOE Loan Facility, the Company drew down $90.9 million for the eligible project costs that the Company had incurred through June 4, 2025. These costs represent Tranche 1 of the DOE Loan Facility for eligible costs in connection with the design, construction, installation, startup and shakedown of a battery automation line and related tools. The Company has approximately $186.6 million of availability under the DOE Loan Facility. In the event the Company does not achieve certain funding conditions and the DOE chooses not to continue funding, the Company may need to seek alternative sources of capital, which may not be available on favorable terms or at all.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capital expenditures and working capital requirements to increase as it seeks to execute its growth strategy. Total capital expenditures for the three months ended March 31, 2026 and March 31, 2025 were $35.1 million and $4.9 million, respectively. See Note 6,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Plant and Equipment </w:t>
      </w:r>
      <w:r>
        <w:rPr>
          <w:rFonts w:ascii="Times New Roman" w:cs="Times New Roman" w:eastAsia="Times New Roman" w:hAnsi="Times New Roman"/>
          <w:sz w:val="18"/>
          <w:szCs w:val="18"/>
          <w:color w:val="auto"/>
        </w:rPr>
        <w:t>and Note 7,</w:t>
      </w:r>
      <w:r>
        <w:rPr>
          <w:rFonts w:ascii="Times New Roman" w:cs="Times New Roman" w:eastAsia="Times New Roman" w:hAnsi="Times New Roman"/>
          <w:sz w:val="18"/>
          <w:szCs w:val="18"/>
          <w:i w:val="1"/>
          <w:iCs w:val="1"/>
          <w:color w:val="auto"/>
        </w:rPr>
        <w:t xml:space="preserve"> Intangible Assets </w:t>
      </w:r>
      <w:r>
        <w:rPr>
          <w:rFonts w:ascii="Times New Roman" w:cs="Times New Roman" w:eastAsia="Times New Roman" w:hAnsi="Times New Roman"/>
          <w:sz w:val="18"/>
          <w:szCs w:val="18"/>
          <w:color w:val="auto"/>
        </w:rPr>
        <w:t>for further discussion.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Discussion and Analysis of Cash Flows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relies heavily on private placement of convertible notes, term loans, equipment financing and issuance of common stock and warrants. Our short-term working capital needs are primarily related to funding of debt interest payments,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cash flows from operating, investing and financing activities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614 %</w:t>
            </w: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primarily comprise of costs related to research and development, manufacturing of products, project commissioning and other general and administrative activities.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$119.7 million for the three months ended March 31, 2026, adjusted for non-cash items of $577.0 million, primarily related to changes in fair value of warrants and derivatives, with offsets of stock compensation expense, depreciation and amortization, non-cash interest expense, and change in fair value of debt - related party. The net cash outflows from changes in operating assets and liabilities was $51.6 million, primarily driven by an increase in grant receivable of $10.3 million due to increased volumes of production, increase in contract assets of $25.5 million and decrease in contract liabilities of $8.5 million driven by revenue recognition and production, decrease in accounts payable of $14.8 million from payments made during the period, partially offset by an increase of accrued expenses of $7.2 million which was attributable to timing of payroll and various accruals at period end.</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of $28.9 million for the three months ended March 31, 2025, adjusted for non-cash items of $60.9 million, primarily related to changes in fair value of warrants and derivatives and partially offset by stock compensation expense relating to expanded headcount in engineering, sales, manufacturing engineering and R&amp;D. Additionally, offsets included depreciation and amortization, non-cash interest expense and the change in fair value of debt. The net cash inflows from changes in operating assets and liabilities was $16.8 million, primarily driven by an increase in contract liabilities of $17.1 million due to customer cash receipts and increase in accounts payable of $8.1 million, partially offset by an increase in inventory of $6.1 million for future production and increased 2025 volumes, increase in accounts receivable of $4.1 million due to customer invoicing and increase in grant receivable of $1.8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for the three months ended March 31, 2026 were primarily composed of payments made for purchases of property, plant and equipment of $35.1 million and minor investments in internally developed software. The increase in cash flows used in investing activities are primarily to support the growth of manufacturing facilities at our Warrendale location.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used in investing activities for the three months ended March 31, 2025 were primarily composed of payments made for purchases of property, plant and equipment of $4.9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$2.7 million for the three months ended March 31, 2026, primarily due to the proceeds received from the exercise of warrants during the period of $3.3 million. The proceeds were partially offset by debt issuance costs of $0.5 million and payments on the equipment financing facility of $0.1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$42.2 million for the three months ended March 31, 2025, primarily due to the proceeds received from the Credit and Securities Purchase Transaction of $38.5 million and from the exercise of warrants of $7.0 million. The proceeds were partially offset by payments on the equipment financing facility of $0.9 million and share repurchases from employees for tax withholding of $0.5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obligations and commitments to make future payments under contracts. As of March 31, 2026, this is composed of the following:</w:t>
      </w:r>
    </w:p>
    <w:p>
      <w:pPr>
        <w:spacing w:after="0" w:line="63" w:lineRule="exact"/>
        <w:rPr>
          <w:sz w:val="20"/>
          <w:szCs w:val="20"/>
          <w:color w:val="auto"/>
        </w:rPr>
      </w:pPr>
    </w:p>
    <w:p>
      <w:pPr>
        <w:ind w:left="660" w:right="20" w:hanging="328"/>
        <w:spacing w:after="0" w:line="279"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Future lease payments, including interest, under non-cancellable operating and financing leases of $60.2 million. The leases expire at various dates prior to 2030.</w:t>
      </w:r>
    </w:p>
    <w:p>
      <w:pPr>
        <w:spacing w:after="0" w:line="2" w:lineRule="exact"/>
        <w:rPr>
          <w:rFonts w:ascii="Times New Roman" w:cs="Times New Roman" w:eastAsia="Times New Roman" w:hAnsi="Times New Roman"/>
          <w:sz w:val="18"/>
          <w:szCs w:val="18"/>
          <w:b w:val="1"/>
          <w:bCs w:val="1"/>
          <w:i w:val="1"/>
          <w:iCs w:val="1"/>
          <w:color w:val="auto"/>
        </w:rPr>
      </w:pPr>
    </w:p>
    <w:p>
      <w:pPr>
        <w:ind w:left="660" w:right="20" w:hanging="328"/>
        <w:spacing w:after="0" w:line="272"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Principal and Interest payments related to the following debt obligations (see Note 11,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Unaudited Condensed Consolidated Financial Statements included elsewhere in this Quarterly Report):</w:t>
      </w: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250"/>
              <w:spacing w:after="0" w:line="186" w:lineRule="exact"/>
              <w:rPr>
                <w:sz w:val="20"/>
                <w:szCs w:val="20"/>
                <w:color w:val="auto"/>
              </w:rPr>
            </w:pPr>
            <w:r>
              <w:rPr>
                <w:rFonts w:ascii="Times New Roman" w:cs="Times New Roman" w:eastAsia="Times New Roman" w:hAnsi="Times New Roman"/>
                <w:sz w:val="18"/>
                <w:szCs w:val="18"/>
                <w:b w:val="1"/>
                <w:bCs w:val="1"/>
                <w:color w:val="auto"/>
              </w:rPr>
              <w:t>Future Debt</w:t>
            </w:r>
          </w:p>
        </w:tc>
      </w:tr>
      <w:tr>
        <w:trPr>
          <w:trHeight w:val="241"/>
        </w:trPr>
        <w:tc>
          <w:tcPr>
            <w:tcW w:w="9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25"/>
        </w:trPr>
        <w:tc>
          <w:tcPr>
            <w:tcW w:w="96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Delayed Draw Term Loan - due June 2034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348,386</w:t>
            </w:r>
          </w:p>
        </w:tc>
      </w:tr>
      <w:tr>
        <w:trPr>
          <w:trHeight w:val="229"/>
        </w:trPr>
        <w:tc>
          <w:tcPr>
            <w:tcW w:w="9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DOE Loan Facility - due June 2034 </w:t>
            </w:r>
            <w:r>
              <w:rPr>
                <w:rFonts w:ascii="Times New Roman" w:cs="Times New Roman" w:eastAsia="Times New Roman" w:hAnsi="Times New Roman"/>
                <w:sz w:val="23"/>
                <w:szCs w:val="23"/>
                <w:color w:val="auto"/>
                <w:vertAlign w:val="superscript"/>
              </w:rPr>
              <w:t>(1) (2)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120,284</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2025 Convertible Notes - due June 2030</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November 2025 Convertible Notes - due December 2031</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663,204</w:t>
            </w:r>
          </w:p>
        </w:tc>
      </w:tr>
      <w:tr>
        <w:trPr>
          <w:trHeight w:val="248"/>
        </w:trPr>
        <w:tc>
          <w:tcPr>
            <w:tcW w:w="96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1,197,061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March 31, 2026, the Company is obligated to repay future contractual interest payments for these borrowings in-kind.</w:t>
      </w:r>
    </w:p>
    <w:p>
      <w:pPr>
        <w:spacing w:after="0" w:line="27" w:lineRule="exact"/>
        <w:rPr>
          <w:rFonts w:ascii="Times New Roman" w:cs="Times New Roman" w:eastAsia="Times New Roman" w:hAnsi="Times New Roman"/>
          <w:sz w:val="9"/>
          <w:szCs w:val="9"/>
          <w:color w:val="auto"/>
        </w:rPr>
      </w:pPr>
    </w:p>
    <w:p>
      <w:pPr>
        <w:ind w:left="160" w:hanging="152"/>
        <w:spacing w:after="0" w:line="192"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DDTL and DOE Loan Facility contain Springing Maturity dates that could make the debt due March 14, 2030.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(“CAE”)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The Company’s significant accounting policies are described in the Company’s Annual Report on Form 10-K for the year ended December 31, 2025.</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the CAE’s in the Company’s Annual Report on Form 10-K for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market risk exposures for the three months ended March 31, 2026, as compared to those discussed in its Annual Report on Form 10-K for the year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as of the end of the period covered by this Report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Action Complaints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6, 2026, a class action lawsuit (the “Yung Complaint”) was filed in the United States District Court of New Jersey by plaintiff Shui Shing Yung against the Company and two individual officers: the Company’s Chief Executive Officer and its Chief Financial Officer (with the Company, the “Yung Defendants”). The Yung Complaint alleges that the Yung Defendants violated federal securities laws by making knowingly false or misleading statements about the Company’s manufacturing capabilities and financial outlook. The Company intends to vigorously contest this matter.</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13, 2026, a shareholder derivative lawsuit (the “Berger Complaint”) was filed in the United States District Court of the District of New Jersey by plaintiff Paul Berger against certain defendants including the Company’s Chief Executive Officer, the Company’s Chief Financial Officer, and nine of the Company’s current Directors (the “Berger Defendants”). The Berger Complaint alleges that the Berger Defendants breached their fiduciary duties to the Company by allowing the Company to make knowingly false or misleading statements about the Company’s manufacturing capabilities and financial outlook. The Company intends to vigorously contest this matter.</w:t>
      </w:r>
    </w:p>
    <w:p>
      <w:pPr>
        <w:spacing w:after="0" w:line="11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25, 2026, a shareholder derivative lawsuit (the “Skaff Complaint”) was filed in the United States District Court of the District of New Jersey by plaintiff Ronald F. Skaff against certain defendants including the Company’s Chief Executive Officer, the Company’s Chief Financial Officer, and nine of the Company’s current Directors (the “Skaff Defendants”). The Skaff Complaint alleges that the Skaff Defendants breached their fiduciary duties to the Company by allowing the Company to make knowingly false or misleading statements about the Company’s manufacturing capabilities and financial outlook. The Company intends to vigorously contest this matter.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additional material changes to the risk factors disclosed in our annual report on Form 10-K for the fiscal year ended December 31, 2025. We may disclose changes to such risk factors or disclose additional risk factors from time to time in our future filings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12, 2026, Joseph Mastrangelo, Chief Executive Officer, terminated his sell-to-cover Rule 10b5-1 trading plan. No other directors or officers have adopted, terminated or modified any trading plans.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 Exhibits</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3940" w:type="dxa"/>
            <w:vAlign w:val="bottom"/>
            <w:gridSpan w:val="2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40" w:type="dxa"/>
            <w:vAlign w:val="bottom"/>
          </w:tcPr>
          <w:p>
            <w:pPr>
              <w:spacing w:after="0"/>
              <w:rPr>
                <w:sz w:val="21"/>
                <w:szCs w:val="21"/>
                <w:color w:val="auto"/>
              </w:rPr>
            </w:pPr>
          </w:p>
        </w:tc>
        <w:tc>
          <w:tcPr>
            <w:tcW w:w="3940" w:type="dxa"/>
            <w:vAlign w:val="bottom"/>
            <w:gridSpan w:val="2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160" w:type="dxa"/>
            <w:vAlign w:val="bottom"/>
            <w:gridSpan w:val="3"/>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4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4460" w:type="dxa"/>
            <w:vAlign w:val="bottom"/>
            <w:tcBorders>
              <w:top w:val="single" w:sz="8" w:color="auto"/>
            </w:tcBorders>
            <w:gridSpan w:val="22"/>
            <w:shd w:val="clear" w:color="auto" w:fill="CCEEFF"/>
          </w:tcPr>
          <w:p>
            <w:pPr>
              <w:spacing w:after="0" w:line="18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Third Amended and Restated Certificate of Incorporation of</w:t>
              </w:r>
            </w:hyperlink>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Form 10-K</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File No. 001-</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34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the Company, as amended</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6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Certificate of Amendment to the Third Amended and</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10-Q</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May 14, 2024</w:t>
            </w: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3840" w:type="dxa"/>
            <w:vAlign w:val="bottom"/>
            <w:tcBorders>
              <w:top w:val="single" w:sz="8" w:color="0000FF"/>
            </w:tcBorders>
            <w:gridSpan w:val="8"/>
            <w:shd w:val="clear" w:color="auto" w:fill="CCEEFF"/>
          </w:tcPr>
          <w:p>
            <w:pPr>
              <w:spacing w:after="0" w:line="156"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Restated Certificate of Incorporation of the Company,</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gridSpan w:val="13"/>
            <w:shd w:val="clear" w:color="auto" w:fill="CCEEFF"/>
          </w:tcPr>
          <w:p>
            <w:pPr>
              <w:ind w:left="20"/>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as</w:t>
              </w:r>
            </w:hyperlink>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08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amended</w:t>
              </w:r>
            </w:hyperlink>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Amended and Restated Bylaws of the Company</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May 19, 2022</w:t>
            </w:r>
          </w:p>
        </w:tc>
        <w:tc>
          <w:tcPr>
            <w:tcW w:w="0" w:type="dxa"/>
            <w:vAlign w:val="bottom"/>
          </w:tcPr>
          <w:p>
            <w:pPr>
              <w:spacing w:after="0"/>
              <w:rPr>
                <w:sz w:val="1"/>
                <w:szCs w:val="1"/>
                <w:color w:val="auto"/>
              </w:rPr>
            </w:pPr>
          </w:p>
        </w:tc>
      </w:tr>
      <w:tr>
        <w:trPr>
          <w:trHeight w:val="209"/>
        </w:trPr>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Series A-1 Preferred Stock Certificate of Designation</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June 24, 2024</w:t>
            </w:r>
          </w:p>
        </w:tc>
        <w:tc>
          <w:tcPr>
            <w:tcW w:w="0" w:type="dxa"/>
            <w:vAlign w:val="bottom"/>
          </w:tcPr>
          <w:p>
            <w:pPr>
              <w:spacing w:after="0"/>
              <w:rPr>
                <w:sz w:val="1"/>
                <w:szCs w:val="1"/>
                <w:color w:val="auto"/>
              </w:rPr>
            </w:pPr>
          </w:p>
        </w:tc>
      </w:tr>
      <w:tr>
        <w:trPr>
          <w:trHeight w:val="210"/>
        </w:trPr>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Series A-2 Preferred Stock Certificate of Designation.</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August 30, 2024</w:t>
            </w:r>
          </w:p>
        </w:tc>
        <w:tc>
          <w:tcPr>
            <w:tcW w:w="0" w:type="dxa"/>
            <w:vAlign w:val="bottom"/>
          </w:tcPr>
          <w:p>
            <w:pPr>
              <w:spacing w:after="0"/>
              <w:rPr>
                <w:sz w:val="1"/>
                <w:szCs w:val="1"/>
                <w:color w:val="auto"/>
              </w:rPr>
            </w:pPr>
          </w:p>
        </w:tc>
      </w:tr>
      <w:tr>
        <w:trPr>
          <w:trHeight w:val="210"/>
        </w:trPr>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124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Designation of Series B-1 Non-Voting</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September 12, 2024</w:t>
            </w: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Convertible Preferred Stock</w:t>
              </w:r>
            </w:hyperlink>
          </w:p>
        </w:tc>
        <w:tc>
          <w:tcPr>
            <w:tcW w:w="200" w:type="dxa"/>
            <w:vAlign w:val="bottom"/>
            <w:tcBorders>
              <w:top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Certificate of Designation of Series B-2 Non-Voting</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September 12, 2024</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Convertible Preferred Stock</w:t>
              </w:r>
            </w:hyperlink>
          </w:p>
        </w:tc>
        <w:tc>
          <w:tcPr>
            <w:tcW w:w="200" w:type="dxa"/>
            <w:vAlign w:val="bottom"/>
            <w:tcBorders>
              <w:top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Designation of Series B-3 Non-Voting</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November 4, 2024</w:t>
            </w: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Convertible Preferred Stock</w:t>
              </w:r>
            </w:hyperlink>
          </w:p>
        </w:tc>
        <w:tc>
          <w:tcPr>
            <w:tcW w:w="200" w:type="dxa"/>
            <w:vAlign w:val="bottom"/>
            <w:tcBorders>
              <w:top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Certificate of Designation of Series B-4 Non-Voting</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January 27, 2025</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Convertible Preferred Stock</w:t>
              </w:r>
            </w:hyperlink>
          </w:p>
        </w:tc>
        <w:tc>
          <w:tcPr>
            <w:tcW w:w="200" w:type="dxa"/>
            <w:vAlign w:val="bottom"/>
            <w:tcBorders>
              <w:top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2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Second Amendment to Loan Guarantee Agreement, dated</w:t>
              </w:r>
            </w:hyperlink>
          </w:p>
        </w:tc>
        <w:tc>
          <w:tcPr>
            <w:tcW w:w="13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Form 8-K</w:t>
            </w:r>
          </w:p>
        </w:tc>
        <w:tc>
          <w:tcPr>
            <w:tcW w:w="13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File No. 001-</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February 17, 2026</w:t>
            </w: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180" w:type="dxa"/>
            <w:vAlign w:val="bottom"/>
            <w:tcBorders>
              <w:top w:val="single" w:sz="8" w:color="0000FF"/>
              <w:bottom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6"/>
              </w:rPr>
            </w:pPr>
            <w:hyperlink r:id="rId109">
              <w:r>
                <w:rPr>
                  <w:rFonts w:ascii="Times New Roman" w:cs="Times New Roman" w:eastAsia="Times New Roman" w:hAnsi="Times New Roman"/>
                  <w:sz w:val="18"/>
                  <w:szCs w:val="18"/>
                  <w:color w:val="0000FF"/>
                  <w:w w:val="96"/>
                </w:rPr>
                <w:t>February 13, 2026, by and between Eos Energy Enterprises,</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39291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320" w:type="dxa"/>
            <w:vAlign w:val="bottom"/>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Inc. and the United States Department of Energy</w:t>
              </w:r>
            </w:hyperlink>
          </w:p>
        </w:tc>
        <w:tc>
          <w:tcPr>
            <w:tcW w:w="40" w:type="dxa"/>
            <w:vAlign w:val="bottom"/>
            <w:gridSpan w:val="2"/>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4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gridSpan w:val="5"/>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4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580" w:type="dxa"/>
            <w:vAlign w:val="bottom"/>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Exchange Act Rules 13a-14(a) and 15d-14(a), as adopted</w:t>
            </w: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60" w:type="dxa"/>
            <w:vAlign w:val="bottom"/>
            <w:tcBorders>
              <w:top w:val="single" w:sz="8" w:color="CCEEFF"/>
            </w:tcBorders>
            <w:gridSpan w:val="2"/>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40" w:type="dxa"/>
            <w:vAlign w:val="bottom"/>
            <w:tcBorders>
              <w:top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CCEEFF"/>
            </w:tcBorders>
            <w:shd w:val="clear" w:color="auto" w:fill="CCEEFF"/>
          </w:tcPr>
          <w:p>
            <w:pPr>
              <w:spacing w:after="0"/>
              <w:rPr>
                <w:sz w:val="16"/>
                <w:szCs w:val="16"/>
                <w:color w:val="auto"/>
              </w:rPr>
            </w:pPr>
          </w:p>
        </w:tc>
        <w:tc>
          <w:tcPr>
            <w:tcW w:w="45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and Chief Financial</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4360" w:type="dxa"/>
            <w:vAlign w:val="bottom"/>
            <w:tcBorders>
              <w:top w:val="single" w:sz="8" w:color="0000FF"/>
            </w:tcBorders>
            <w:gridSpan w:val="2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Officer pursuant to 18 U.S.C. Section 1350, as adopted</w:t>
            </w:r>
          </w:p>
        </w:tc>
        <w:tc>
          <w:tcPr>
            <w:tcW w:w="220" w:type="dxa"/>
            <w:vAlign w:val="bottom"/>
            <w:tcBorders>
              <w:top w:val="single" w:sz="8" w:color="CCEEFF"/>
            </w:tcBorders>
            <w:gridSpan w:val="3"/>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3960" w:type="dxa"/>
            <w:vAlign w:val="bottom"/>
            <w:tcBorders>
              <w:top w:val="single" w:sz="8" w:color="0000FF"/>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w:t>
            </w:r>
          </w:p>
        </w:tc>
        <w:tc>
          <w:tcPr>
            <w:tcW w:w="620" w:type="dxa"/>
            <w:vAlign w:val="bottom"/>
            <w:tcBorders>
              <w:top w:val="single" w:sz="8" w:color="CCEEFF"/>
            </w:tcBorders>
            <w:gridSpan w:val="12"/>
            <w:shd w:val="clear" w:color="auto" w:fill="CCEEFF"/>
          </w:tcPr>
          <w:p>
            <w:pPr>
              <w:jc w:val="right"/>
              <w:ind w:right="320"/>
              <w:spacing w:after="0" w:line="156" w:lineRule="exact"/>
              <w:rPr>
                <w:sz w:val="20"/>
                <w:szCs w:val="20"/>
                <w:color w:val="auto"/>
              </w:rPr>
            </w:pPr>
            <w:r>
              <w:rPr>
                <w:rFonts w:ascii="Times New Roman" w:cs="Times New Roman" w:eastAsia="Times New Roman" w:hAnsi="Times New Roman"/>
                <w:sz w:val="18"/>
                <w:szCs w:val="18"/>
                <w:color w:val="0000FF"/>
                <w:w w:val="77"/>
              </w:rPr>
              <w:t>2002</w:t>
            </w:r>
          </w:p>
        </w:tc>
        <w:tc>
          <w:tcPr>
            <w:tcW w:w="1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Borders>
              <w:right w:val="single" w:sz="8" w:color="CCEEFF"/>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45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5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5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9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23"/>
          </w:tcPr>
          <w:p>
            <w:pPr>
              <w:ind w:left="4380"/>
              <w:spacing w:after="0"/>
              <w:rPr>
                <w:sz w:val="20"/>
                <w:szCs w:val="20"/>
                <w:color w:val="auto"/>
              </w:rPr>
            </w:pPr>
            <w:r>
              <w:rPr>
                <w:rFonts w:ascii="Times New Roman" w:cs="Times New Roman" w:eastAsia="Times New Roman" w:hAnsi="Times New Roman"/>
                <w:sz w:val="18"/>
                <w:szCs w:val="18"/>
                <w:color w:val="auto"/>
                <w:w w:val="99"/>
              </w:rPr>
              <w:t>49</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1140" w:type="dxa"/>
            <w:vAlign w:val="bottom"/>
            <w:gridSpan w:val="2"/>
            <w:vMerge w:val="continue"/>
          </w:tcPr>
          <w:p>
            <w:pPr>
              <w:spacing w:after="0"/>
              <w:rPr>
                <w:sz w:val="13"/>
                <w:szCs w:val="13"/>
                <w:color w:val="auto"/>
              </w:rPr>
            </w:pPr>
          </w:p>
        </w:tc>
        <w:tc>
          <w:tcPr>
            <w:tcW w:w="460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2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Schedule/Form   File Number</w:t>
            </w: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0" w:type="dxa"/>
            <w:vAlign w:val="bottom"/>
            <w:gridSpan w:val="2"/>
            <w:vMerge w:val="continue"/>
          </w:tcPr>
          <w:p>
            <w:pPr>
              <w:spacing w:after="0"/>
              <w:rPr>
                <w:sz w:val="20"/>
                <w:szCs w:val="20"/>
                <w:color w:val="auto"/>
              </w:rPr>
            </w:pPr>
          </w:p>
        </w:tc>
        <w:tc>
          <w:tcPr>
            <w:tcW w:w="2660" w:type="dxa"/>
            <w:vAlign w:val="bottom"/>
            <w:gridSpan w:val="4"/>
            <w:vMerge w:val="continue"/>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Document</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right="5740" w:hanging="1134"/>
        <w:spacing w:after="0" w:line="266" w:lineRule="auto"/>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0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100" w:lineRule="exact"/>
        <w:rPr>
          <w:sz w:val="20"/>
          <w:szCs w:val="20"/>
          <w:color w:val="auto"/>
        </w:rPr>
      </w:pPr>
    </w:p>
    <w:p>
      <w:pPr>
        <w:ind w:left="340" w:right="180" w:hanging="332"/>
        <w:spacing w:after="0" w:line="280" w:lineRule="auto"/>
        <w:tabs>
          <w:tab w:leader="none" w:pos="25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Portions of this exhibit have been omitted pursuant to Item 601(b)(10) of Regulation S-K because they are both (i) not material and (ii) contain the type of information that the Company customarily and actually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6860" w:type="dxa"/>
            <w:vAlign w:val="bottom"/>
            <w:gridSpan w:val="3"/>
          </w:tcPr>
          <w:p>
            <w:pPr>
              <w:ind w:left="266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120" w:type="dxa"/>
            <w:vAlign w:val="bottom"/>
          </w:tcPr>
          <w:p>
            <w:pPr>
              <w:spacing w:after="0"/>
              <w:rPr>
                <w:sz w:val="20"/>
                <w:szCs w:val="20"/>
                <w:color w:val="auto"/>
              </w:rPr>
            </w:pPr>
          </w:p>
        </w:tc>
      </w:tr>
      <w:tr>
        <w:trPr>
          <w:trHeight w:val="48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Joseph Mastrangelo</w:t>
            </w:r>
          </w:p>
        </w:tc>
        <w:tc>
          <w:tcPr>
            <w:tcW w:w="120" w:type="dxa"/>
            <w:vAlign w:val="bottom"/>
          </w:tcPr>
          <w:p>
            <w:pPr>
              <w:spacing w:after="0"/>
              <w:rPr>
                <w:sz w:val="24"/>
                <w:szCs w:val="24"/>
                <w:color w:val="auto"/>
              </w:rPr>
            </w:pPr>
          </w:p>
        </w:tc>
      </w:tr>
      <w:tr>
        <w:trPr>
          <w:trHeight w:val="223"/>
        </w:trPr>
        <w:tc>
          <w:tcPr>
            <w:tcW w:w="4100" w:type="dxa"/>
            <w:vAlign w:val="bottom"/>
          </w:tcPr>
          <w:p>
            <w:pPr>
              <w:spacing w:after="0"/>
              <w:rPr>
                <w:sz w:val="19"/>
                <w:szCs w:val="19"/>
                <w:color w:val="auto"/>
              </w:rPr>
            </w:pPr>
          </w:p>
        </w:tc>
        <w:tc>
          <w:tcPr>
            <w:tcW w:w="34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Name:</w:t>
            </w:r>
          </w:p>
        </w:tc>
        <w:tc>
          <w:tcPr>
            <w:tcW w:w="3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Joseph Mastrangelo</w:t>
            </w:r>
          </w:p>
        </w:tc>
        <w:tc>
          <w:tcPr>
            <w:tcW w:w="120" w:type="dxa"/>
            <w:vAlign w:val="bottom"/>
          </w:tcPr>
          <w:p>
            <w:pPr>
              <w:spacing w:after="0"/>
              <w:rPr>
                <w:sz w:val="19"/>
                <w:szCs w:val="19"/>
                <w:color w:val="auto"/>
              </w:rPr>
            </w:pPr>
          </w:p>
        </w:tc>
      </w:tr>
      <w:tr>
        <w:trPr>
          <w:trHeight w:val="169"/>
        </w:trPr>
        <w:tc>
          <w:tcPr>
            <w:tcW w:w="4100" w:type="dxa"/>
            <w:vAlign w:val="bottom"/>
          </w:tcPr>
          <w:p>
            <w:pPr>
              <w:spacing w:after="0"/>
              <w:rPr>
                <w:sz w:val="14"/>
                <w:szCs w:val="14"/>
                <w:color w:val="auto"/>
              </w:rPr>
            </w:pPr>
          </w:p>
        </w:tc>
        <w:tc>
          <w:tcPr>
            <w:tcW w:w="3460" w:type="dxa"/>
            <w:vAlign w:val="bottom"/>
          </w:tcPr>
          <w:p>
            <w:pPr>
              <w:ind w:left="2660"/>
              <w:spacing w:after="0" w:line="169" w:lineRule="exact"/>
              <w:rPr>
                <w:sz w:val="20"/>
                <w:szCs w:val="20"/>
                <w:color w:val="auto"/>
              </w:rPr>
            </w:pPr>
            <w:r>
              <w:rPr>
                <w:rFonts w:ascii="Times New Roman" w:cs="Times New Roman" w:eastAsia="Times New Roman" w:hAnsi="Times New Roman"/>
                <w:sz w:val="18"/>
                <w:szCs w:val="18"/>
                <w:color w:val="auto"/>
              </w:rPr>
              <w:t>Title:</w:t>
            </w:r>
          </w:p>
        </w:tc>
        <w:tc>
          <w:tcPr>
            <w:tcW w:w="34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14"/>
                <w:szCs w:val="14"/>
                <w:color w:val="auto"/>
              </w:rPr>
            </w:pPr>
          </w:p>
        </w:tc>
      </w:tr>
      <w:tr>
        <w:trPr>
          <w:trHeight w:val="234"/>
        </w:trPr>
        <w:tc>
          <w:tcPr>
            <w:tcW w:w="4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r>
      <w:tr>
        <w:trPr>
          <w:trHeight w:val="79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4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Nathan Kroeker</w:t>
            </w:r>
          </w:p>
        </w:tc>
        <w:tc>
          <w:tcPr>
            <w:tcW w:w="120" w:type="dxa"/>
            <w:vAlign w:val="bottom"/>
            <w:tcBorders>
              <w:bottom w:val="single" w:sz="8" w:color="auto"/>
            </w:tcBorders>
          </w:tcPr>
          <w:p>
            <w:pPr>
              <w:spacing w:after="0"/>
              <w:rPr>
                <w:sz w:val="24"/>
                <w:szCs w:val="24"/>
                <w:color w:val="auto"/>
              </w:rPr>
            </w:pPr>
          </w:p>
        </w:tc>
      </w:tr>
      <w:tr>
        <w:trPr>
          <w:trHeight w:val="223"/>
        </w:trPr>
        <w:tc>
          <w:tcPr>
            <w:tcW w:w="4100" w:type="dxa"/>
            <w:vAlign w:val="bottom"/>
          </w:tcPr>
          <w:p>
            <w:pPr>
              <w:spacing w:after="0"/>
              <w:rPr>
                <w:sz w:val="19"/>
                <w:szCs w:val="19"/>
                <w:color w:val="auto"/>
              </w:rPr>
            </w:pPr>
          </w:p>
        </w:tc>
        <w:tc>
          <w:tcPr>
            <w:tcW w:w="34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9"/>
                <w:szCs w:val="19"/>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Nathan Kroeker</w:t>
            </w:r>
          </w:p>
        </w:tc>
        <w:tc>
          <w:tcPr>
            <w:tcW w:w="120" w:type="dxa"/>
            <w:vAlign w:val="bottom"/>
            <w:tcBorders>
              <w:bottom w:val="single" w:sz="8" w:color="auto"/>
            </w:tcBorders>
          </w:tcPr>
          <w:p>
            <w:pPr>
              <w:spacing w:after="0"/>
              <w:rPr>
                <w:sz w:val="19"/>
                <w:szCs w:val="19"/>
                <w:color w:val="auto"/>
              </w:rPr>
            </w:pPr>
          </w:p>
        </w:tc>
      </w:tr>
      <w:tr>
        <w:trPr>
          <w:trHeight w:val="169"/>
        </w:trPr>
        <w:tc>
          <w:tcPr>
            <w:tcW w:w="4100" w:type="dxa"/>
            <w:vAlign w:val="bottom"/>
          </w:tcPr>
          <w:p>
            <w:pPr>
              <w:spacing w:after="0"/>
              <w:rPr>
                <w:sz w:val="14"/>
                <w:szCs w:val="14"/>
                <w:color w:val="auto"/>
              </w:rPr>
            </w:pPr>
          </w:p>
        </w:tc>
        <w:tc>
          <w:tcPr>
            <w:tcW w:w="3460" w:type="dxa"/>
            <w:vAlign w:val="bottom"/>
          </w:tcPr>
          <w:p>
            <w:pPr>
              <w:ind w:left="2720"/>
              <w:spacing w:after="0" w:line="169" w:lineRule="exact"/>
              <w:rPr>
                <w:sz w:val="20"/>
                <w:szCs w:val="20"/>
                <w:color w:val="auto"/>
              </w:rPr>
            </w:pPr>
            <w:r>
              <w:rPr>
                <w:rFonts w:ascii="Times New Roman" w:cs="Times New Roman" w:eastAsia="Times New Roman" w:hAnsi="Times New Roman"/>
                <w:sz w:val="18"/>
                <w:szCs w:val="18"/>
                <w:color w:val="auto"/>
              </w:rPr>
              <w:t>Title:</w:t>
            </w:r>
          </w:p>
        </w:tc>
        <w:tc>
          <w:tcPr>
            <w:tcW w:w="60" w:type="dxa"/>
            <w:vAlign w:val="bottom"/>
          </w:tcPr>
          <w:p>
            <w:pPr>
              <w:spacing w:after="0"/>
              <w:rPr>
                <w:sz w:val="14"/>
                <w:szCs w:val="14"/>
                <w:color w:val="auto"/>
              </w:rPr>
            </w:pPr>
          </w:p>
        </w:tc>
        <w:tc>
          <w:tcPr>
            <w:tcW w:w="33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Interim Chief Financial Officer</w:t>
            </w:r>
          </w:p>
        </w:tc>
        <w:tc>
          <w:tcPr>
            <w:tcW w:w="120" w:type="dxa"/>
            <w:vAlign w:val="bottom"/>
          </w:tcPr>
          <w:p>
            <w:pPr>
              <w:spacing w:after="0"/>
              <w:rPr>
                <w:sz w:val="14"/>
                <w:szCs w:val="14"/>
                <w:color w:val="auto"/>
              </w:rPr>
            </w:pPr>
          </w:p>
        </w:tc>
      </w:tr>
      <w:tr>
        <w:trPr>
          <w:trHeight w:val="234"/>
        </w:trPr>
        <w:tc>
          <w:tcPr>
            <w:tcW w:w="41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left="340" w:right="188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Mastrangelo, certify that:</w:t>
      </w:r>
    </w:p>
    <w:p>
      <w:pPr>
        <w:spacing w:after="0" w:line="104" w:lineRule="exact"/>
        <w:rPr>
          <w:sz w:val="20"/>
          <w:szCs w:val="20"/>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Eos Energy Enterprises, Inc. (the “Registrant”);</w:t>
      </w:r>
    </w:p>
    <w:p>
      <w:pPr>
        <w:spacing w:after="0" w:line="9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86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hanging="4"/>
        <w:spacing w:after="0" w:line="282" w:lineRule="auto"/>
        <w:tabs>
          <w:tab w:leader="none" w:pos="8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660" w:right="20" w:hanging="4"/>
        <w:spacing w:after="0" w:line="312" w:lineRule="auto"/>
        <w:tabs>
          <w:tab w:leader="none" w:pos="8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7"/>
          <w:szCs w:val="17"/>
          <w:color w:val="auto"/>
        </w:rPr>
      </w:pPr>
    </w:p>
    <w:p>
      <w:pPr>
        <w:ind w:left="340" w:hanging="8"/>
        <w:spacing w:after="0" w:line="282" w:lineRule="auto"/>
        <w:tabs>
          <w:tab w:leader="none" w:pos="5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0" w:hanging="4"/>
        <w:spacing w:after="0" w:line="282" w:lineRule="auto"/>
        <w:tabs>
          <w:tab w:leader="none" w:pos="83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6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left="340" w:right="1880"/>
        <w:spacing w:after="0" w:line="255"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Kroeker, certify that:</w:t>
      </w:r>
    </w:p>
    <w:p>
      <w:pPr>
        <w:spacing w:after="0" w:line="104" w:lineRule="exact"/>
        <w:rPr>
          <w:sz w:val="20"/>
          <w:szCs w:val="20"/>
          <w:color w:val="auto"/>
        </w:rPr>
      </w:pPr>
    </w:p>
    <w:p>
      <w:pPr>
        <w:ind w:left="520" w:hanging="188"/>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(the “Report”) of Eos Energy Enterprises, Inc. (the Registrant”);</w:t>
      </w:r>
    </w:p>
    <w:p>
      <w:pPr>
        <w:spacing w:after="0" w:line="9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hanging="8"/>
        <w:spacing w:after="0" w:line="282" w:lineRule="auto"/>
        <w:tabs>
          <w:tab w:leader="none" w:pos="52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8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hanging="4"/>
        <w:spacing w:after="0" w:line="282" w:lineRule="auto"/>
        <w:tabs>
          <w:tab w:leader="none" w:pos="86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660" w:right="20" w:hanging="4"/>
        <w:spacing w:after="0" w:line="312" w:lineRule="auto"/>
        <w:tabs>
          <w:tab w:leader="none" w:pos="8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7"/>
          <w:szCs w:val="17"/>
          <w:color w:val="auto"/>
        </w:rPr>
      </w:pPr>
    </w:p>
    <w:p>
      <w:pPr>
        <w:ind w:left="340" w:hanging="8"/>
        <w:spacing w:after="0" w:line="282" w:lineRule="auto"/>
        <w:tabs>
          <w:tab w:leader="none" w:pos="5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0" w:hanging="4"/>
        <w:spacing w:after="0" w:line="282" w:lineRule="auto"/>
        <w:tabs>
          <w:tab w:leader="none" w:pos="8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6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680" w:val="left"/>
          <w:tab w:leader="none" w:pos="62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Nathan Kroeker</w:t>
      </w:r>
    </w:p>
    <w:p>
      <w:pPr>
        <w:spacing w:after="0" w:line="6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(the “Registrant”), for the quarterly period ended March 31, 2026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5"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Mastrangelo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Eos Energy Enterprises, Inc. (the “Registrant”), for the quarterly period ended March 31, 2026 as filed with the Securities and Exchange Commission on the date hereof (the “Report”), I, Nathan Kroeker, hereby certify, in the capacity and on the date indicated below, pursuant to 18 U.S.C.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15" w:lineRule="exact"/>
        <w:rPr>
          <w:sz w:val="20"/>
          <w:szCs w:val="20"/>
          <w:color w:val="auto"/>
        </w:rPr>
      </w:pPr>
    </w:p>
    <w:p>
      <w:pPr>
        <w:ind w:left="20"/>
        <w:spacing w:after="0"/>
        <w:tabs>
          <w:tab w:leader="none" w:pos="5740" w:val="left"/>
          <w:tab w:leader="none" w:pos="63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Nathan Kroeker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34290</wp:posOffset>
            </wp:positionV>
            <wp:extent cx="31286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Nathan Kroeker</w:t>
      </w:r>
    </w:p>
    <w:p>
      <w:pPr>
        <w:spacing w:after="0" w:line="6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61"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lowerRoman"/>
      <w:start w:val="3"/>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Roman"/>
      <w:start w:val="3"/>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0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00" Type="http://schemas.openxmlformats.org/officeDocument/2006/relationships/hyperlink" Target="https://www.sec.gov/Archives/edgar/data/1805077/000162828023005647/ex31-thirdamendedandrestat.htm" TargetMode="External"/><Relationship Id="rId101" Type="http://schemas.openxmlformats.org/officeDocument/2006/relationships/hyperlink" Target="https://www.sec.gov/Archives/edgar/data/1805077/000180507724000051/secondcertificateofamend.htm" TargetMode="External"/><Relationship Id="rId102" Type="http://schemas.openxmlformats.org/officeDocument/2006/relationships/hyperlink" Target="https://www.sec.gov/Archives/edgar/data/1805077/000162828022014885/secondamendedandrestatedby.htm" TargetMode="External"/><Relationship Id="rId103" Type="http://schemas.openxmlformats.org/officeDocument/2006/relationships/hyperlink" Target="https://www.sec.gov/Archives/edgar/data/1805077/000121390024054998/ea020831801ex3-1_eosener.htm" TargetMode="External"/><Relationship Id="rId104" Type="http://schemas.openxmlformats.org/officeDocument/2006/relationships/hyperlink" Target="https://www.sec.gov/Archives/edgar/data/1805077/000121390024074175/ea021300401ex3-1_eosenergy.htm" TargetMode="External"/><Relationship Id="rId105" Type="http://schemas.openxmlformats.org/officeDocument/2006/relationships/hyperlink" Target="https://www.sec.gov/Archives/edgar/data/1805077/000121390024078188/ea021432401ex3-1_eosenergy.htm" TargetMode="External"/><Relationship Id="rId106" Type="http://schemas.openxmlformats.org/officeDocument/2006/relationships/hyperlink" Target="https://www.sec.gov/Archives/edgar/data/1805077/000121390024078188/ea021432401ex3-2_eosenergy.htm" TargetMode="External"/><Relationship Id="rId107" Type="http://schemas.openxmlformats.org/officeDocument/2006/relationships/hyperlink" Target="https://www.sec.gov/Archives/edgar/data/1805077/000121390024094161/ea021975701ex3-1_eosenergy.htm" TargetMode="External"/><Relationship Id="rId108" Type="http://schemas.openxmlformats.org/officeDocument/2006/relationships/hyperlink" Target="https://www.sec.gov/Archives/edgar/data/1805077/000121390025006768/ea022872901ex3-1_eos.htm" TargetMode="External"/><Relationship Id="rId109" Type="http://schemas.openxmlformats.org/officeDocument/2006/relationships/hyperlink" Target="https://www.sec.gov/Archives/edgar/data/1805077/000162828026008648/doe-secondamendmenttolg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2026-05-13T05:46:22Z</dcterms:created>
  <dcterms:modified xsi:type="dcterms:W3CDTF">2026-05-13T05:46:22Z</dcterms:modified>
</cp:coreProperties>
</file>