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036565.xml.htm"/>
      <w:bookmarkStart w:id="1" w:name="kswkform4_17810365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Urban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3920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EDISON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18,217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RSUs that settle in cash or common stock, which will vest on the earlier of (i) the first anniversary of the grant date and (ii) immediately prior to the date of the next annual shareholders meeting of the Company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Silberman as attorney-in-fact for David 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2220"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3443</Characters>
  <CharactersWithSpaces>4019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