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688340</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708660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FORM 8-K</w:t>
            </w:r>
          </w:p>
        </w:tc>
        <w:tc>
          <w:tcPr>
            <w:tcW w:w="2920" w:type="dxa"/>
            <w:vAlign w:val="bottom"/>
          </w:tcPr>
          <w:p>
            <w:pPr>
              <w:spacing w:after="0"/>
              <w:rPr>
                <w:sz w:val="16"/>
                <w:szCs w:val="16"/>
                <w:color w:val="auto"/>
              </w:rPr>
            </w:pPr>
          </w:p>
        </w:tc>
      </w:tr>
      <w:tr>
        <w:trPr>
          <w:trHeight w:val="308"/>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CURRENT REPORT</w:t>
            </w:r>
          </w:p>
        </w:tc>
        <w:tc>
          <w:tcPr>
            <w:tcW w:w="2920" w:type="dxa"/>
            <w:vAlign w:val="bottom"/>
          </w:tcPr>
          <w:p>
            <w:pPr>
              <w:spacing w:after="0"/>
              <w:rPr>
                <w:sz w:val="24"/>
                <w:szCs w:val="24"/>
                <w:color w:val="auto"/>
              </w:rPr>
            </w:pPr>
          </w:p>
        </w:tc>
      </w:tr>
      <w:tr>
        <w:trPr>
          <w:trHeight w:val="293"/>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9"/>
              </w:rPr>
              <w:t>PURSUANT TO SECTION 13 OR 15(d) OF THE</w:t>
            </w:r>
          </w:p>
        </w:tc>
        <w:tc>
          <w:tcPr>
            <w:tcW w:w="2920" w:type="dxa"/>
            <w:vAlign w:val="bottom"/>
          </w:tcPr>
          <w:p>
            <w:pPr>
              <w:spacing w:after="0"/>
              <w:rPr>
                <w:sz w:val="24"/>
                <w:szCs w:val="24"/>
                <w:color w:val="auto"/>
              </w:rPr>
            </w:pPr>
          </w:p>
        </w:tc>
      </w:tr>
      <w:tr>
        <w:trPr>
          <w:trHeight w:val="163"/>
        </w:trPr>
        <w:tc>
          <w:tcPr>
            <w:tcW w:w="3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SECURITIES EXCHANGE ACT OF 1934</w:t>
            </w:r>
          </w:p>
        </w:tc>
        <w:tc>
          <w:tcPr>
            <w:tcW w:w="2920" w:type="dxa"/>
            <w:vAlign w:val="bottom"/>
          </w:tcPr>
          <w:p>
            <w:pPr>
              <w:spacing w:after="0"/>
              <w:rPr>
                <w:sz w:val="14"/>
                <w:szCs w:val="14"/>
                <w:color w:val="auto"/>
              </w:rPr>
            </w:pPr>
          </w:p>
        </w:tc>
      </w:tr>
      <w:tr>
        <w:trPr>
          <w:trHeight w:val="180"/>
        </w:trPr>
        <w:tc>
          <w:tcPr>
            <w:tcW w:w="3040" w:type="dxa"/>
            <w:vAlign w:val="bottom"/>
          </w:tcPr>
          <w:p>
            <w:pPr>
              <w:spacing w:after="0"/>
              <w:rPr>
                <w:sz w:val="15"/>
                <w:szCs w:val="15"/>
                <w:color w:val="auto"/>
              </w:rPr>
            </w:pPr>
          </w:p>
        </w:tc>
        <w:tc>
          <w:tcPr>
            <w:tcW w:w="530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Date of Report (Date of earliest event reported): July 7, 2021 (July 6, 2021)</w:t>
            </w:r>
          </w:p>
        </w:tc>
        <w:tc>
          <w:tcPr>
            <w:tcW w:w="2920" w:type="dxa"/>
            <w:vAlign w:val="bottom"/>
          </w:tcPr>
          <w:p>
            <w:pPr>
              <w:spacing w:after="0"/>
              <w:rPr>
                <w:sz w:val="15"/>
                <w:szCs w:val="15"/>
                <w:color w:val="auto"/>
              </w:rPr>
            </w:pPr>
          </w:p>
        </w:tc>
      </w:tr>
      <w:tr>
        <w:trPr>
          <w:trHeight w:val="297"/>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9"/>
              </w:rPr>
              <w:t>EOS ENERGY ENTERPRISES, INC.</w:t>
            </w:r>
          </w:p>
        </w:tc>
        <w:tc>
          <w:tcPr>
            <w:tcW w:w="2920" w:type="dxa"/>
            <w:vAlign w:val="bottom"/>
          </w:tcPr>
          <w:p>
            <w:pPr>
              <w:spacing w:after="0"/>
              <w:rPr>
                <w:sz w:val="24"/>
                <w:szCs w:val="24"/>
                <w:color w:val="auto"/>
              </w:rPr>
            </w:pPr>
          </w:p>
        </w:tc>
      </w:tr>
      <w:tr>
        <w:trPr>
          <w:trHeight w:val="180"/>
        </w:trPr>
        <w:tc>
          <w:tcPr>
            <w:tcW w:w="3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gridSpan w:val="3"/>
          </w:tcPr>
          <w:p>
            <w:pPr>
              <w:jc w:val="center"/>
              <w:ind w:right="840"/>
              <w:spacing w:after="0"/>
              <w:rPr>
                <w:sz w:val="20"/>
                <w:szCs w:val="20"/>
                <w:color w:val="auto"/>
              </w:rPr>
            </w:pPr>
            <w:r>
              <w:rPr>
                <w:rFonts w:ascii="Arial" w:cs="Arial" w:eastAsia="Arial" w:hAnsi="Arial"/>
                <w:sz w:val="14"/>
                <w:szCs w:val="14"/>
                <w:color w:val="auto"/>
                <w:w w:val="91"/>
              </w:rPr>
              <w:t>(Exact name of registrant as specified in its charter)</w:t>
            </w:r>
          </w:p>
        </w:tc>
        <w:tc>
          <w:tcPr>
            <w:tcW w:w="2920" w:type="dxa"/>
            <w:vAlign w:val="bottom"/>
          </w:tcPr>
          <w:p>
            <w:pPr>
              <w:spacing w:after="0"/>
              <w:rPr>
                <w:sz w:val="15"/>
                <w:szCs w:val="15"/>
                <w:color w:val="auto"/>
              </w:rPr>
            </w:pPr>
          </w:p>
        </w:tc>
      </w:tr>
      <w:tr>
        <w:trPr>
          <w:trHeight w:val="212"/>
        </w:trPr>
        <w:tc>
          <w:tcPr>
            <w:tcW w:w="3040" w:type="dxa"/>
            <w:vAlign w:val="bottom"/>
          </w:tcPr>
          <w:p>
            <w:pPr>
              <w:jc w:val="center"/>
              <w:ind w:left="549"/>
              <w:spacing w:after="0"/>
              <w:rPr>
                <w:sz w:val="20"/>
                <w:szCs w:val="20"/>
                <w:color w:val="auto"/>
              </w:rPr>
            </w:pPr>
            <w:r>
              <w:rPr>
                <w:rFonts w:ascii="Arial" w:cs="Arial" w:eastAsia="Arial" w:hAnsi="Arial"/>
                <w:sz w:val="14"/>
                <w:szCs w:val="14"/>
                <w:b w:val="1"/>
                <w:bCs w:val="1"/>
                <w:color w:val="auto"/>
                <w:w w:val="94"/>
              </w:rPr>
              <w:t>Delaware</w:t>
            </w:r>
          </w:p>
        </w:tc>
        <w:tc>
          <w:tcPr>
            <w:tcW w:w="4420" w:type="dxa"/>
            <w:vAlign w:val="bottom"/>
            <w:gridSpan w:val="3"/>
          </w:tcPr>
          <w:p>
            <w:pPr>
              <w:jc w:val="center"/>
              <w:ind w:left="669"/>
              <w:spacing w:after="0"/>
              <w:rPr>
                <w:sz w:val="20"/>
                <w:szCs w:val="20"/>
                <w:color w:val="auto"/>
              </w:rPr>
            </w:pPr>
            <w:r>
              <w:rPr>
                <w:rFonts w:ascii="Arial" w:cs="Arial" w:eastAsia="Arial" w:hAnsi="Arial"/>
                <w:sz w:val="14"/>
                <w:szCs w:val="14"/>
                <w:b w:val="1"/>
                <w:bCs w:val="1"/>
                <w:color w:val="auto"/>
                <w:w w:val="89"/>
              </w:rPr>
              <w:t>001-39291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20" w:type="dxa"/>
            <w:vAlign w:val="bottom"/>
          </w:tcPr>
          <w:p>
            <w:pPr>
              <w:jc w:val="center"/>
              <w:ind w:right="689"/>
              <w:spacing w:after="0"/>
              <w:rPr>
                <w:sz w:val="20"/>
                <w:szCs w:val="20"/>
                <w:color w:val="auto"/>
              </w:rPr>
            </w:pPr>
            <w:r>
              <w:rPr>
                <w:rFonts w:ascii="Arial" w:cs="Arial" w:eastAsia="Arial" w:hAnsi="Arial"/>
                <w:sz w:val="14"/>
                <w:szCs w:val="14"/>
                <w:b w:val="1"/>
                <w:bCs w:val="1"/>
                <w:color w:val="auto"/>
                <w:w w:val="90"/>
              </w:rPr>
              <w:t>84-4290188</w:t>
            </w:r>
          </w:p>
        </w:tc>
      </w:tr>
      <w:tr>
        <w:trPr>
          <w:trHeight w:val="22"/>
        </w:trPr>
        <w:tc>
          <w:tcPr>
            <w:tcW w:w="3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171"/>
        </w:trPr>
        <w:tc>
          <w:tcPr>
            <w:tcW w:w="3040" w:type="dxa"/>
            <w:vAlign w:val="bottom"/>
          </w:tcPr>
          <w:p>
            <w:pPr>
              <w:jc w:val="center"/>
              <w:ind w:left="549"/>
              <w:spacing w:after="0"/>
              <w:rPr>
                <w:sz w:val="20"/>
                <w:szCs w:val="20"/>
                <w:color w:val="auto"/>
              </w:rPr>
            </w:pPr>
            <w:r>
              <w:rPr>
                <w:rFonts w:ascii="Arial" w:cs="Arial" w:eastAsia="Arial" w:hAnsi="Arial"/>
                <w:sz w:val="14"/>
                <w:szCs w:val="14"/>
                <w:color w:val="auto"/>
                <w:w w:val="94"/>
              </w:rPr>
              <w:t>(State or other jurisdiction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3"/>
          </w:tcPr>
          <w:p>
            <w:pPr>
              <w:jc w:val="center"/>
              <w:ind w:right="880"/>
              <w:spacing w:after="0"/>
              <w:rPr>
                <w:sz w:val="20"/>
                <w:szCs w:val="20"/>
                <w:color w:val="auto"/>
              </w:rPr>
            </w:pPr>
            <w:r>
              <w:rPr>
                <w:rFonts w:ascii="Arial" w:cs="Arial" w:eastAsia="Arial" w:hAnsi="Arial"/>
                <w:sz w:val="14"/>
                <w:szCs w:val="14"/>
                <w:color w:val="auto"/>
                <w:w w:val="93"/>
              </w:rPr>
              <w:t>(Commission</w:t>
            </w:r>
          </w:p>
        </w:tc>
        <w:tc>
          <w:tcPr>
            <w:tcW w:w="2920" w:type="dxa"/>
            <w:vAlign w:val="bottom"/>
          </w:tcPr>
          <w:p>
            <w:pPr>
              <w:jc w:val="center"/>
              <w:ind w:right="709"/>
              <w:spacing w:after="0"/>
              <w:rPr>
                <w:sz w:val="20"/>
                <w:szCs w:val="20"/>
                <w:color w:val="auto"/>
              </w:rPr>
            </w:pPr>
            <w:r>
              <w:rPr>
                <w:rFonts w:ascii="Arial" w:cs="Arial" w:eastAsia="Arial" w:hAnsi="Arial"/>
                <w:sz w:val="14"/>
                <w:szCs w:val="14"/>
                <w:color w:val="auto"/>
                <w:w w:val="94"/>
              </w:rPr>
              <w:t>(IRS Employer</w:t>
            </w:r>
          </w:p>
        </w:tc>
      </w:tr>
      <w:tr>
        <w:trPr>
          <w:trHeight w:val="180"/>
        </w:trPr>
        <w:tc>
          <w:tcPr>
            <w:tcW w:w="3040" w:type="dxa"/>
            <w:vAlign w:val="bottom"/>
          </w:tcPr>
          <w:p>
            <w:pPr>
              <w:jc w:val="center"/>
              <w:ind w:left="549"/>
              <w:spacing w:after="0"/>
              <w:rPr>
                <w:sz w:val="20"/>
                <w:szCs w:val="20"/>
                <w:color w:val="auto"/>
              </w:rPr>
            </w:pPr>
            <w:r>
              <w:rPr>
                <w:rFonts w:ascii="Arial" w:cs="Arial" w:eastAsia="Arial" w:hAnsi="Arial"/>
                <w:sz w:val="14"/>
                <w:szCs w:val="14"/>
                <w:color w:val="auto"/>
                <w:w w:val="96"/>
              </w:rPr>
              <w:t>of incorporation)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gridSpan w:val="3"/>
          </w:tcPr>
          <w:p>
            <w:pPr>
              <w:jc w:val="center"/>
              <w:ind w:right="880"/>
              <w:spacing w:after="0"/>
              <w:rPr>
                <w:sz w:val="20"/>
                <w:szCs w:val="20"/>
                <w:color w:val="auto"/>
              </w:rPr>
            </w:pPr>
            <w:r>
              <w:rPr>
                <w:rFonts w:ascii="Arial" w:cs="Arial" w:eastAsia="Arial" w:hAnsi="Arial"/>
                <w:sz w:val="14"/>
                <w:szCs w:val="14"/>
                <w:color w:val="auto"/>
                <w:w w:val="93"/>
              </w:rPr>
              <w:t>File Number)</w:t>
            </w:r>
          </w:p>
        </w:tc>
        <w:tc>
          <w:tcPr>
            <w:tcW w:w="2920" w:type="dxa"/>
            <w:vAlign w:val="bottom"/>
          </w:tcPr>
          <w:p>
            <w:pPr>
              <w:jc w:val="center"/>
              <w:ind w:right="709"/>
              <w:spacing w:after="0"/>
              <w:rPr>
                <w:sz w:val="20"/>
                <w:szCs w:val="20"/>
                <w:color w:val="auto"/>
              </w:rPr>
            </w:pPr>
            <w:r>
              <w:rPr>
                <w:rFonts w:ascii="Arial" w:cs="Arial" w:eastAsia="Arial" w:hAnsi="Arial"/>
                <w:sz w:val="14"/>
                <w:szCs w:val="14"/>
                <w:color w:val="auto"/>
                <w:w w:val="97"/>
              </w:rPr>
              <w:t>Identification No.)</w:t>
            </w:r>
          </w:p>
        </w:tc>
      </w:tr>
      <w:tr>
        <w:trPr>
          <w:trHeight w:val="315"/>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1"/>
              </w:rPr>
              <w:t>3920 Park Avenue</w:t>
            </w:r>
          </w:p>
        </w:tc>
        <w:tc>
          <w:tcPr>
            <w:tcW w:w="2920" w:type="dxa"/>
            <w:vAlign w:val="bottom"/>
          </w:tcPr>
          <w:p>
            <w:pPr>
              <w:spacing w:after="0"/>
              <w:rPr>
                <w:sz w:val="24"/>
                <w:szCs w:val="24"/>
                <w:color w:val="auto"/>
              </w:rPr>
            </w:pPr>
          </w:p>
        </w:tc>
      </w:tr>
      <w:tr>
        <w:trPr>
          <w:trHeight w:val="174"/>
        </w:trPr>
        <w:tc>
          <w:tcPr>
            <w:tcW w:w="3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Edison, New Jersey 08820</w:t>
            </w:r>
          </w:p>
        </w:tc>
        <w:tc>
          <w:tcPr>
            <w:tcW w:w="2920" w:type="dxa"/>
            <w:vAlign w:val="bottom"/>
          </w:tcPr>
          <w:p>
            <w:pPr>
              <w:spacing w:after="0"/>
              <w:rPr>
                <w:sz w:val="15"/>
                <w:szCs w:val="15"/>
                <w:color w:val="auto"/>
              </w:rPr>
            </w:pPr>
          </w:p>
        </w:tc>
      </w:tr>
      <w:tr>
        <w:trPr>
          <w:trHeight w:val="166"/>
        </w:trPr>
        <w:tc>
          <w:tcPr>
            <w:tcW w:w="3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gridSpan w:val="3"/>
          </w:tcPr>
          <w:p>
            <w:pPr>
              <w:jc w:val="center"/>
              <w:ind w:right="840"/>
              <w:spacing w:after="0"/>
              <w:rPr>
                <w:sz w:val="20"/>
                <w:szCs w:val="20"/>
                <w:color w:val="auto"/>
              </w:rPr>
            </w:pPr>
            <w:r>
              <w:rPr>
                <w:rFonts w:ascii="Arial" w:cs="Arial" w:eastAsia="Arial" w:hAnsi="Arial"/>
                <w:sz w:val="14"/>
                <w:szCs w:val="14"/>
                <w:color w:val="auto"/>
                <w:w w:val="93"/>
              </w:rPr>
              <w:t>(Address of principal executive offices, including zip code)</w:t>
            </w:r>
          </w:p>
        </w:tc>
        <w:tc>
          <w:tcPr>
            <w:tcW w:w="2920" w:type="dxa"/>
            <w:vAlign w:val="bottom"/>
          </w:tcPr>
          <w:p>
            <w:pPr>
              <w:spacing w:after="0"/>
              <w:rPr>
                <w:sz w:val="14"/>
                <w:szCs w:val="14"/>
                <w:color w:val="auto"/>
              </w:rPr>
            </w:pPr>
          </w:p>
        </w:tc>
      </w:tr>
      <w:tr>
        <w:trPr>
          <w:trHeight w:val="184"/>
        </w:trPr>
        <w:tc>
          <w:tcPr>
            <w:tcW w:w="3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80" w:type="dxa"/>
            <w:vAlign w:val="bottom"/>
            <w:gridSpan w:val="4"/>
          </w:tcPr>
          <w:p>
            <w:pPr>
              <w:jc w:val="center"/>
              <w:ind w:right="700"/>
              <w:spacing w:after="0"/>
              <w:rPr>
                <w:sz w:val="20"/>
                <w:szCs w:val="20"/>
                <w:color w:val="auto"/>
              </w:rPr>
            </w:pPr>
            <w:r>
              <w:rPr>
                <w:rFonts w:ascii="Arial" w:cs="Arial" w:eastAsia="Arial" w:hAnsi="Arial"/>
                <w:sz w:val="14"/>
                <w:szCs w:val="14"/>
                <w:color w:val="auto"/>
                <w:w w:val="91"/>
              </w:rPr>
              <w:t xml:space="preserve">Registrant’s telephone number, including area code: </w:t>
            </w:r>
            <w:r>
              <w:rPr>
                <w:rFonts w:ascii="Arial" w:cs="Arial" w:eastAsia="Arial" w:hAnsi="Arial"/>
                <w:sz w:val="14"/>
                <w:szCs w:val="14"/>
                <w:b w:val="1"/>
                <w:bCs w:val="1"/>
                <w:color w:val="auto"/>
                <w:w w:val="91"/>
              </w:rPr>
              <w:t>(732) 225-8400</w:t>
            </w:r>
          </w:p>
        </w:tc>
        <w:tc>
          <w:tcPr>
            <w:tcW w:w="2920" w:type="dxa"/>
            <w:vAlign w:val="bottom"/>
          </w:tcPr>
          <w:p>
            <w:pPr>
              <w:spacing w:after="0"/>
              <w:rPr>
                <w:sz w:val="16"/>
                <w:szCs w:val="16"/>
                <w:color w:val="auto"/>
              </w:rPr>
            </w:pP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4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05"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305"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05" w:lineRule="exact"/>
        <w:rPr>
          <w:rFonts w:ascii="MS PGothic" w:cs="MS PGothic" w:eastAsia="MS PGothic" w:hAnsi="MS PGothic"/>
          <w:sz w:val="14"/>
          <w:szCs w:val="14"/>
          <w:color w:val="auto"/>
        </w:rPr>
      </w:pPr>
    </w:p>
    <w:p>
      <w:pPr>
        <w:ind w:left="520" w:right="4400" w:hanging="501"/>
        <w:spacing w:after="0" w:line="518" w:lineRule="auto"/>
        <w:tabs>
          <w:tab w:leader="none" w:pos="566"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00" w:type="dxa"/>
            <w:vAlign w:val="bottom"/>
            <w:tcBorders>
              <w:bottom w:val="single" w:sz="8" w:color="CCEEFF"/>
            </w:tcBorders>
            <w:shd w:val="clear" w:color="auto" w:fill="FEFEFE"/>
          </w:tcPr>
          <w:p>
            <w:pPr>
              <w:spacing w:after="0"/>
              <w:rPr>
                <w:sz w:val="18"/>
                <w:szCs w:val="18"/>
                <w:color w:val="auto"/>
              </w:rPr>
            </w:pPr>
          </w:p>
        </w:tc>
        <w:tc>
          <w:tcPr>
            <w:tcW w:w="368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80" w:type="dxa"/>
            <w:vAlign w:val="bottom"/>
            <w:tcBorders>
              <w:bottom w:val="single" w:sz="8" w:color="CCEEFF"/>
            </w:tcBorders>
            <w:shd w:val="clear" w:color="auto" w:fill="FEFEFE"/>
          </w:tcPr>
          <w:p>
            <w:pPr>
              <w:spacing w:after="0"/>
              <w:rPr>
                <w:sz w:val="18"/>
                <w:szCs w:val="18"/>
                <w:color w:val="auto"/>
              </w:rPr>
            </w:pPr>
          </w:p>
        </w:tc>
        <w:tc>
          <w:tcPr>
            <w:tcW w:w="3720" w:type="dxa"/>
            <w:vAlign w:val="bottom"/>
            <w:tcBorders>
              <w:bottom w:val="single" w:sz="8" w:color="auto"/>
            </w:tcBorders>
            <w:shd w:val="clear" w:color="auto" w:fill="FEFEFE"/>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7"/>
        </w:trPr>
        <w:tc>
          <w:tcPr>
            <w:tcW w:w="3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Common stock, par value $0.0001 per share</w:t>
            </w:r>
          </w:p>
        </w:tc>
        <w:tc>
          <w:tcPr>
            <w:tcW w:w="3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EOSE</w:t>
            </w:r>
          </w:p>
        </w:tc>
        <w:tc>
          <w:tcPr>
            <w:tcW w:w="3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91"/>
        </w:trPr>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Warrants, each exercisable for one share of common stock</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EOSEW</w:t>
            </w:r>
          </w:p>
        </w:tc>
        <w:tc>
          <w:tcPr>
            <w:tcW w:w="37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49" w:lineRule="exact"/>
        <w:rPr>
          <w:sz w:val="24"/>
          <w:szCs w:val="24"/>
          <w:color w:val="auto"/>
        </w:rPr>
      </w:pPr>
    </w:p>
    <w:p>
      <w:pPr>
        <w:jc w:val="both"/>
        <w:ind w:firstLine="509"/>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5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2" w:lineRule="exact"/>
        <w:rPr>
          <w:sz w:val="24"/>
          <w:szCs w:val="24"/>
          <w:color w:val="auto"/>
        </w:rPr>
      </w:pPr>
    </w:p>
    <w:p>
      <w:pPr>
        <w:jc w:val="both"/>
        <w:ind w:firstLine="509"/>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71"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Issuance and Sale of 5%/6% Convertible Senior PIK Toggle Notes due 2026</w:t>
      </w:r>
    </w:p>
    <w:p>
      <w:pPr>
        <w:spacing w:after="0" w:line="20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On July 6, 2021, Eos Energy Enterprises, Inc. (the “Company”) entered into an investment agreement (the “Investment Agreement”) with Spring Creek Capital, LLC, a wholly-owned, indirect subsidiary of Koch Industries, Inc. (“Koch”) relating to the issuance and sale to Koch of $100,000,000 in aggregate principal amount of the Company’s 5%/6% Convertible Senior PIK Toggle Notes due 2026 (the “Notes”). The transactions contemplated by the Investment Agreement (the “Transaction”) closed on July 7, 2021 (the date on which the closing occurred, the “Closing”).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Issuance of Convertible Notes</w:t>
      </w:r>
    </w:p>
    <w:p>
      <w:pPr>
        <w:spacing w:after="0" w:line="20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Notes are governed by a form of indenture (the “Indenture”) incorporated by reference into the Notes. The Notes will bear interest at a rate of 5.00% per annum if interest is paid in cash (“Cash Interest”), or, if interest is paid in kind (through an increase in the principal amount of the outstanding Notes or through the issuance of additional Notes), at a rate of 6.00% per annum (“PIK Interest”). The Company can elect to make any interest payment through Cash Interest, PIK Interest or any combination thereof. Interest on the Notes is payable semi-annually in arrears on June 30 and December 30, commencing on December 30, 2021. It is expected that the Notes will mature on June 30, 2026, subject to earlier conversion, redemption or repurchase.</w:t>
      </w:r>
    </w:p>
    <w:p>
      <w:pPr>
        <w:spacing w:after="0" w:line="15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Notes are convertible at the option of the holder at any time until the business day prior to the maturity date, including in connection with a redemption by the Company. The Notes will be convertible into shares of the Company’s common stock, par value $0.0001 per share, based on an initial conversion rate of 49.9910 shares of the Company’s common stock per $1,000 principal amount of the Notes (which is equal to an initial conversion price of approximately $20.00 per share), in each case subject to customary anti-dilution and other adjustments (as described in the Indenture).</w:t>
      </w:r>
    </w:p>
    <w:p>
      <w:pPr>
        <w:spacing w:after="0" w:line="167"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On or after June 30, 2024, the Notes will be 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With certain exceptions, upon the occurrence of certain fundamental changes described in the Indenture (each, a “Fundamental Change”), the holders of the Notes may require that the Company repurchase all or part of the principal amount of the Notes at a purchase price of 100% of the principal amount of such Notes, plus accrued and unpaid interest to, but excluding, the Fundamental Change repurchase date.</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Indenture includes customary “events of default,” which may result in the acceleration of the maturity of the Notes under the Indenture. The Indenture will also include customary covenants for convertible notes of this type.</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Notes are senior unsecured obligations of the Company and rank equal in right of payment to all senior unsecured indebtedness of the Company, and will rank senior in right of payment to any indebtedness that is contractually subordinated to the Notes.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Standstill Obligations</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Pursuant to the Investment Agreement, Koch has agreed, subject to certain exceptions, that during the period commencing on the Closing and ending on the one (1) year anniversary of the Closing (the “Standstill Period”), Koch will not, among other things: (i) acquire any securities of the Company if, immediately after such acquisition, Koch would collectively own in the aggregate more than 20.0% of the then outstanding voting securities of the Company, (ii) propose or seek to effect any tender or exchange offer, merger or other business combination involving the Company or its securities, or make any public statement with respect to such transaction, (iii) make, or in any way participate in any “proxy contest” or other solicitation of proxies, (iv) seek the appointment of any director or (v) call or seek to call any meeting of stockholders or other referendum or consent solicitation.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 and Conversion Restrictions; Registration Rights; Participation Rights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899" w:right="319" w:bottom="1440" w:gutter="0" w:footer="0" w:header="0"/>
        </w:sectPr>
      </w:pPr>
    </w:p>
    <w:bookmarkStart w:id="2" w:name="page3"/>
    <w:bookmarkEnd w:id="2"/>
    <w:p>
      <w:pPr>
        <w:jc w:val="both"/>
        <w:ind w:firstLine="255"/>
        <w:spacing w:after="0" w:line="267" w:lineRule="auto"/>
        <w:rPr>
          <w:sz w:val="20"/>
          <w:szCs w:val="20"/>
          <w:color w:val="auto"/>
        </w:rPr>
      </w:pPr>
      <w:r>
        <w:rPr>
          <w:rFonts w:ascii="Arial" w:cs="Arial" w:eastAsia="Arial" w:hAnsi="Arial"/>
          <w:sz w:val="14"/>
          <w:szCs w:val="14"/>
          <w:color w:val="auto"/>
        </w:rPr>
        <w:t>The Investment Agreement restricts Koch’s ability to transfer or hedge the Notes or the Company’s common stock, subject to certain exceptions specified in the Investment Agreement. In particular, prior to the one-year anniversary of the Closing, Koch will be restricted from transferring or entering into an agreement that transfers the economic consequences of ownership of the Notes or shares. These restrictions do not apply to, among others, transfers to affiliates.</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Subject to certain limitations, the Investment Agreement provides Koch with certain registration rights for the Notes and shares of the Company’s common stock held by Koch, including shares of the Company’s common stock issuable upon conversion of the Notes.</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foregoing summaries of the Indenture, the Notes and the Investment Agreement do not purport to be complete and are subject to, and qualified in their entirety by the full text of the form of Indenture, which is attached hereto as Exhibit 4.1 and incorporated herein by reference and the Investment Agreement, which is attached hereto as Exhibit 10.1 and incorporated herein by reference, as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2.03 Creation of a Direct Financial Obligation or an Obligation under an Off-Balance Sheet Arrangement of the Registrant.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related to the issuance of the Notes contained in Item 1.01 of this Current Report on Form 8-K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Sales of Equity Securities.</w:t>
      </w:r>
    </w:p>
    <w:p>
      <w:pPr>
        <w:spacing w:after="0" w:line="204"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On July 6, 2021, the Company entered into the Investment Agreement, pursuant to which it agreed to sell $100,000,000 in aggregate principal amount of the Notes to Koch for cash in a private placement pursuant to the exemption from the registration requirements of the Securities Act of 1933, as amended (the “Securities Act”). The Company offered and sold the Notes to Koch in reliance on the exemption from registration provided by Section 4(a)(2) of the Securities Act without the involvement of any underwriter. The Company relied on this exemption from registration based in</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part on representations made by Koch in the Investment Agreement. The Notes are convertible as set forth above, and any shares of the Company’s common stock issued upon conversion of the Notes will be issued in reliance on Section 3(a)(9) of the Securities Act.</w:t>
      </w:r>
    </w:p>
    <w:p>
      <w:pPr>
        <w:spacing w:after="0" w:line="14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information related to the issuance of the Notes and the underlying shares of the Company’s common stock contained in Item 1.01 of this Current Report on Form 8-K is incorporated herein by reference.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July 7, 2021, the Company issued a press release announcing the Transaction. A copy of the press release is filed as Exhibit 99.1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 and Exhibits.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160" w:type="dxa"/>
            <w:vAlign w:val="bottom"/>
            <w:gridSpan w:val="4"/>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92"/>
        </w:trPr>
        <w:tc>
          <w:tcPr>
            <w:tcW w:w="10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960" w:type="dxa"/>
            <w:vAlign w:val="bottom"/>
            <w:tcBorders>
              <w:bottom w:val="single" w:sz="8" w:color="0000FF"/>
            </w:tcBorders>
            <w:gridSpan w:val="2"/>
            <w:shd w:val="clear" w:color="auto" w:fill="CCEEFF"/>
          </w:tcPr>
          <w:p>
            <w:pPr>
              <w:spacing w:after="0" w:line="159" w:lineRule="exact"/>
              <w:rPr>
                <w:rFonts w:ascii="Arial" w:cs="Arial" w:eastAsia="Arial" w:hAnsi="Arial"/>
                <w:sz w:val="14"/>
                <w:szCs w:val="14"/>
                <w:color w:val="0000FF"/>
                <w:w w:val="92"/>
              </w:rPr>
            </w:pPr>
            <w:hyperlink w:anchor="page5">
              <w:r>
                <w:rPr>
                  <w:rFonts w:ascii="Arial" w:cs="Arial" w:eastAsia="Arial" w:hAnsi="Arial"/>
                  <w:sz w:val="14"/>
                  <w:szCs w:val="14"/>
                  <w:color w:val="0000FF"/>
                  <w:w w:val="92"/>
                </w:rPr>
                <w:t>Form of Note (including Indenture incorporated by reference therein).</w:t>
              </w:r>
            </w:hyperlink>
          </w:p>
        </w:tc>
        <w:tc>
          <w:tcPr>
            <w:tcW w:w="6200" w:type="dxa"/>
            <w:vAlign w:val="bottom"/>
            <w:tcBorders>
              <w:bottom w:val="single" w:sz="8" w:color="CCEEFF"/>
            </w:tcBorders>
            <w:gridSpan w:val="2"/>
            <w:shd w:val="clear" w:color="auto" w:fill="CCEEFF"/>
          </w:tcPr>
          <w:p>
            <w:pPr>
              <w:spacing w:after="0"/>
              <w:rPr>
                <w:sz w:val="16"/>
                <w:szCs w:val="16"/>
                <w:color w:val="auto"/>
              </w:rPr>
            </w:pPr>
          </w:p>
        </w:tc>
      </w:tr>
      <w:tr>
        <w:trPr>
          <w:trHeight w:val="159"/>
        </w:trPr>
        <w:tc>
          <w:tcPr>
            <w:tcW w:w="1020" w:type="dxa"/>
            <w:vAlign w:val="bottom"/>
          </w:tcPr>
          <w:p>
            <w:pPr>
              <w:ind w:left="20"/>
              <w:spacing w:after="0" w:line="15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gridSpan w:val="4"/>
          </w:tcPr>
          <w:p>
            <w:pPr>
              <w:spacing w:after="0" w:line="159" w:lineRule="exact"/>
              <w:rPr>
                <w:rFonts w:ascii="Arial" w:cs="Arial" w:eastAsia="Arial" w:hAnsi="Arial"/>
                <w:sz w:val="14"/>
                <w:szCs w:val="14"/>
                <w:color w:val="0000FF"/>
              </w:rPr>
            </w:pPr>
            <w:hyperlink w:anchor="page129">
              <w:r>
                <w:rPr>
                  <w:rFonts w:ascii="Arial" w:cs="Arial" w:eastAsia="Arial" w:hAnsi="Arial"/>
                  <w:sz w:val="14"/>
                  <w:szCs w:val="14"/>
                  <w:color w:val="0000FF"/>
                </w:rPr>
                <w:t>Investment Agreement, dated as of July 6, 2021, among Eos Energy Enterprises, Inc. and Spring Creek Capital, LLC.</w:t>
              </w:r>
            </w:hyperlink>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2160" w:type="dxa"/>
            <w:vAlign w:val="bottom"/>
            <w:tcBorders>
              <w:top w:val="single" w:sz="8" w:color="0000FF"/>
            </w:tcBorders>
          </w:tcPr>
          <w:p>
            <w:pPr>
              <w:spacing w:after="0"/>
              <w:rPr>
                <w:sz w:val="2"/>
                <w:szCs w:val="2"/>
                <w:color w:val="auto"/>
              </w:rPr>
            </w:pPr>
          </w:p>
        </w:tc>
        <w:tc>
          <w:tcPr>
            <w:tcW w:w="2680" w:type="dxa"/>
            <w:vAlign w:val="bottom"/>
            <w:tcBorders>
              <w:top w:val="single" w:sz="8" w:color="0000FF"/>
            </w:tcBorders>
          </w:tcPr>
          <w:p>
            <w:pPr>
              <w:spacing w:after="0"/>
              <w:rPr>
                <w:sz w:val="2"/>
                <w:szCs w:val="2"/>
                <w:color w:val="auto"/>
              </w:rPr>
            </w:pPr>
          </w:p>
        </w:tc>
        <w:tc>
          <w:tcPr>
            <w:tcW w:w="3520" w:type="dxa"/>
            <w:vAlign w:val="bottom"/>
          </w:tcPr>
          <w:p>
            <w:pPr>
              <w:spacing w:after="0"/>
              <w:rPr>
                <w:sz w:val="2"/>
                <w:szCs w:val="2"/>
                <w:color w:val="auto"/>
              </w:rPr>
            </w:pPr>
          </w:p>
        </w:tc>
      </w:tr>
      <w:tr>
        <w:trPr>
          <w:trHeight w:val="192"/>
        </w:trPr>
        <w:tc>
          <w:tcPr>
            <w:tcW w:w="10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99.1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0000FF"/>
            </w:tcBorders>
            <w:shd w:val="clear" w:color="auto" w:fill="CCEEFF"/>
          </w:tcPr>
          <w:p>
            <w:pPr>
              <w:spacing w:after="0" w:line="159" w:lineRule="exact"/>
              <w:rPr>
                <w:rFonts w:ascii="Arial" w:cs="Arial" w:eastAsia="Arial" w:hAnsi="Arial"/>
                <w:sz w:val="14"/>
                <w:szCs w:val="14"/>
                <w:color w:val="0000FF"/>
                <w:w w:val="87"/>
              </w:rPr>
            </w:pPr>
            <w:hyperlink w:anchor="page197">
              <w:r>
                <w:rPr>
                  <w:rFonts w:ascii="Arial" w:cs="Arial" w:eastAsia="Arial" w:hAnsi="Arial"/>
                  <w:sz w:val="14"/>
                  <w:szCs w:val="14"/>
                  <w:color w:val="0000FF"/>
                  <w:w w:val="87"/>
                </w:rPr>
                <w:t>Press release dated July 7, 2021</w:t>
              </w:r>
            </w:hyperlink>
          </w:p>
        </w:tc>
        <w:tc>
          <w:tcPr>
            <w:tcW w:w="8360" w:type="dxa"/>
            <w:vAlign w:val="bottom"/>
            <w:tcBorders>
              <w:bottom w:val="single" w:sz="8" w:color="CCEEFF"/>
            </w:tcBorders>
            <w:gridSpan w:val="3"/>
            <w:shd w:val="clear" w:color="auto" w:fill="CCEEFF"/>
          </w:tcPr>
          <w:p>
            <w:pPr>
              <w:spacing w:after="0"/>
              <w:rPr>
                <w:sz w:val="16"/>
                <w:szCs w:val="16"/>
                <w:color w:val="auto"/>
              </w:rPr>
            </w:pPr>
          </w:p>
        </w:tc>
      </w:tr>
      <w:tr>
        <w:trPr>
          <w:trHeight w:val="70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60" w:type="dxa"/>
            <w:vAlign w:val="bottom"/>
            <w:gridSpan w:val="4"/>
          </w:tcPr>
          <w:p>
            <w:pPr>
              <w:jc w:val="right"/>
              <w:ind w:right="2080"/>
              <w:spacing w:after="0"/>
              <w:rPr>
                <w:sz w:val="20"/>
                <w:szCs w:val="20"/>
                <w:color w:val="auto"/>
              </w:rPr>
            </w:pPr>
            <w:r>
              <w:rPr>
                <w:rFonts w:ascii="Arial" w:cs="Arial" w:eastAsia="Arial" w:hAnsi="Arial"/>
                <w:sz w:val="14"/>
                <w:szCs w:val="14"/>
                <w:color w:val="auto"/>
              </w:rPr>
              <w:t>3</w:t>
            </w:r>
          </w:p>
        </w:tc>
        <w:tc>
          <w:tcPr>
            <w:tcW w:w="3520" w:type="dxa"/>
            <w:vAlign w:val="bottom"/>
          </w:tcPr>
          <w:p>
            <w:pPr>
              <w:spacing w:after="0"/>
              <w:rPr>
                <w:sz w:val="24"/>
                <w:szCs w:val="24"/>
                <w:color w:val="auto"/>
              </w:rPr>
            </w:pPr>
          </w:p>
        </w:tc>
      </w:tr>
    </w:tbl>
    <w:p>
      <w:pPr>
        <w:sectPr>
          <w:pgSz w:w="11900" w:h="16838" w:orient="portrait"/>
          <w:cols w:equalWidth="0" w:num="1">
            <w:col w:w="11280"/>
          </w:cols>
          <w:pgMar w:left="300" w:top="956"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7920" w:type="dxa"/>
            <w:vAlign w:val="bottom"/>
            <w:gridSpan w:val="3"/>
          </w:tcPr>
          <w:p>
            <w:pPr>
              <w:ind w:left="2380"/>
              <w:spacing w:after="0"/>
              <w:rPr>
                <w:sz w:val="20"/>
                <w:szCs w:val="20"/>
                <w:color w:val="auto"/>
              </w:rPr>
            </w:pPr>
            <w:r>
              <w:rPr>
                <w:rFonts w:ascii="Arial" w:cs="Arial" w:eastAsia="Arial" w:hAnsi="Arial"/>
                <w:sz w:val="14"/>
                <w:szCs w:val="14"/>
                <w:b w:val="1"/>
                <w:bCs w:val="1"/>
                <w:color w:val="auto"/>
              </w:rPr>
              <w:t>EOS ENERGY ENTERPRISES, INC.</w:t>
            </w:r>
          </w:p>
        </w:tc>
      </w:tr>
      <w:tr>
        <w:trPr>
          <w:trHeight w:val="414"/>
        </w:trPr>
        <w:tc>
          <w:tcPr>
            <w:tcW w:w="3340" w:type="dxa"/>
            <w:vAlign w:val="bottom"/>
          </w:tcPr>
          <w:p>
            <w:pPr>
              <w:spacing w:after="0"/>
              <w:rPr>
                <w:sz w:val="20"/>
                <w:szCs w:val="20"/>
                <w:color w:val="auto"/>
              </w:rPr>
            </w:pPr>
            <w:r>
              <w:rPr>
                <w:rFonts w:ascii="Arial" w:cs="Arial" w:eastAsia="Arial" w:hAnsi="Arial"/>
                <w:sz w:val="14"/>
                <w:szCs w:val="14"/>
                <w:color w:val="auto"/>
              </w:rPr>
              <w:t>Dated: July 7, 2021</w:t>
            </w:r>
          </w:p>
        </w:tc>
        <w:tc>
          <w:tcPr>
            <w:tcW w:w="7920" w:type="dxa"/>
            <w:vAlign w:val="bottom"/>
            <w:gridSpan w:val="3"/>
          </w:tcPr>
          <w:p>
            <w:pPr>
              <w:ind w:left="2380"/>
              <w:spacing w:after="0"/>
              <w:rPr>
                <w:sz w:val="20"/>
                <w:szCs w:val="20"/>
                <w:color w:val="auto"/>
              </w:rPr>
            </w:pPr>
            <w:r>
              <w:rPr>
                <w:rFonts w:ascii="Arial" w:cs="Arial" w:eastAsia="Arial" w:hAnsi="Arial"/>
                <w:sz w:val="14"/>
                <w:szCs w:val="14"/>
                <w:color w:val="auto"/>
              </w:rPr>
              <w:t>By:    /s/ Sagar Kurada</w:t>
            </w:r>
          </w:p>
        </w:tc>
      </w:tr>
      <w:tr>
        <w:trPr>
          <w:trHeight w:val="22"/>
        </w:trPr>
        <w:tc>
          <w:tcPr>
            <w:tcW w:w="3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r>
      <w:tr>
        <w:trPr>
          <w:trHeight w:val="181"/>
        </w:trPr>
        <w:tc>
          <w:tcPr>
            <w:tcW w:w="3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Name:</w:t>
            </w:r>
          </w:p>
        </w:tc>
        <w:tc>
          <w:tcPr>
            <w:tcW w:w="4560" w:type="dxa"/>
            <w:vAlign w:val="bottom"/>
          </w:tcPr>
          <w:p>
            <w:pPr>
              <w:ind w:left="180"/>
              <w:spacing w:after="0"/>
              <w:rPr>
                <w:sz w:val="20"/>
                <w:szCs w:val="20"/>
                <w:color w:val="auto"/>
              </w:rPr>
            </w:pPr>
            <w:r>
              <w:rPr>
                <w:rFonts w:ascii="Arial" w:cs="Arial" w:eastAsia="Arial" w:hAnsi="Arial"/>
                <w:sz w:val="14"/>
                <w:szCs w:val="14"/>
                <w:color w:val="auto"/>
              </w:rPr>
              <w:t>Sagar Kurada</w:t>
            </w:r>
          </w:p>
        </w:tc>
      </w:tr>
      <w:tr>
        <w:trPr>
          <w:trHeight w:val="212"/>
        </w:trPr>
        <w:tc>
          <w:tcPr>
            <w:tcW w:w="3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Title:</w:t>
            </w:r>
          </w:p>
        </w:tc>
        <w:tc>
          <w:tcPr>
            <w:tcW w:w="456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r>
        <w:trPr>
          <w:trHeight w:val="732"/>
        </w:trPr>
        <w:tc>
          <w:tcPr>
            <w:tcW w:w="3340" w:type="dxa"/>
            <w:vAlign w:val="bottom"/>
          </w:tcPr>
          <w:p>
            <w:pPr>
              <w:spacing w:after="0"/>
              <w:rPr>
                <w:sz w:val="24"/>
                <w:szCs w:val="24"/>
                <w:color w:val="auto"/>
              </w:rPr>
            </w:pPr>
          </w:p>
        </w:tc>
        <w:tc>
          <w:tcPr>
            <w:tcW w:w="2800" w:type="dxa"/>
            <w:vAlign w:val="bottom"/>
          </w:tcPr>
          <w:p>
            <w:pPr>
              <w:jc w:val="right"/>
              <w:ind w:right="409"/>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260"/>
          </w:cols>
          <w:pgMar w:left="320" w:top="899"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4.1</w:t>
      </w:r>
    </w:p>
    <w:p>
      <w:pPr>
        <w:spacing w:after="0" w:line="36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“COMPANY”) THAT IT WILL NOT OFFER, SELL, PLEDGE OR OTHERWISE TRANSFER THIS SECURITY OR ANY BENEFICIAL INTEREST HEREIN EXCEPT:</w:t>
      </w:r>
    </w:p>
    <w:p>
      <w:pPr>
        <w:spacing w:after="0" w:line="152" w:lineRule="exact"/>
        <w:rPr>
          <w:sz w:val="20"/>
          <w:szCs w:val="20"/>
          <w:color w:val="auto"/>
        </w:rPr>
      </w:pPr>
    </w:p>
    <w:p>
      <w:pPr>
        <w:ind w:left="500" w:hanging="240"/>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THE COMPANY OR ANY SUBSIDIARY THEREOF, OR</w:t>
      </w:r>
    </w:p>
    <w:p>
      <w:pPr>
        <w:spacing w:after="0" w:line="19" w:lineRule="exact"/>
        <w:rPr>
          <w:rFonts w:ascii="Arial" w:cs="Arial" w:eastAsia="Arial" w:hAnsi="Arial"/>
          <w:sz w:val="17"/>
          <w:szCs w:val="17"/>
          <w:color w:val="auto"/>
        </w:rPr>
      </w:pPr>
    </w:p>
    <w:p>
      <w:pPr>
        <w:ind w:left="520" w:hanging="260"/>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6" w:lineRule="exact"/>
        <w:rPr>
          <w:rFonts w:ascii="Arial" w:cs="Arial" w:eastAsia="Arial" w:hAnsi="Arial"/>
          <w:sz w:val="17"/>
          <w:szCs w:val="17"/>
          <w:color w:val="auto"/>
        </w:rPr>
      </w:pPr>
    </w:p>
    <w:p>
      <w:pPr>
        <w:ind w:left="520" w:hanging="260"/>
        <w:spacing w:after="0" w:line="255" w:lineRule="auto"/>
        <w:tabs>
          <w:tab w:leader="none" w:pos="516"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THIS SECURITY IS SUBJECT TO RESTRICTIONS ON TRANSFER AS SET FORTH IN AN INVESTMENT AGREEMENT DATED AS OF JULY 6, 2021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6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THIS NOTE HAS BEEN ISSUED WITH “ORIGINAL ISSUE DISCOUNT” (WITHIN THE MEANING OF SECTION 1272 OF THE INTERNAL REVENUE CODE OF 1986, AS AMENDED). UPON WRITTEN REQUEST, THE ISSUER OF THIS NOTE WILL PROMPTLY MAKE AVAILABLE TO ANY HOLDER OF THIS NOTE THE INFORMATION REQUIRED TO BE FURNISHED BY TREASURY REGULATIONS SECTION 1.1275-3. IN ORDER TO REQUEST SUCH INFORMATION, A HOLDER OF THIS NOTE SHOULD CONTACT THE CHIEF ACCOUNTING OFFICER AT 3920 PARK AVENUE, EDISON, NJ, 08820, PHONE NUMBER 732-225-8400.</w:t>
      </w:r>
    </w:p>
    <w:p>
      <w:pPr>
        <w:sectPr>
          <w:pgSz w:w="11900" w:h="16838" w:orient="portrait"/>
          <w:cols w:equalWidth="0" w:num="1">
            <w:col w:w="11280"/>
          </w:cols>
          <w:pgMar w:left="300" w:top="1152"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color w:val="auto"/>
        </w:rPr>
        <w:t>Eos Energy Enterprises, Inc.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 Convertible Senior PIK Toggle Note due 2026</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C-1</w:t>
      </w:r>
      <w:r>
        <w:rPr>
          <w:sz w:val="20"/>
          <w:szCs w:val="20"/>
          <w:color w:val="auto"/>
        </w:rPr>
        <w:tab/>
      </w:r>
      <w:r>
        <w:rPr>
          <w:rFonts w:ascii="Arial" w:cs="Arial" w:eastAsia="Arial" w:hAnsi="Arial"/>
          <w:sz w:val="16"/>
          <w:szCs w:val="16"/>
          <w:color w:val="auto"/>
        </w:rPr>
        <w:t>Initially $100,000,000</w:t>
      </w:r>
    </w:p>
    <w:p>
      <w:pPr>
        <w:spacing w:after="0" w:line="17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Eos Energy Enterprises, Inc., a corporation duly organized and validly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corporation or other entity under the Indenture referred to on the reverse hereof), for value received hereby promises to pay to Spring Creek Capital, LLC, or registered assigns, the principal sum of the Capitalized Principal Amount corresponding to the Initial Principal Amount of $100,000,000, on June 30, 2026, and interest thereon as set forth below.</w:t>
      </w:r>
    </w:p>
    <w:p>
      <w:pPr>
        <w:spacing w:after="0" w:line="14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7"/>
          <w:szCs w:val="17"/>
          <w:color w:val="auto"/>
        </w:rPr>
        <w:t>This Note shall bear interest at the applicable Cash Interest Rate or PIK Interest Rate from July 7, 2021, or from the most recent date to which interest had been paid or provided for to, but excluding, the next scheduled Interest Payment Date until June 30, 2026. Interest is payable semi-annually in arrears in cash at the Cash Interest Rate or by PIK Payments at the PIK Interest Rate, pursuant to Section 2.03(d) of the Indenture, on each June 30 and December 30, commencing on December 30, 2021, to Holders of record at the close of business on the preceding June 15 and December 15 (whether or not such day is a Business Day), respectively.</w:t>
      </w:r>
    </w:p>
    <w:p>
      <w:pPr>
        <w:spacing w:after="0" w:line="14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Company shall make payments on the Notes in the manner set forth in the Indenture. The Company has initially designated itself as the Paying Agent, Conversion Agent and Note Registrar in respect of the Notes and its office in Edison, NJ as a place where Notes may be presented for payment or for registration of transfer and exchange.</w:t>
      </w:r>
    </w:p>
    <w:p>
      <w:pPr>
        <w:spacing w:after="0" w:line="14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20" w:lineRule="exact"/>
        <w:rPr>
          <w:sz w:val="20"/>
          <w:szCs w:val="20"/>
          <w:color w:val="auto"/>
        </w:rPr>
      </w:pPr>
    </w:p>
    <w:p>
      <w:pPr>
        <w:ind w:right="280" w:firstLine="509"/>
        <w:spacing w:after="0" w:line="276" w:lineRule="auto"/>
        <w:rPr>
          <w:sz w:val="20"/>
          <w:szCs w:val="20"/>
          <w:color w:val="auto"/>
        </w:rPr>
      </w:pPr>
      <w:r>
        <w:rPr>
          <w:rFonts w:ascii="Arial" w:cs="Arial" w:eastAsia="Arial" w:hAnsi="Arial"/>
          <w:sz w:val="17"/>
          <w:szCs w:val="17"/>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any conflict between this Note and the Indenture, the provisions of this Note shall control and govern.</w:t>
      </w:r>
    </w:p>
    <w:p>
      <w:pPr>
        <w:spacing w:after="0" w:line="17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52" w:right="319" w:bottom="1440" w:gutter="0" w:footer="0" w:header="0"/>
        </w:sectPr>
      </w:pPr>
    </w:p>
    <w:bookmarkStart w:id="6" w:name="page7"/>
    <w:bookmarkEnd w:id="6"/>
    <w:p>
      <w:pPr>
        <w:ind w:left="520"/>
        <w:spacing w:after="0"/>
        <w:rPr>
          <w:sz w:val="20"/>
          <w:szCs w:val="20"/>
          <w:color w:val="auto"/>
        </w:rPr>
      </w:pPr>
      <w:r>
        <w:rPr>
          <w:rFonts w:ascii="Arial" w:cs="Arial" w:eastAsia="Arial" w:hAnsi="Arial"/>
          <w:sz w:val="15"/>
          <w:szCs w:val="15"/>
          <w:color w:val="auto"/>
        </w:rPr>
        <w:t>IN WITNESS WHEREOF, the Company has caused this Note to be duly executed.</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EOS ENERGY ENTERPRISES, INC.</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20955</wp:posOffset>
            </wp:positionV>
            <wp:extent cx="2823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SPRING CREEK CAPITAL, LLC, as Holder</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p>
    <w:p>
      <w:pPr>
        <w:sectPr>
          <w:pgSz w:w="11900" w:h="16838" w:orient="portrait"/>
          <w:cols w:equalWidth="0" w:num="1">
            <w:col w:w="10159"/>
          </w:cols>
          <w:pgMar w:left="300" w:top="1152" w:right="1440" w:bottom="1440" w:gutter="0" w:footer="0" w:header="0"/>
        </w:sectPr>
      </w:pPr>
    </w:p>
    <w:bookmarkStart w:id="7" w:name="page8"/>
    <w:bookmarkEnd w:id="7"/>
    <w:p>
      <w:pPr>
        <w:ind w:left="4440"/>
        <w:spacing w:after="0"/>
        <w:rPr>
          <w:sz w:val="20"/>
          <w:szCs w:val="20"/>
          <w:color w:val="auto"/>
        </w:rPr>
      </w:pPr>
      <w:r>
        <w:rPr>
          <w:rFonts w:ascii="Arial" w:cs="Arial" w:eastAsia="Arial" w:hAnsi="Arial"/>
          <w:sz w:val="17"/>
          <w:szCs w:val="17"/>
          <w:color w:val="auto"/>
        </w:rPr>
        <w:t>[FORM OF REVERSE OF NOTE]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 Convertible Senior PIK Toggle Note due 2026</w:t>
      </w:r>
    </w:p>
    <w:p>
      <w:pPr>
        <w:spacing w:after="0" w:line="15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This Note is one of a duly authorized issue of Notes of the Company, designated as its 5%/6%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initially in the aggregate principal amount of $100,000,000 (as increased by any PIK Payments). Additional Notes may be issued in an unlimited aggregate principal amount, subject to certain conditions specified in the Indenture. Capitalized terms used in this Note and not defined in this Note shall have the respective meanings set forth in the Indenture (as amended in accordance herewith, the “</w:t>
      </w:r>
      <w:r>
        <w:rPr>
          <w:rFonts w:ascii="Arial" w:cs="Arial" w:eastAsia="Arial" w:hAnsi="Arial"/>
          <w:sz w:val="16"/>
          <w:szCs w:val="16"/>
          <w:b w:val="1"/>
          <w:bCs w:val="1"/>
          <w:color w:val="auto"/>
        </w:rPr>
        <w:t>Indenture</w:t>
      </w:r>
      <w:r>
        <w:rPr>
          <w:rFonts w:ascii="Arial" w:cs="Arial" w:eastAsia="Arial" w:hAnsi="Arial"/>
          <w:sz w:val="16"/>
          <w:szCs w:val="16"/>
          <w:color w:val="auto"/>
        </w:rPr>
        <w:t>”) attached hereto as Exhibit A. The originally issued Notes, all PIK Notes, and any additional Notes issued as set forth in the Indenture or this Note shall constitute a single class.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Incorporation by Reference of Provisions of the Indenture</w:t>
      </w:r>
      <w:r>
        <w:rPr>
          <w:rFonts w:ascii="Arial" w:cs="Arial" w:eastAsia="Arial" w:hAnsi="Arial"/>
          <w:sz w:val="17"/>
          <w:szCs w:val="17"/>
          <w:color w:val="auto"/>
        </w:rPr>
        <w:t>.</w:t>
      </w:r>
    </w:p>
    <w:p>
      <w:pPr>
        <w:spacing w:after="0" w:line="176" w:lineRule="exact"/>
        <w:rPr>
          <w:sz w:val="20"/>
          <w:szCs w:val="20"/>
          <w:color w:val="auto"/>
        </w:rPr>
      </w:pPr>
    </w:p>
    <w:p>
      <w:pPr>
        <w:ind w:firstLine="509"/>
        <w:spacing w:after="0" w:line="284" w:lineRule="auto"/>
        <w:rPr>
          <w:sz w:val="20"/>
          <w:szCs w:val="20"/>
          <w:color w:val="auto"/>
        </w:rPr>
      </w:pPr>
      <w:r>
        <w:rPr>
          <w:rFonts w:ascii="Arial" w:cs="Arial" w:eastAsia="Arial" w:hAnsi="Arial"/>
          <w:sz w:val="15"/>
          <w:szCs w:val="15"/>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 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R-1</w:t>
      </w:r>
    </w:p>
    <w:p>
      <w:pPr>
        <w:sectPr>
          <w:pgSz w:w="11900" w:h="16838" w:orient="portrait"/>
          <w:cols w:equalWidth="0" w:num="1">
            <w:col w:w="11240"/>
          </w:cols>
          <w:pgMar w:left="300" w:top="1152" w:right="359" w:bottom="1440" w:gutter="0" w:footer="0" w:header="0"/>
        </w:sectPr>
      </w:pPr>
    </w:p>
    <w:bookmarkStart w:id="8" w:name="page9"/>
    <w:bookmarkEnd w:id="8"/>
    <w:p>
      <w:pPr>
        <w:spacing w:after="0" w:line="267" w:lineRule="auto"/>
        <w:rPr>
          <w:sz w:val="20"/>
          <w:szCs w:val="20"/>
          <w:color w:val="auto"/>
        </w:rPr>
      </w:pPr>
      <w:r>
        <w:rPr>
          <w:rFonts w:ascii="Arial" w:cs="Arial" w:eastAsia="Arial" w:hAnsi="Arial"/>
          <w:sz w:val="16"/>
          <w:szCs w:val="16"/>
          <w:color w:val="auto"/>
        </w:rPr>
        <w:t>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 (c) 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17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At any time, in the Company’s sole discretion, the Company may appoint a trustee (the “</w:t>
      </w:r>
      <w:r>
        <w:rPr>
          <w:rFonts w:ascii="Arial" w:cs="Arial" w:eastAsia="Arial" w:hAnsi="Arial"/>
          <w:sz w:val="16"/>
          <w:szCs w:val="16"/>
          <w:b w:val="1"/>
          <w:bCs w:val="1"/>
          <w:color w:val="auto"/>
        </w:rPr>
        <w:t>Trustee</w:t>
      </w:r>
      <w:r>
        <w:rPr>
          <w:rFonts w:ascii="Arial" w:cs="Arial" w:eastAsia="Arial" w:hAnsi="Arial"/>
          <w:sz w:val="16"/>
          <w:szCs w:val="16"/>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Events of Default.</w:t>
      </w:r>
    </w:p>
    <w:p>
      <w:pPr>
        <w:spacing w:after="0" w:line="1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case certain Events of Default shall have occurred and be continuing, the principal of, and interest on, all Notes may be declared, by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Payments.</w:t>
      </w:r>
    </w:p>
    <w:p>
      <w:pPr>
        <w:spacing w:after="0" w:line="17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Subject to the terms and conditions of the Indenture, the Company will make all payments and deliveries in respect of the Fundamental Change Repurchase Price on the Fundamental Change Repurchase Date, the Redemption Price on any Redemption Date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R-2</w:t>
      </w:r>
    </w:p>
    <w:p>
      <w:pPr>
        <w:sectPr>
          <w:pgSz w:w="11900" w:h="16838" w:orient="portrait"/>
          <w:cols w:equalWidth="0" w:num="1">
            <w:col w:w="11280"/>
          </w:cols>
          <w:pgMar w:left="300" w:top="1152" w:right="319" w:bottom="1440" w:gutter="0" w:footer="0" w:header="0"/>
        </w:sectPr>
      </w:pPr>
    </w:p>
    <w:bookmarkStart w:id="9" w:name="page10"/>
    <w:bookmarkEnd w:id="9"/>
    <w:p>
      <w:pPr>
        <w:spacing w:after="0" w:line="340" w:lineRule="auto"/>
        <w:rPr>
          <w:sz w:val="20"/>
          <w:szCs w:val="20"/>
          <w:color w:val="auto"/>
        </w:rPr>
      </w:pPr>
      <w:r>
        <w:rPr>
          <w:rFonts w:ascii="Arial" w:cs="Arial" w:eastAsia="Arial" w:hAnsi="Arial"/>
          <w:sz w:val="15"/>
          <w:szCs w:val="15"/>
          <w:color w:val="auto"/>
        </w:rPr>
        <w:t>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Amendments and Waivers.</w:t>
      </w:r>
    </w:p>
    <w:p>
      <w:pPr>
        <w:spacing w:after="0" w:line="1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Right to Payments.</w:t>
      </w:r>
    </w:p>
    <w:p>
      <w:pPr>
        <w:spacing w:after="0" w:line="176" w:lineRule="exact"/>
        <w:rPr>
          <w:sz w:val="20"/>
          <w:szCs w:val="20"/>
          <w:color w:val="auto"/>
        </w:rPr>
      </w:pPr>
    </w:p>
    <w:p>
      <w:pPr>
        <w:jc w:val="both"/>
        <w:ind w:right="20" w:firstLine="509"/>
        <w:spacing w:after="0" w:line="283" w:lineRule="auto"/>
        <w:rPr>
          <w:sz w:val="20"/>
          <w:szCs w:val="20"/>
          <w:color w:val="auto"/>
        </w:rPr>
      </w:pPr>
      <w:r>
        <w:rPr>
          <w:rFonts w:ascii="Arial" w:cs="Arial" w:eastAsia="Arial" w:hAnsi="Arial"/>
          <w:sz w:val="16"/>
          <w:szCs w:val="16"/>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Registered Form; Denominations; Transfer and Exchange.</w:t>
      </w:r>
    </w:p>
    <w:p>
      <w:pPr>
        <w:spacing w:after="0" w:line="1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6"/>
          <w:szCs w:val="16"/>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Redemption.</w:t>
      </w:r>
    </w:p>
    <w:p>
      <w:pPr>
        <w:spacing w:after="0" w:line="1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The Notes shall be redeemable at the Company’s option on or after June 30, 2024 in accordance with the terms and subject to the conditions specified in the Indenture. No sinking fund is provided for the Notes.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Fundamental Change Repurchase Right.</w:t>
      </w:r>
    </w:p>
    <w:p>
      <w:pPr>
        <w:spacing w:after="0" w:line="176" w:lineRule="exact"/>
        <w:rPr>
          <w:sz w:val="20"/>
          <w:szCs w:val="20"/>
          <w:color w:val="auto"/>
        </w:rPr>
      </w:pPr>
    </w:p>
    <w:p>
      <w:pPr>
        <w:ind w:right="200" w:firstLine="509"/>
        <w:spacing w:after="0" w:line="271" w:lineRule="auto"/>
        <w:rPr>
          <w:sz w:val="20"/>
          <w:szCs w:val="20"/>
          <w:color w:val="auto"/>
        </w:rPr>
      </w:pPr>
      <w:r>
        <w:rPr>
          <w:rFonts w:ascii="Arial" w:cs="Arial" w:eastAsia="Arial" w:hAnsi="Arial"/>
          <w:sz w:val="17"/>
          <w:szCs w:val="17"/>
          <w:color w:val="auto"/>
        </w:rPr>
        <w:t>Upon the occurrence of a Fundamental Change, the Holder has the right, at such Holder’s option, to require the Company to repurchase for cash all of such Holder’s Notes or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R-3</w:t>
      </w:r>
    </w:p>
    <w:p>
      <w:pPr>
        <w:sectPr>
          <w:pgSz w:w="11900" w:h="16838" w:orient="portrait"/>
          <w:cols w:equalWidth="0" w:num="1">
            <w:col w:w="11260"/>
          </w:cols>
          <w:pgMar w:left="300" w:top="1152" w:right="339" w:bottom="1440" w:gutter="0" w:footer="0" w:header="0"/>
        </w:sectPr>
      </w:pPr>
    </w:p>
    <w:bookmarkStart w:id="10" w:name="page11"/>
    <w:bookmarkEnd w:id="10"/>
    <w:p>
      <w:pPr>
        <w:ind w:right="440"/>
        <w:spacing w:after="0" w:line="271" w:lineRule="auto"/>
        <w:rPr>
          <w:sz w:val="20"/>
          <w:szCs w:val="20"/>
          <w:color w:val="auto"/>
        </w:rPr>
      </w:pPr>
      <w:r>
        <w:rPr>
          <w:rFonts w:ascii="Arial" w:cs="Arial" w:eastAsia="Arial" w:hAnsi="Arial"/>
          <w:sz w:val="17"/>
          <w:szCs w:val="17"/>
          <w:color w:val="auto"/>
        </w:rPr>
        <w:t>thereof (in principal amounts of $1,000 or integral multiples of $1.00 in excess thereof) on the Fundamental Change Repurchase Date at a price equal to the Fundamental Change Repurchase Price.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Conversion Rights.</w:t>
      </w:r>
    </w:p>
    <w:p>
      <w:pPr>
        <w:spacing w:after="0" w:line="17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cash, shares of Common Stock or a combination of cash and shares of Common Stock, as applicable, at the Conversion Rate specified in the Indenture, as adjusted from time to time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R-4</w:t>
      </w:r>
    </w:p>
    <w:p>
      <w:pPr>
        <w:sectPr>
          <w:pgSz w:w="11900" w:h="16838" w:orient="portrait"/>
          <w:cols w:equalWidth="0" w:num="1">
            <w:col w:w="11020"/>
          </w:cols>
          <w:pgMar w:left="300" w:top="1152" w:right="579" w:bottom="1440" w:gutter="0" w:footer="0" w:header="0"/>
        </w:sectPr>
      </w:pPr>
    </w:p>
    <w:bookmarkStart w:id="11" w:name="page12"/>
    <w:bookmarkEnd w:id="11"/>
    <w:p>
      <w:pPr>
        <w:jc w:val="center"/>
        <w:ind w:right="-419"/>
        <w:spacing w:after="0"/>
        <w:rPr>
          <w:sz w:val="20"/>
          <w:szCs w:val="20"/>
          <w:color w:val="auto"/>
        </w:rPr>
      </w:pPr>
      <w:r>
        <w:rPr>
          <w:rFonts w:ascii="Arial" w:cs="Arial" w:eastAsia="Arial" w:hAnsi="Arial"/>
          <w:sz w:val="17"/>
          <w:szCs w:val="17"/>
          <w:color w:val="auto"/>
        </w:rPr>
        <w:t>ABBREVIATIONS</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following abbreviations, when used in the inscription of the face of this Note, shall be construed as though they were written out in full according to applicable laws or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TEN COM = as tenants in common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Uniform Gifts to Minors 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CUST = Custodian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ENT = as tenants by the entireties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JT TEN = joint tenants with right of survivorship and not as tenants in common</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R-5</w:t>
      </w:r>
    </w:p>
    <w:p>
      <w:pPr>
        <w:sectPr>
          <w:pgSz w:w="11900" w:h="16838" w:orient="portrait"/>
          <w:cols w:equalWidth="0" w:num="1">
            <w:col w:w="10880"/>
          </w:cols>
          <w:pgMar w:left="300" w:top="1152" w:right="71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ATTACHMENT 1</w:t>
      </w:r>
    </w:p>
    <w:p>
      <w:pPr>
        <w:spacing w:after="0" w:line="1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[FORM OF NOTICE OF CONVERSION]</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83" w:lineRule="exact"/>
        <w:rPr>
          <w:sz w:val="20"/>
          <w:szCs w:val="20"/>
          <w:color w:val="auto"/>
        </w:rPr>
      </w:pPr>
    </w:p>
    <w:p>
      <w:pPr>
        <w:ind w:right="240" w:firstLine="509"/>
        <w:spacing w:after="0" w:line="288" w:lineRule="auto"/>
        <w:rPr>
          <w:sz w:val="20"/>
          <w:szCs w:val="20"/>
          <w:color w:val="auto"/>
        </w:rPr>
      </w:pPr>
      <w:r>
        <w:rPr>
          <w:rFonts w:ascii="Arial" w:cs="Arial" w:eastAsia="Arial" w:hAnsi="Arial"/>
          <w:sz w:val="15"/>
          <w:szCs w:val="15"/>
          <w:color w:val="auto"/>
        </w:rPr>
        <w:t>The undersigned registered owner of this Note hereby exercises the option to convert this Note, or the portion hereof (that is $1,000 principal amount or an integral multiple of $1.00 in excess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27" w:lineRule="exact"/>
        <w:rPr>
          <w:sz w:val="20"/>
          <w:szCs w:val="20"/>
          <w:color w:val="auto"/>
        </w:rPr>
      </w:pPr>
    </w:p>
    <w:p>
      <w:pPr>
        <w:spacing w:after="0"/>
        <w:tabs>
          <w:tab w:leader="none" w:pos="600" w:val="left"/>
          <w:tab w:leader="none" w:pos="2560" w:val="left"/>
        </w:tabs>
        <w:rPr>
          <w:sz w:val="20"/>
          <w:szCs w:val="20"/>
          <w:color w:val="auto"/>
        </w:rPr>
      </w:pPr>
      <w:r>
        <w:rPr>
          <w:rFonts w:ascii="Arial" w:cs="Arial" w:eastAsia="Arial" w:hAnsi="Arial"/>
          <w:sz w:val="17"/>
          <w:szCs w:val="17"/>
          <w:color w:val="auto"/>
        </w:rPr>
        <w:t>Dated:</w:t>
        <w:tab/>
        <w:t>_____________________</w:t>
      </w:r>
      <w:r>
        <w:rPr>
          <w:sz w:val="20"/>
          <w:szCs w:val="20"/>
          <w:color w:val="auto"/>
        </w:rPr>
        <w:tab/>
      </w:r>
      <w:r>
        <w:rPr>
          <w:rFonts w:ascii="Arial" w:cs="Arial" w:eastAsia="Arial" w:hAnsi="Arial"/>
          <w:sz w:val="15"/>
          <w:szCs w:val="15"/>
          <w:color w:val="auto"/>
        </w:rPr>
        <w:t>________________________________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an eligible Guarantor Institution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(banks, stock brokers, savings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loan associations and credit unions)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with membership in an approved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Securities and Exchange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Commission Rule 17Ad-15 if shares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are to be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148"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Notes are to be delivered, other than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to and in the 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Fill in for registration of shares if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to be issued, and Notes if 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be delivered, other than to and in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(Street Address)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(City, State and Zip Code)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Please print name and address</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converted (if less than all): $______,000</w:t>
      </w:r>
    </w:p>
    <w:p>
      <w:pPr>
        <w:spacing w:after="0" w:line="176" w:lineRule="exact"/>
        <w:rPr>
          <w:sz w:val="20"/>
          <w:szCs w:val="20"/>
          <w:color w:val="auto"/>
        </w:rPr>
      </w:pPr>
    </w:p>
    <w:p>
      <w:pPr>
        <w:ind w:left="256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131"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00" w:top="1354" w:right="359" w:bottom="1440" w:gutter="0" w:footer="0" w:header="0"/>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ATTACHMENT 2</w:t>
      </w:r>
    </w:p>
    <w:p>
      <w:pPr>
        <w:spacing w:after="0" w:line="180"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[FORM OF FUNDAMENTAL CHANGE REPURCHASE NOTICE]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79"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undersigned registered owner of this Note hereby acknowledges receipt of a notice from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Physical Notes, the certificate numbers of the Notes to be repurchased are as set forth below:</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35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repaid (if less than all): $______,000</w:t>
      </w:r>
    </w:p>
    <w:p>
      <w:pPr>
        <w:spacing w:after="0" w:line="176" w:lineRule="exact"/>
        <w:rPr>
          <w:sz w:val="20"/>
          <w:szCs w:val="20"/>
          <w:color w:val="auto"/>
        </w:rPr>
      </w:pPr>
    </w:p>
    <w:p>
      <w:pPr>
        <w:ind w:left="2560" w:right="4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148"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b w:val="1"/>
          <w:bCs w:val="1"/>
          <w:color w:val="auto"/>
        </w:rPr>
        <w:t>ATTACHMENT 3</w:t>
      </w:r>
    </w:p>
    <w:p>
      <w:pPr>
        <w:spacing w:after="0" w:line="18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[FORM OF ASSIGNMENT AND TRANSFER]</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____________________________ hereby sell(s), assign(s) and transfer(s) unto _________________ (Please insert social security or Taxpayer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Number of assignee) the within Note, and hereby irrevocably constitutes and appoints _____________________ attorney to transfer the said Note 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books of the Company, with full power of substitution in the premises.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transfer of the within Note, the undersigned confirms that such Note is being transferred:</w:t>
      </w:r>
    </w:p>
    <w:p>
      <w:pPr>
        <w:spacing w:after="0" w:line="176" w:lineRule="exact"/>
        <w:rPr>
          <w:sz w:val="20"/>
          <w:szCs w:val="20"/>
          <w:color w:val="auto"/>
        </w:rPr>
      </w:pPr>
    </w:p>
    <w:p>
      <w:pPr>
        <w:ind w:left="280" w:hanging="275"/>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Eos Energy Enterprises, Inc. or a subsidiary thereof; or</w:t>
      </w:r>
    </w:p>
    <w:p>
      <w:pPr>
        <w:spacing w:after="0" w:line="175" w:lineRule="exact"/>
        <w:rPr>
          <w:rFonts w:ascii="Arial" w:cs="Arial" w:eastAsia="Arial" w:hAnsi="Arial"/>
          <w:sz w:val="17"/>
          <w:szCs w:val="17"/>
          <w:color w:val="auto"/>
        </w:rPr>
      </w:pPr>
    </w:p>
    <w:p>
      <w:pPr>
        <w:ind w:left="280" w:hanging="275"/>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a registration statement that has become or been declared effective under the Securities Act of 1933, as amended; or</w:t>
      </w:r>
    </w:p>
    <w:p>
      <w:pPr>
        <w:spacing w:after="0" w:line="175" w:lineRule="exact"/>
        <w:rPr>
          <w:rFonts w:ascii="Arial" w:cs="Arial" w:eastAsia="Arial" w:hAnsi="Arial"/>
          <w:sz w:val="17"/>
          <w:szCs w:val="17"/>
          <w:color w:val="auto"/>
        </w:rPr>
      </w:pPr>
    </w:p>
    <w:p>
      <w:pPr>
        <w:ind w:right="140" w:firstLine="5"/>
        <w:spacing w:after="0" w:line="271" w:lineRule="auto"/>
        <w:tabs>
          <w:tab w:leader="none" w:pos="272"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148" w:right="31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Dated: 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 by 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eligible Guarantor Institution (banks,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brokers, savings and loan associations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credit unions) with membership in an approved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 pursuant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Securities and Exchange Commission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Rule 17Ad-15 if Notes are to be delivered, other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than to and in the name of the registered holder.</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1160"/>
          </w:cols>
          <w:pgMar w:left="300" w:top="1152" w:right="4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EXHIBIT A – FORM OF INDENTURE</w:t>
      </w:r>
    </w:p>
    <w:p>
      <w:pPr>
        <w:sectPr>
          <w:pgSz w:w="11900" w:h="16838" w:orient="portrait"/>
          <w:cols w:equalWidth="0" w:num="1">
            <w:col w:w="9019"/>
          </w:cols>
          <w:pgMar w:left="1440" w:top="1148"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1146810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1167130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EOS ENERGY ENTERPRISES,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Dated as of [_____]</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 Convertible Senior PIK Toggle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615315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635635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40" w:type="dxa"/>
            <w:vAlign w:val="bottom"/>
          </w:tcPr>
          <w:p>
            <w:pPr>
              <w:jc w:val="center"/>
              <w:ind w:left="1875"/>
              <w:spacing w:after="0"/>
              <w:rPr>
                <w:sz w:val="20"/>
                <w:szCs w:val="20"/>
                <w:color w:val="auto"/>
              </w:rPr>
            </w:pPr>
            <w:r>
              <w:rPr>
                <w:rFonts w:ascii="Arial" w:cs="Arial" w:eastAsia="Arial" w:hAnsi="Arial"/>
                <w:sz w:val="17"/>
                <w:szCs w:val="17"/>
                <w:b w:val="1"/>
                <w:bCs w:val="1"/>
                <w:color w:val="auto"/>
                <w:w w:val="99"/>
              </w:rPr>
              <w:t>TABLE OF CONTENTS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99"/>
        </w:trPr>
        <w:tc>
          <w:tcPr>
            <w:tcW w:w="93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510"/>
        </w:trPr>
        <w:tc>
          <w:tcPr>
            <w:tcW w:w="9340" w:type="dxa"/>
            <w:vAlign w:val="bottom"/>
          </w:tcPr>
          <w:p>
            <w:pPr>
              <w:spacing w:after="0"/>
              <w:rPr>
                <w:sz w:val="24"/>
                <w:szCs w:val="24"/>
                <w:color w:val="auto"/>
              </w:rPr>
            </w:pPr>
          </w:p>
        </w:tc>
        <w:tc>
          <w:tcPr>
            <w:tcW w:w="1940" w:type="dxa"/>
            <w:vAlign w:val="bottom"/>
            <w:gridSpan w:val="2"/>
          </w:tcPr>
          <w:p>
            <w:pPr>
              <w:ind w:left="1620"/>
              <w:spacing w:after="0"/>
              <w:rPr>
                <w:sz w:val="20"/>
                <w:szCs w:val="20"/>
                <w:color w:val="auto"/>
              </w:rPr>
            </w:pPr>
            <w:r>
              <w:rPr>
                <w:rFonts w:ascii="Arial" w:cs="Arial" w:eastAsia="Arial" w:hAnsi="Arial"/>
                <w:sz w:val="17"/>
                <w:szCs w:val="17"/>
                <w:color w:val="auto"/>
                <w:w w:val="75"/>
              </w:rPr>
              <w:t>Page</w:t>
            </w:r>
          </w:p>
        </w:tc>
      </w:tr>
      <w:tr>
        <w:trPr>
          <w:trHeight w:val="250"/>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7"/>
              </w:rPr>
              <w:t>ARTICLE 1</w:t>
            </w:r>
          </w:p>
        </w:tc>
        <w:tc>
          <w:tcPr>
            <w:tcW w:w="16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r>
      <w:tr>
        <w:trPr>
          <w:trHeight w:val="215"/>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5"/>
              </w:rPr>
              <w:t>Definitions</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Definitions</w:t>
            </w:r>
          </w:p>
        </w:tc>
        <w:tc>
          <w:tcPr>
            <w:tcW w:w="1620" w:type="dxa"/>
            <w:vAlign w:val="bottom"/>
          </w:tcPr>
          <w:p>
            <w:pPr>
              <w:ind w:left="144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1.02</w:t>
            </w:r>
            <w:r>
              <w:rPr>
                <w:rFonts w:ascii="Arial" w:cs="Arial" w:eastAsia="Arial" w:hAnsi="Arial"/>
                <w:sz w:val="17"/>
                <w:szCs w:val="17"/>
                <w:i w:val="1"/>
                <w:iCs w:val="1"/>
                <w:color w:val="auto"/>
              </w:rPr>
              <w:t>. References to Interest</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13</w:t>
            </w:r>
          </w:p>
        </w:tc>
        <w:tc>
          <w:tcPr>
            <w:tcW w:w="320" w:type="dxa"/>
            <w:vAlign w:val="bottom"/>
          </w:tcPr>
          <w:p>
            <w:pPr>
              <w:spacing w:after="0"/>
              <w:rPr>
                <w:sz w:val="21"/>
                <w:szCs w:val="21"/>
                <w:color w:val="auto"/>
              </w:rPr>
            </w:pPr>
          </w:p>
        </w:tc>
      </w:tr>
      <w:tr>
        <w:trPr>
          <w:trHeight w:val="230"/>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7"/>
              </w:rPr>
              <w:t>ARTICLE 2</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5"/>
        </w:trPr>
        <w:tc>
          <w:tcPr>
            <w:tcW w:w="9340" w:type="dxa"/>
            <w:vAlign w:val="bottom"/>
          </w:tcPr>
          <w:p>
            <w:pPr>
              <w:jc w:val="center"/>
              <w:ind w:left="1875"/>
              <w:spacing w:after="0"/>
              <w:rPr>
                <w:sz w:val="20"/>
                <w:szCs w:val="20"/>
                <w:color w:val="auto"/>
              </w:rPr>
            </w:pPr>
            <w:r>
              <w:rPr>
                <w:rFonts w:ascii="Arial" w:cs="Arial" w:eastAsia="Arial" w:hAnsi="Arial"/>
                <w:sz w:val="17"/>
                <w:szCs w:val="17"/>
                <w:color w:val="auto"/>
                <w:w w:val="90"/>
              </w:rPr>
              <w:t>Issue, Description, Execution, Registration and Exchange of Notes</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Designation and Amount</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13</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Form of Notes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13</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Date and Denomination of Notes; Payments of Interest and Defaulted Amounts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14</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Execution, Authentication and Delivery of Notes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17</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Exchange and Registration of Transfer of Notes; Restrictions on Transfer; Depositary</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18</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Mutilated, Destroyed, Lost or Stolen Notes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22</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Temporary Notes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23</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2.08</w:t>
            </w:r>
            <w:r>
              <w:rPr>
                <w:rFonts w:ascii="Arial" w:cs="Arial" w:eastAsia="Arial" w:hAnsi="Arial"/>
                <w:sz w:val="17"/>
                <w:szCs w:val="17"/>
                <w:i w:val="1"/>
                <w:iCs w:val="1"/>
                <w:color w:val="auto"/>
              </w:rPr>
              <w:t>. Cancellation of Notes Paid, Converted, Etc</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24</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CUSIP Numbers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24</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2.10</w:t>
            </w:r>
            <w:r>
              <w:rPr>
                <w:rFonts w:ascii="Arial" w:cs="Arial" w:eastAsia="Arial" w:hAnsi="Arial"/>
                <w:sz w:val="17"/>
                <w:szCs w:val="17"/>
                <w:i w:val="1"/>
                <w:iCs w:val="1"/>
                <w:color w:val="auto"/>
              </w:rPr>
              <w:t>. Additional Notes; Repurchases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24</w:t>
            </w:r>
          </w:p>
        </w:tc>
        <w:tc>
          <w:tcPr>
            <w:tcW w:w="320" w:type="dxa"/>
            <w:vAlign w:val="bottom"/>
          </w:tcPr>
          <w:p>
            <w:pPr>
              <w:spacing w:after="0"/>
              <w:rPr>
                <w:sz w:val="21"/>
                <w:szCs w:val="21"/>
                <w:color w:val="auto"/>
              </w:rPr>
            </w:pPr>
          </w:p>
        </w:tc>
      </w:tr>
      <w:tr>
        <w:trPr>
          <w:trHeight w:val="230"/>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7"/>
              </w:rPr>
              <w:t>ARTICLE 3</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5"/>
        </w:trPr>
        <w:tc>
          <w:tcPr>
            <w:tcW w:w="9340" w:type="dxa"/>
            <w:vAlign w:val="bottom"/>
          </w:tcPr>
          <w:p>
            <w:pPr>
              <w:jc w:val="center"/>
              <w:ind w:left="1875"/>
              <w:spacing w:after="0"/>
              <w:rPr>
                <w:sz w:val="20"/>
                <w:szCs w:val="20"/>
                <w:color w:val="auto"/>
              </w:rPr>
            </w:pPr>
            <w:r>
              <w:rPr>
                <w:rFonts w:ascii="Arial" w:cs="Arial" w:eastAsia="Arial" w:hAnsi="Arial"/>
                <w:sz w:val="17"/>
                <w:szCs w:val="17"/>
                <w:color w:val="auto"/>
                <w:w w:val="89"/>
              </w:rPr>
              <w:t>Satisfaction and Discharge</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3.01</w:t>
            </w:r>
            <w:r>
              <w:rPr>
                <w:rFonts w:ascii="Arial" w:cs="Arial" w:eastAsia="Arial" w:hAnsi="Arial"/>
                <w:sz w:val="17"/>
                <w:szCs w:val="17"/>
                <w:i w:val="1"/>
                <w:iCs w:val="1"/>
                <w:color w:val="auto"/>
              </w:rPr>
              <w:t>. Satisfaction and Discharge</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25</w:t>
            </w:r>
          </w:p>
        </w:tc>
        <w:tc>
          <w:tcPr>
            <w:tcW w:w="320" w:type="dxa"/>
            <w:vAlign w:val="bottom"/>
          </w:tcPr>
          <w:p>
            <w:pPr>
              <w:spacing w:after="0"/>
              <w:rPr>
                <w:sz w:val="21"/>
                <w:szCs w:val="21"/>
                <w:color w:val="auto"/>
              </w:rPr>
            </w:pPr>
          </w:p>
        </w:tc>
      </w:tr>
      <w:tr>
        <w:trPr>
          <w:trHeight w:val="230"/>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7"/>
              </w:rPr>
              <w:t>ARTICLE 4</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5"/>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0"/>
              </w:rPr>
              <w:t>Particular Covenants of the Company</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Payment of Principal and Interest</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25</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4.02</w:t>
            </w:r>
            <w:r>
              <w:rPr>
                <w:rFonts w:ascii="Arial" w:cs="Arial" w:eastAsia="Arial" w:hAnsi="Arial"/>
                <w:sz w:val="17"/>
                <w:szCs w:val="17"/>
                <w:i w:val="1"/>
                <w:iCs w:val="1"/>
                <w:color w:val="auto"/>
              </w:rPr>
              <w:t>. Maintenance of Office or Agency</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25</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Appointments to Fill Vacancies in Trustee’s Office</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26</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4.04</w:t>
            </w:r>
            <w:r>
              <w:rPr>
                <w:rFonts w:ascii="Arial" w:cs="Arial" w:eastAsia="Arial" w:hAnsi="Arial"/>
                <w:sz w:val="17"/>
                <w:szCs w:val="17"/>
                <w:i w:val="1"/>
                <w:iCs w:val="1"/>
                <w:color w:val="auto"/>
              </w:rPr>
              <w:t>. Provisions as to Paying Agent</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26</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4.05</w:t>
            </w:r>
            <w:r>
              <w:rPr>
                <w:rFonts w:ascii="Arial" w:cs="Arial" w:eastAsia="Arial" w:hAnsi="Arial"/>
                <w:sz w:val="17"/>
                <w:szCs w:val="17"/>
                <w:i w:val="1"/>
                <w:iCs w:val="1"/>
                <w:color w:val="auto"/>
              </w:rPr>
              <w:t>. Rule 144A Information Requirement and Annual Reports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27</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Reports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27</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4.07</w:t>
            </w:r>
            <w:r>
              <w:rPr>
                <w:rFonts w:ascii="Arial" w:cs="Arial" w:eastAsia="Arial" w:hAnsi="Arial"/>
                <w:sz w:val="17"/>
                <w:szCs w:val="17"/>
                <w:i w:val="1"/>
                <w:iCs w:val="1"/>
                <w:color w:val="auto"/>
              </w:rPr>
              <w:t>. Stay, Extension and Usury Laws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28</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4.08</w:t>
            </w:r>
            <w:r>
              <w:rPr>
                <w:rFonts w:ascii="Arial" w:cs="Arial" w:eastAsia="Arial" w:hAnsi="Arial"/>
                <w:sz w:val="17"/>
                <w:szCs w:val="17"/>
                <w:i w:val="1"/>
                <w:iCs w:val="1"/>
                <w:color w:val="auto"/>
              </w:rPr>
              <w:t>. Compliance Certificate; Statements as to Defaults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28</w:t>
            </w:r>
          </w:p>
        </w:tc>
        <w:tc>
          <w:tcPr>
            <w:tcW w:w="320" w:type="dxa"/>
            <w:vAlign w:val="bottom"/>
          </w:tcPr>
          <w:p>
            <w:pPr>
              <w:spacing w:after="0"/>
              <w:rPr>
                <w:sz w:val="21"/>
                <w:szCs w:val="21"/>
                <w:color w:val="auto"/>
              </w:rPr>
            </w:pPr>
          </w:p>
        </w:tc>
      </w:tr>
      <w:tr>
        <w:trPr>
          <w:trHeight w:val="230"/>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97"/>
              </w:rPr>
              <w:t>ARTICLE 5</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5"/>
        </w:trPr>
        <w:tc>
          <w:tcPr>
            <w:tcW w:w="9340" w:type="dxa"/>
            <w:vAlign w:val="bottom"/>
          </w:tcPr>
          <w:p>
            <w:pPr>
              <w:jc w:val="center"/>
              <w:ind w:left="1855"/>
              <w:spacing w:after="0"/>
              <w:rPr>
                <w:sz w:val="20"/>
                <w:szCs w:val="20"/>
                <w:color w:val="auto"/>
              </w:rPr>
            </w:pPr>
            <w:r>
              <w:rPr>
                <w:rFonts w:ascii="Arial" w:cs="Arial" w:eastAsia="Arial" w:hAnsi="Arial"/>
                <w:sz w:val="17"/>
                <w:szCs w:val="17"/>
                <w:color w:val="auto"/>
                <w:w w:val="89"/>
              </w:rPr>
              <w:t>Lists of Holders and Reports by the Company and the Trustee</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Lists of Holders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28</w:t>
            </w:r>
          </w:p>
        </w:tc>
        <w:tc>
          <w:tcPr>
            <w:tcW w:w="320" w:type="dxa"/>
            <w:vAlign w:val="bottom"/>
          </w:tcPr>
          <w:p>
            <w:pPr>
              <w:spacing w:after="0"/>
              <w:rPr>
                <w:sz w:val="21"/>
                <w:szCs w:val="21"/>
                <w:color w:val="auto"/>
              </w:rPr>
            </w:pPr>
          </w:p>
        </w:tc>
      </w:tr>
      <w:tr>
        <w:trPr>
          <w:trHeight w:val="244"/>
        </w:trPr>
        <w:tc>
          <w:tcPr>
            <w:tcW w:w="9340" w:type="dxa"/>
            <w:vAlign w:val="bottom"/>
          </w:tcPr>
          <w:p>
            <w:pPr>
              <w:ind w:left="60"/>
              <w:spacing w:after="0"/>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Preservation and Disclosure of Lists</w:t>
            </w:r>
          </w:p>
        </w:tc>
        <w:tc>
          <w:tcPr>
            <w:tcW w:w="1620" w:type="dxa"/>
            <w:vAlign w:val="bottom"/>
          </w:tcPr>
          <w:p>
            <w:pPr>
              <w:ind w:left="1440"/>
              <w:spacing w:after="0"/>
              <w:rPr>
                <w:sz w:val="20"/>
                <w:szCs w:val="20"/>
                <w:color w:val="auto"/>
              </w:rPr>
            </w:pPr>
            <w:r>
              <w:rPr>
                <w:rFonts w:ascii="Arial" w:cs="Arial" w:eastAsia="Arial" w:hAnsi="Arial"/>
                <w:sz w:val="17"/>
                <w:szCs w:val="17"/>
                <w:color w:val="auto"/>
                <w:w w:val="84"/>
              </w:rPr>
              <w:t>29</w:t>
            </w:r>
          </w:p>
        </w:tc>
        <w:tc>
          <w:tcPr>
            <w:tcW w:w="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80"/>
          </w:cols>
          <w:pgMar w:left="300" w:top="1440" w:right="319" w:bottom="1440" w:gutter="0" w:footer="0" w:header="0"/>
        </w:sectPr>
      </w:pPr>
    </w:p>
    <w:bookmarkStart w:id="20" w:name="page21"/>
    <w:bookmarkEnd w:id="20"/>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Pr>
          <w:p>
            <w:pPr>
              <w:jc w:val="center"/>
              <w:ind w:left="2515"/>
              <w:spacing w:after="0"/>
              <w:rPr>
                <w:sz w:val="20"/>
                <w:szCs w:val="20"/>
                <w:color w:val="auto"/>
              </w:rPr>
            </w:pPr>
            <w:r>
              <w:rPr>
                <w:rFonts w:ascii="Arial" w:cs="Arial" w:eastAsia="Arial" w:hAnsi="Arial"/>
                <w:sz w:val="17"/>
                <w:szCs w:val="17"/>
                <w:color w:val="auto"/>
                <w:w w:val="97"/>
              </w:rPr>
              <w:t>ARTICLE 6</w:t>
            </w:r>
          </w:p>
        </w:tc>
        <w:tc>
          <w:tcPr>
            <w:tcW w:w="2320" w:type="dxa"/>
            <w:vAlign w:val="bottom"/>
          </w:tcPr>
          <w:p>
            <w:pPr>
              <w:spacing w:after="0"/>
              <w:rPr>
                <w:sz w:val="17"/>
                <w:szCs w:val="17"/>
                <w:color w:val="auto"/>
              </w:rPr>
            </w:pPr>
          </w:p>
        </w:tc>
      </w:tr>
      <w:tr>
        <w:trPr>
          <w:trHeight w:val="215"/>
        </w:trPr>
        <w:tc>
          <w:tcPr>
            <w:tcW w:w="8560" w:type="dxa"/>
            <w:vAlign w:val="bottom"/>
          </w:tcPr>
          <w:p>
            <w:pPr>
              <w:jc w:val="center"/>
              <w:ind w:left="2535"/>
              <w:spacing w:after="0"/>
              <w:rPr>
                <w:sz w:val="20"/>
                <w:szCs w:val="20"/>
                <w:color w:val="auto"/>
              </w:rPr>
            </w:pPr>
            <w:r>
              <w:rPr>
                <w:rFonts w:ascii="Arial" w:cs="Arial" w:eastAsia="Arial" w:hAnsi="Arial"/>
                <w:sz w:val="17"/>
                <w:szCs w:val="17"/>
                <w:color w:val="auto"/>
                <w:w w:val="89"/>
              </w:rPr>
              <w:t>Defaults and Remedies</w:t>
            </w:r>
          </w:p>
        </w:tc>
        <w:tc>
          <w:tcPr>
            <w:tcW w:w="2320" w:type="dxa"/>
            <w:vAlign w:val="bottom"/>
          </w:tcPr>
          <w:p>
            <w:pPr>
              <w:spacing w:after="0"/>
              <w:rPr>
                <w:sz w:val="18"/>
                <w:szCs w:val="18"/>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6.01</w:t>
            </w:r>
            <w:r>
              <w:rPr>
                <w:rFonts w:ascii="Arial" w:cs="Arial" w:eastAsia="Arial" w:hAnsi="Arial"/>
                <w:sz w:val="17"/>
                <w:szCs w:val="17"/>
                <w:i w:val="1"/>
                <w:iCs w:val="1"/>
                <w:color w:val="auto"/>
              </w:rPr>
              <w:t>. Events of Default</w:t>
            </w:r>
          </w:p>
        </w:tc>
        <w:tc>
          <w:tcPr>
            <w:tcW w:w="23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 Rescission and Annulment</w:t>
            </w:r>
          </w:p>
        </w:tc>
        <w:tc>
          <w:tcPr>
            <w:tcW w:w="23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6.03</w:t>
            </w:r>
            <w:r>
              <w:rPr>
                <w:rFonts w:ascii="Arial" w:cs="Arial" w:eastAsia="Arial" w:hAnsi="Arial"/>
                <w:sz w:val="17"/>
                <w:szCs w:val="17"/>
                <w:i w:val="1"/>
                <w:iCs w:val="1"/>
                <w:color w:val="auto"/>
              </w:rPr>
              <w:t>. Payments of Notes on Default; Suit Therefor</w:t>
            </w:r>
          </w:p>
        </w:tc>
        <w:tc>
          <w:tcPr>
            <w:tcW w:w="23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6.04</w:t>
            </w:r>
            <w:r>
              <w:rPr>
                <w:rFonts w:ascii="Arial" w:cs="Arial" w:eastAsia="Arial" w:hAnsi="Arial"/>
                <w:sz w:val="17"/>
                <w:szCs w:val="17"/>
                <w:i w:val="1"/>
                <w:iCs w:val="1"/>
                <w:color w:val="auto"/>
              </w:rPr>
              <w:t>. Application of Monies Collected by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6.05</w:t>
            </w:r>
            <w:r>
              <w:rPr>
                <w:rFonts w:ascii="Arial" w:cs="Arial" w:eastAsia="Arial" w:hAnsi="Arial"/>
                <w:sz w:val="17"/>
                <w:szCs w:val="17"/>
                <w:i w:val="1"/>
                <w:iCs w:val="1"/>
                <w:color w:val="auto"/>
              </w:rPr>
              <w:t>. Proceedings by Holders</w:t>
            </w:r>
          </w:p>
        </w:tc>
        <w:tc>
          <w:tcPr>
            <w:tcW w:w="23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6.06</w:t>
            </w:r>
            <w:r>
              <w:rPr>
                <w:rFonts w:ascii="Arial" w:cs="Arial" w:eastAsia="Arial" w:hAnsi="Arial"/>
                <w:sz w:val="17"/>
                <w:szCs w:val="17"/>
                <w:i w:val="1"/>
                <w:iCs w:val="1"/>
                <w:color w:val="auto"/>
              </w:rPr>
              <w:t>. Proceedings by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6.07</w:t>
            </w:r>
            <w:r>
              <w:rPr>
                <w:rFonts w:ascii="Arial" w:cs="Arial" w:eastAsia="Arial" w:hAnsi="Arial"/>
                <w:sz w:val="17"/>
                <w:szCs w:val="17"/>
                <w:i w:val="1"/>
                <w:iCs w:val="1"/>
                <w:color w:val="auto"/>
              </w:rPr>
              <w:t>. Remedies Cumulative and Continuing</w:t>
            </w:r>
          </w:p>
        </w:tc>
        <w:tc>
          <w:tcPr>
            <w:tcW w:w="23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6.08</w:t>
            </w:r>
            <w:r>
              <w:rPr>
                <w:rFonts w:ascii="Arial" w:cs="Arial" w:eastAsia="Arial" w:hAnsi="Arial"/>
                <w:sz w:val="17"/>
                <w:szCs w:val="17"/>
                <w:i w:val="1"/>
                <w:iCs w:val="1"/>
                <w:color w:val="auto"/>
              </w:rPr>
              <w:t>. Direction of Proceedings and Waiver of Defaults by Majority of Holders</w:t>
            </w:r>
          </w:p>
        </w:tc>
        <w:tc>
          <w:tcPr>
            <w:tcW w:w="23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6.09</w:t>
            </w:r>
            <w:r>
              <w:rPr>
                <w:rFonts w:ascii="Arial" w:cs="Arial" w:eastAsia="Arial" w:hAnsi="Arial"/>
                <w:sz w:val="17"/>
                <w:szCs w:val="17"/>
                <w:i w:val="1"/>
                <w:iCs w:val="1"/>
                <w:color w:val="auto"/>
              </w:rPr>
              <w:t>. Notice of Defaults</w:t>
            </w:r>
          </w:p>
        </w:tc>
        <w:tc>
          <w:tcPr>
            <w:tcW w:w="23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6.10</w:t>
            </w:r>
            <w:r>
              <w:rPr>
                <w:rFonts w:ascii="Arial" w:cs="Arial" w:eastAsia="Arial" w:hAnsi="Arial"/>
                <w:sz w:val="17"/>
                <w:szCs w:val="17"/>
                <w:i w:val="1"/>
                <w:iCs w:val="1"/>
                <w:color w:val="auto"/>
              </w:rPr>
              <w:t>. Undertaking to Pay Costs</w:t>
            </w:r>
          </w:p>
        </w:tc>
        <w:tc>
          <w:tcPr>
            <w:tcW w:w="23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0"/>
        </w:trPr>
        <w:tc>
          <w:tcPr>
            <w:tcW w:w="8560" w:type="dxa"/>
            <w:vAlign w:val="bottom"/>
          </w:tcPr>
          <w:p>
            <w:pPr>
              <w:jc w:val="center"/>
              <w:ind w:left="2515"/>
              <w:spacing w:after="0"/>
              <w:rPr>
                <w:sz w:val="20"/>
                <w:szCs w:val="20"/>
                <w:color w:val="auto"/>
              </w:rPr>
            </w:pPr>
            <w:r>
              <w:rPr>
                <w:rFonts w:ascii="Arial" w:cs="Arial" w:eastAsia="Arial" w:hAnsi="Arial"/>
                <w:sz w:val="17"/>
                <w:szCs w:val="17"/>
                <w:color w:val="auto"/>
                <w:w w:val="97"/>
              </w:rPr>
              <w:t>ARTICLE 7</w:t>
            </w:r>
          </w:p>
        </w:tc>
        <w:tc>
          <w:tcPr>
            <w:tcW w:w="2320" w:type="dxa"/>
            <w:vAlign w:val="bottom"/>
          </w:tcPr>
          <w:p>
            <w:pPr>
              <w:spacing w:after="0"/>
              <w:rPr>
                <w:sz w:val="20"/>
                <w:szCs w:val="20"/>
                <w:color w:val="auto"/>
              </w:rPr>
            </w:pPr>
          </w:p>
        </w:tc>
      </w:tr>
      <w:tr>
        <w:trPr>
          <w:trHeight w:val="215"/>
        </w:trPr>
        <w:tc>
          <w:tcPr>
            <w:tcW w:w="8560" w:type="dxa"/>
            <w:vAlign w:val="bottom"/>
          </w:tcPr>
          <w:p>
            <w:pPr>
              <w:jc w:val="center"/>
              <w:ind w:left="2535"/>
              <w:spacing w:after="0"/>
              <w:rPr>
                <w:sz w:val="20"/>
                <w:szCs w:val="20"/>
                <w:color w:val="auto"/>
              </w:rPr>
            </w:pPr>
            <w:r>
              <w:rPr>
                <w:rFonts w:ascii="Arial" w:cs="Arial" w:eastAsia="Arial" w:hAnsi="Arial"/>
                <w:sz w:val="17"/>
                <w:szCs w:val="17"/>
                <w:color w:val="auto"/>
                <w:w w:val="88"/>
              </w:rPr>
              <w:t>Concerning the Trustee</w:t>
            </w:r>
          </w:p>
        </w:tc>
        <w:tc>
          <w:tcPr>
            <w:tcW w:w="2320" w:type="dxa"/>
            <w:vAlign w:val="bottom"/>
          </w:tcPr>
          <w:p>
            <w:pPr>
              <w:spacing w:after="0"/>
              <w:rPr>
                <w:sz w:val="18"/>
                <w:szCs w:val="18"/>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7.01</w:t>
            </w:r>
            <w:r>
              <w:rPr>
                <w:rFonts w:ascii="Arial" w:cs="Arial" w:eastAsia="Arial" w:hAnsi="Arial"/>
                <w:sz w:val="17"/>
                <w:szCs w:val="17"/>
                <w:i w:val="1"/>
                <w:iCs w:val="1"/>
                <w:color w:val="auto"/>
              </w:rPr>
              <w:t>. Duties and Responsibilities of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7.02</w:t>
            </w:r>
            <w:r>
              <w:rPr>
                <w:rFonts w:ascii="Arial" w:cs="Arial" w:eastAsia="Arial" w:hAnsi="Arial"/>
                <w:sz w:val="17"/>
                <w:szCs w:val="17"/>
                <w:i w:val="1"/>
                <w:iCs w:val="1"/>
                <w:color w:val="auto"/>
              </w:rPr>
              <w:t>. Reliance on Documents, Opinions, Etc</w:t>
            </w:r>
          </w:p>
        </w:tc>
        <w:tc>
          <w:tcPr>
            <w:tcW w:w="23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7.03</w:t>
            </w:r>
            <w:r>
              <w:rPr>
                <w:rFonts w:ascii="Arial" w:cs="Arial" w:eastAsia="Arial" w:hAnsi="Arial"/>
                <w:sz w:val="17"/>
                <w:szCs w:val="17"/>
                <w:i w:val="1"/>
                <w:iCs w:val="1"/>
                <w:color w:val="auto"/>
              </w:rPr>
              <w:t>. No Responsibility for Recitals, Etc</w:t>
            </w:r>
          </w:p>
        </w:tc>
        <w:tc>
          <w:tcPr>
            <w:tcW w:w="23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7.04</w:t>
            </w:r>
            <w:r>
              <w:rPr>
                <w:rFonts w:ascii="Arial" w:cs="Arial" w:eastAsia="Arial" w:hAnsi="Arial"/>
                <w:sz w:val="17"/>
                <w:szCs w:val="17"/>
                <w:i w:val="1"/>
                <w:iCs w:val="1"/>
                <w:color w:val="auto"/>
              </w:rPr>
              <w:t>. Trustee, Paying Agents, Conversion Agents or Note Registrar May Own Notes</w:t>
            </w:r>
          </w:p>
        </w:tc>
        <w:tc>
          <w:tcPr>
            <w:tcW w:w="23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7.05</w:t>
            </w:r>
            <w:r>
              <w:rPr>
                <w:rFonts w:ascii="Arial" w:cs="Arial" w:eastAsia="Arial" w:hAnsi="Arial"/>
                <w:sz w:val="17"/>
                <w:szCs w:val="17"/>
                <w:i w:val="1"/>
                <w:iCs w:val="1"/>
                <w:color w:val="auto"/>
              </w:rPr>
              <w:t>. Monies and Shares of Common Stock to Be Held in Trust</w:t>
            </w:r>
          </w:p>
        </w:tc>
        <w:tc>
          <w:tcPr>
            <w:tcW w:w="23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7.06</w:t>
            </w:r>
            <w:r>
              <w:rPr>
                <w:rFonts w:ascii="Arial" w:cs="Arial" w:eastAsia="Arial" w:hAnsi="Arial"/>
                <w:sz w:val="17"/>
                <w:szCs w:val="17"/>
                <w:i w:val="1"/>
                <w:iCs w:val="1"/>
                <w:color w:val="auto"/>
              </w:rPr>
              <w:t>. Compensation and Expenses of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7.07</w:t>
            </w:r>
            <w:r>
              <w:rPr>
                <w:rFonts w:ascii="Arial" w:cs="Arial" w:eastAsia="Arial" w:hAnsi="Arial"/>
                <w:sz w:val="17"/>
                <w:szCs w:val="17"/>
                <w:i w:val="1"/>
                <w:iCs w:val="1"/>
                <w:color w:val="auto"/>
              </w:rPr>
              <w:t>. Officer’s Certificate as Evidence</w:t>
            </w:r>
          </w:p>
        </w:tc>
        <w:tc>
          <w:tcPr>
            <w:tcW w:w="2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7.08</w:t>
            </w:r>
            <w:r>
              <w:rPr>
                <w:rFonts w:ascii="Arial" w:cs="Arial" w:eastAsia="Arial" w:hAnsi="Arial"/>
                <w:sz w:val="17"/>
                <w:szCs w:val="17"/>
                <w:i w:val="1"/>
                <w:iCs w:val="1"/>
                <w:color w:val="auto"/>
              </w:rPr>
              <w:t>. Eligibility of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7.09</w:t>
            </w:r>
            <w:r>
              <w:rPr>
                <w:rFonts w:ascii="Arial" w:cs="Arial" w:eastAsia="Arial" w:hAnsi="Arial"/>
                <w:sz w:val="17"/>
                <w:szCs w:val="17"/>
                <w:i w:val="1"/>
                <w:iCs w:val="1"/>
                <w:color w:val="auto"/>
              </w:rPr>
              <w:t>. Resignation or Removal of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7.10</w:t>
            </w:r>
            <w:r>
              <w:rPr>
                <w:rFonts w:ascii="Arial" w:cs="Arial" w:eastAsia="Arial" w:hAnsi="Arial"/>
                <w:sz w:val="17"/>
                <w:szCs w:val="17"/>
                <w:i w:val="1"/>
                <w:iCs w:val="1"/>
                <w:color w:val="auto"/>
              </w:rPr>
              <w:t>. Acceptance by Successor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7.11</w:t>
            </w:r>
            <w:r>
              <w:rPr>
                <w:rFonts w:ascii="Arial" w:cs="Arial" w:eastAsia="Arial" w:hAnsi="Arial"/>
                <w:sz w:val="17"/>
                <w:szCs w:val="17"/>
                <w:i w:val="1"/>
                <w:iCs w:val="1"/>
                <w:color w:val="auto"/>
              </w:rPr>
              <w:t>. Succession by Merger, Etc</w:t>
            </w:r>
          </w:p>
        </w:tc>
        <w:tc>
          <w:tcPr>
            <w:tcW w:w="23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7.12</w:t>
            </w:r>
            <w:r>
              <w:rPr>
                <w:rFonts w:ascii="Arial" w:cs="Arial" w:eastAsia="Arial" w:hAnsi="Arial"/>
                <w:sz w:val="17"/>
                <w:szCs w:val="17"/>
                <w:i w:val="1"/>
                <w:iCs w:val="1"/>
                <w:color w:val="auto"/>
              </w:rPr>
              <w:t>. Trustee’s Application for Instructions from the Company</w:t>
            </w:r>
          </w:p>
        </w:tc>
        <w:tc>
          <w:tcPr>
            <w:tcW w:w="23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0"/>
        </w:trPr>
        <w:tc>
          <w:tcPr>
            <w:tcW w:w="8560" w:type="dxa"/>
            <w:vAlign w:val="bottom"/>
          </w:tcPr>
          <w:p>
            <w:pPr>
              <w:jc w:val="center"/>
              <w:ind w:left="2515"/>
              <w:spacing w:after="0"/>
              <w:rPr>
                <w:sz w:val="20"/>
                <w:szCs w:val="20"/>
                <w:color w:val="auto"/>
              </w:rPr>
            </w:pPr>
            <w:r>
              <w:rPr>
                <w:rFonts w:ascii="Arial" w:cs="Arial" w:eastAsia="Arial" w:hAnsi="Arial"/>
                <w:sz w:val="17"/>
                <w:szCs w:val="17"/>
                <w:color w:val="auto"/>
                <w:w w:val="97"/>
              </w:rPr>
              <w:t>ARTICLE 8</w:t>
            </w:r>
          </w:p>
        </w:tc>
        <w:tc>
          <w:tcPr>
            <w:tcW w:w="2320" w:type="dxa"/>
            <w:vAlign w:val="bottom"/>
          </w:tcPr>
          <w:p>
            <w:pPr>
              <w:spacing w:after="0"/>
              <w:rPr>
                <w:sz w:val="20"/>
                <w:szCs w:val="20"/>
                <w:color w:val="auto"/>
              </w:rPr>
            </w:pPr>
          </w:p>
        </w:tc>
      </w:tr>
      <w:tr>
        <w:trPr>
          <w:trHeight w:val="215"/>
        </w:trPr>
        <w:tc>
          <w:tcPr>
            <w:tcW w:w="8560" w:type="dxa"/>
            <w:vAlign w:val="bottom"/>
          </w:tcPr>
          <w:p>
            <w:pPr>
              <w:jc w:val="center"/>
              <w:ind w:left="2535"/>
              <w:spacing w:after="0"/>
              <w:rPr>
                <w:sz w:val="20"/>
                <w:szCs w:val="20"/>
                <w:color w:val="auto"/>
              </w:rPr>
            </w:pPr>
            <w:r>
              <w:rPr>
                <w:rFonts w:ascii="Arial" w:cs="Arial" w:eastAsia="Arial" w:hAnsi="Arial"/>
                <w:sz w:val="17"/>
                <w:szCs w:val="17"/>
                <w:color w:val="auto"/>
                <w:w w:val="90"/>
              </w:rPr>
              <w:t>Concerning the Holders</w:t>
            </w:r>
          </w:p>
        </w:tc>
        <w:tc>
          <w:tcPr>
            <w:tcW w:w="2320" w:type="dxa"/>
            <w:vAlign w:val="bottom"/>
          </w:tcPr>
          <w:p>
            <w:pPr>
              <w:spacing w:after="0"/>
              <w:rPr>
                <w:sz w:val="18"/>
                <w:szCs w:val="18"/>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8.01</w:t>
            </w:r>
            <w:r>
              <w:rPr>
                <w:rFonts w:ascii="Arial" w:cs="Arial" w:eastAsia="Arial" w:hAnsi="Arial"/>
                <w:sz w:val="17"/>
                <w:szCs w:val="17"/>
                <w:i w:val="1"/>
                <w:iCs w:val="1"/>
                <w:color w:val="auto"/>
              </w:rPr>
              <w:t>. Action by Holders</w:t>
            </w:r>
          </w:p>
        </w:tc>
        <w:tc>
          <w:tcPr>
            <w:tcW w:w="23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8.02</w:t>
            </w:r>
            <w:r>
              <w:rPr>
                <w:rFonts w:ascii="Arial" w:cs="Arial" w:eastAsia="Arial" w:hAnsi="Arial"/>
                <w:sz w:val="17"/>
                <w:szCs w:val="17"/>
                <w:i w:val="1"/>
                <w:iCs w:val="1"/>
                <w:color w:val="auto"/>
              </w:rPr>
              <w:t>. Proof of Execution by Holders</w:t>
            </w:r>
          </w:p>
        </w:tc>
        <w:tc>
          <w:tcPr>
            <w:tcW w:w="23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8.03</w:t>
            </w:r>
            <w:r>
              <w:rPr>
                <w:rFonts w:ascii="Arial" w:cs="Arial" w:eastAsia="Arial" w:hAnsi="Arial"/>
                <w:sz w:val="17"/>
                <w:szCs w:val="17"/>
                <w:i w:val="1"/>
                <w:iCs w:val="1"/>
                <w:color w:val="auto"/>
              </w:rPr>
              <w:t>. Who Are Deemed Absolute Owners</w:t>
            </w:r>
          </w:p>
        </w:tc>
        <w:tc>
          <w:tcPr>
            <w:tcW w:w="23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8.04</w:t>
            </w:r>
            <w:r>
              <w:rPr>
                <w:rFonts w:ascii="Arial" w:cs="Arial" w:eastAsia="Arial" w:hAnsi="Arial"/>
                <w:sz w:val="17"/>
                <w:szCs w:val="17"/>
                <w:i w:val="1"/>
                <w:iCs w:val="1"/>
                <w:color w:val="auto"/>
              </w:rPr>
              <w:t>. Company-Owned Notes Disregarded</w:t>
            </w:r>
          </w:p>
        </w:tc>
        <w:tc>
          <w:tcPr>
            <w:tcW w:w="23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8.05</w:t>
            </w:r>
            <w:r>
              <w:rPr>
                <w:rFonts w:ascii="Arial" w:cs="Arial" w:eastAsia="Arial" w:hAnsi="Arial"/>
                <w:sz w:val="17"/>
                <w:szCs w:val="17"/>
                <w:i w:val="1"/>
                <w:iCs w:val="1"/>
                <w:color w:val="auto"/>
              </w:rPr>
              <w:t>. Revocation of Consents; Future Holders Bound</w:t>
            </w:r>
          </w:p>
        </w:tc>
        <w:tc>
          <w:tcPr>
            <w:tcW w:w="23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0"/>
        </w:trPr>
        <w:tc>
          <w:tcPr>
            <w:tcW w:w="8560" w:type="dxa"/>
            <w:vAlign w:val="bottom"/>
          </w:tcPr>
          <w:p>
            <w:pPr>
              <w:jc w:val="center"/>
              <w:ind w:left="2515"/>
              <w:spacing w:after="0"/>
              <w:rPr>
                <w:sz w:val="20"/>
                <w:szCs w:val="20"/>
                <w:color w:val="auto"/>
              </w:rPr>
            </w:pPr>
            <w:r>
              <w:rPr>
                <w:rFonts w:ascii="Arial" w:cs="Arial" w:eastAsia="Arial" w:hAnsi="Arial"/>
                <w:sz w:val="17"/>
                <w:szCs w:val="17"/>
                <w:color w:val="auto"/>
                <w:w w:val="97"/>
              </w:rPr>
              <w:t>ARTICLE 9</w:t>
            </w:r>
          </w:p>
        </w:tc>
        <w:tc>
          <w:tcPr>
            <w:tcW w:w="2320" w:type="dxa"/>
            <w:vAlign w:val="bottom"/>
          </w:tcPr>
          <w:p>
            <w:pPr>
              <w:spacing w:after="0"/>
              <w:rPr>
                <w:sz w:val="20"/>
                <w:szCs w:val="20"/>
                <w:color w:val="auto"/>
              </w:rPr>
            </w:pPr>
          </w:p>
        </w:tc>
      </w:tr>
      <w:tr>
        <w:trPr>
          <w:trHeight w:val="215"/>
        </w:trPr>
        <w:tc>
          <w:tcPr>
            <w:tcW w:w="8560" w:type="dxa"/>
            <w:vAlign w:val="bottom"/>
          </w:tcPr>
          <w:p>
            <w:pPr>
              <w:jc w:val="center"/>
              <w:ind w:left="2515"/>
              <w:spacing w:after="0"/>
              <w:rPr>
                <w:sz w:val="20"/>
                <w:szCs w:val="20"/>
                <w:color w:val="auto"/>
              </w:rPr>
            </w:pPr>
            <w:r>
              <w:rPr>
                <w:rFonts w:ascii="Arial" w:cs="Arial" w:eastAsia="Arial" w:hAnsi="Arial"/>
                <w:sz w:val="17"/>
                <w:szCs w:val="17"/>
                <w:color w:val="auto"/>
                <w:w w:val="94"/>
              </w:rPr>
              <w:t>Holders’ Meetings</w:t>
            </w:r>
          </w:p>
        </w:tc>
        <w:tc>
          <w:tcPr>
            <w:tcW w:w="2320" w:type="dxa"/>
            <w:vAlign w:val="bottom"/>
          </w:tcPr>
          <w:p>
            <w:pPr>
              <w:spacing w:after="0"/>
              <w:rPr>
                <w:sz w:val="18"/>
                <w:szCs w:val="18"/>
                <w:color w:val="auto"/>
              </w:rPr>
            </w:pP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Purpose of Meetings</w:t>
            </w:r>
          </w:p>
        </w:tc>
        <w:tc>
          <w:tcPr>
            <w:tcW w:w="2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9.02</w:t>
            </w:r>
            <w:r>
              <w:rPr>
                <w:rFonts w:ascii="Arial" w:cs="Arial" w:eastAsia="Arial" w:hAnsi="Arial"/>
                <w:sz w:val="17"/>
                <w:szCs w:val="17"/>
                <w:i w:val="1"/>
                <w:iCs w:val="1"/>
                <w:color w:val="auto"/>
              </w:rPr>
              <w:t>. Call of Meetings by Trustee</w:t>
            </w:r>
          </w:p>
        </w:tc>
        <w:tc>
          <w:tcPr>
            <w:tcW w:w="23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4"/>
        </w:trPr>
        <w:tc>
          <w:tcPr>
            <w:tcW w:w="8560" w:type="dxa"/>
            <w:vAlign w:val="bottom"/>
          </w:tcPr>
          <w:p>
            <w:pPr>
              <w:spacing w:after="0"/>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Call of Meetings by Company or Holders</w:t>
            </w:r>
          </w:p>
        </w:tc>
        <w:tc>
          <w:tcPr>
            <w:tcW w:w="232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80"/>
          </w:cols>
          <w:pgMar w:left="360" w:top="1440" w:right="659" w:bottom="1440" w:gutter="0" w:footer="0" w:header="0"/>
        </w:sectPr>
      </w:pPr>
    </w:p>
    <w:bookmarkStart w:id="21" w:name="page22"/>
    <w:bookmarkEnd w:id="21"/>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Arial" w:cs="Arial" w:eastAsia="Arial" w:hAnsi="Arial"/>
                <w:sz w:val="17"/>
                <w:szCs w:val="17"/>
                <w:color w:val="auto"/>
              </w:rPr>
              <w:t>Section 9.04</w:t>
            </w:r>
            <w:r>
              <w:rPr>
                <w:rFonts w:ascii="Arial" w:cs="Arial" w:eastAsia="Arial" w:hAnsi="Arial"/>
                <w:sz w:val="17"/>
                <w:szCs w:val="17"/>
                <w:i w:val="1"/>
                <w:iCs w:val="1"/>
                <w:color w:val="auto"/>
              </w:rPr>
              <w:t>. Qualifications for Voting</w:t>
            </w:r>
          </w:p>
        </w:tc>
        <w:tc>
          <w:tcPr>
            <w:tcW w:w="16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9.05</w:t>
            </w:r>
            <w:r>
              <w:rPr>
                <w:rFonts w:ascii="Arial" w:cs="Arial" w:eastAsia="Arial" w:hAnsi="Arial"/>
                <w:sz w:val="17"/>
                <w:szCs w:val="17"/>
                <w:i w:val="1"/>
                <w:iCs w:val="1"/>
                <w:color w:val="auto"/>
              </w:rPr>
              <w:t>. Regulations</w:t>
            </w:r>
          </w:p>
        </w:tc>
        <w:tc>
          <w:tcPr>
            <w:tcW w:w="16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9.06</w:t>
            </w:r>
            <w:r>
              <w:rPr>
                <w:rFonts w:ascii="Arial" w:cs="Arial" w:eastAsia="Arial" w:hAnsi="Arial"/>
                <w:sz w:val="17"/>
                <w:szCs w:val="17"/>
                <w:i w:val="1"/>
                <w:iCs w:val="1"/>
                <w:color w:val="auto"/>
              </w:rPr>
              <w:t>. Voting</w:t>
            </w:r>
          </w:p>
        </w:tc>
        <w:tc>
          <w:tcPr>
            <w:tcW w:w="16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9.07</w:t>
            </w:r>
            <w:r>
              <w:rPr>
                <w:rFonts w:ascii="Arial" w:cs="Arial" w:eastAsia="Arial" w:hAnsi="Arial"/>
                <w:sz w:val="17"/>
                <w:szCs w:val="17"/>
                <w:i w:val="1"/>
                <w:iCs w:val="1"/>
                <w:color w:val="auto"/>
              </w:rPr>
              <w:t>. No Delay of Rights by Meeting</w:t>
            </w:r>
          </w:p>
        </w:tc>
        <w:tc>
          <w:tcPr>
            <w:tcW w:w="16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10</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55"/>
              <w:spacing w:after="0"/>
              <w:rPr>
                <w:sz w:val="20"/>
                <w:szCs w:val="20"/>
                <w:color w:val="auto"/>
              </w:rPr>
            </w:pPr>
            <w:r>
              <w:rPr>
                <w:rFonts w:ascii="Arial" w:cs="Arial" w:eastAsia="Arial" w:hAnsi="Arial"/>
                <w:sz w:val="17"/>
                <w:szCs w:val="17"/>
                <w:color w:val="auto"/>
                <w:w w:val="89"/>
              </w:rPr>
              <w:t>Supplemental Indentures</w:t>
            </w:r>
          </w:p>
        </w:tc>
        <w:tc>
          <w:tcPr>
            <w:tcW w:w="1640" w:type="dxa"/>
            <w:vAlign w:val="bottom"/>
          </w:tcPr>
          <w:p>
            <w:pPr>
              <w:spacing w:after="0"/>
              <w:rPr>
                <w:sz w:val="18"/>
                <w:szCs w:val="18"/>
                <w:color w:val="auto"/>
              </w:rPr>
            </w:pP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10.01</w:t>
            </w:r>
            <w:r>
              <w:rPr>
                <w:rFonts w:ascii="Arial" w:cs="Arial" w:eastAsia="Arial" w:hAnsi="Arial"/>
                <w:sz w:val="17"/>
                <w:szCs w:val="17"/>
                <w:i w:val="1"/>
                <w:iCs w:val="1"/>
                <w:color w:val="auto"/>
              </w:rPr>
              <w:t>. Supplemental Indentures Without Consent of 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10.02</w:t>
            </w:r>
            <w:r>
              <w:rPr>
                <w:rFonts w:ascii="Arial" w:cs="Arial" w:eastAsia="Arial" w:hAnsi="Arial"/>
                <w:sz w:val="17"/>
                <w:szCs w:val="17"/>
                <w:i w:val="1"/>
                <w:iCs w:val="1"/>
                <w:color w:val="auto"/>
              </w:rPr>
              <w:t>. Supplemental Indentures with Consent of Holders</w:t>
            </w:r>
          </w:p>
        </w:tc>
        <w:tc>
          <w:tcPr>
            <w:tcW w:w="16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10.03</w:t>
            </w:r>
            <w:r>
              <w:rPr>
                <w:rFonts w:ascii="Arial" w:cs="Arial" w:eastAsia="Arial" w:hAnsi="Arial"/>
                <w:sz w:val="17"/>
                <w:szCs w:val="17"/>
                <w:i w:val="1"/>
                <w:iCs w:val="1"/>
                <w:color w:val="auto"/>
              </w:rPr>
              <w:t>. Effect of Supplemental Indentures</w:t>
            </w:r>
          </w:p>
        </w:tc>
        <w:tc>
          <w:tcPr>
            <w:tcW w:w="16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10.04</w:t>
            </w:r>
            <w:r>
              <w:rPr>
                <w:rFonts w:ascii="Arial" w:cs="Arial" w:eastAsia="Arial" w:hAnsi="Arial"/>
                <w:sz w:val="17"/>
                <w:szCs w:val="17"/>
                <w:i w:val="1"/>
                <w:iCs w:val="1"/>
                <w:color w:val="auto"/>
              </w:rPr>
              <w:t>. Notation on Notes</w:t>
            </w:r>
          </w:p>
        </w:tc>
        <w:tc>
          <w:tcPr>
            <w:tcW w:w="16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10.05</w:t>
            </w:r>
            <w:r>
              <w:rPr>
                <w:rFonts w:ascii="Arial" w:cs="Arial" w:eastAsia="Arial" w:hAnsi="Arial"/>
                <w:sz w:val="17"/>
                <w:szCs w:val="17"/>
                <w:i w:val="1"/>
                <w:iCs w:val="1"/>
                <w:color w:val="auto"/>
              </w:rPr>
              <w:t>. Evidence of Compliance of Supplemental Indenture to Be Furnished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11</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89"/>
              </w:rPr>
              <w:t>Consolidation, Merger, Sale, Conveyance and Lease</w:t>
            </w:r>
          </w:p>
        </w:tc>
        <w:tc>
          <w:tcPr>
            <w:tcW w:w="1640" w:type="dxa"/>
            <w:vAlign w:val="bottom"/>
          </w:tcPr>
          <w:p>
            <w:pPr>
              <w:spacing w:after="0"/>
              <w:rPr>
                <w:sz w:val="18"/>
                <w:szCs w:val="18"/>
                <w:color w:val="auto"/>
              </w:rPr>
            </w:pP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11.01</w:t>
            </w:r>
            <w:r>
              <w:rPr>
                <w:rFonts w:ascii="Arial" w:cs="Arial" w:eastAsia="Arial" w:hAnsi="Arial"/>
                <w:sz w:val="17"/>
                <w:szCs w:val="17"/>
                <w:i w:val="1"/>
                <w:iCs w:val="1"/>
                <w:color w:val="auto"/>
              </w:rPr>
              <w:t>. Company May Consolidate, Etc. on Certain Terms</w:t>
            </w:r>
          </w:p>
        </w:tc>
        <w:tc>
          <w:tcPr>
            <w:tcW w:w="16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11.02</w:t>
            </w:r>
            <w:r>
              <w:rPr>
                <w:rFonts w:ascii="Arial" w:cs="Arial" w:eastAsia="Arial" w:hAnsi="Arial"/>
                <w:sz w:val="17"/>
                <w:szCs w:val="17"/>
                <w:i w:val="1"/>
                <w:iCs w:val="1"/>
                <w:color w:val="auto"/>
              </w:rPr>
              <w:t>. Successor Corporation to Be Substituted</w:t>
            </w:r>
          </w:p>
        </w:tc>
        <w:tc>
          <w:tcPr>
            <w:tcW w:w="16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11.03</w:t>
            </w:r>
            <w:r>
              <w:rPr>
                <w:rFonts w:ascii="Arial" w:cs="Arial" w:eastAsia="Arial" w:hAnsi="Arial"/>
                <w:sz w:val="17"/>
                <w:szCs w:val="17"/>
                <w:i w:val="1"/>
                <w:iCs w:val="1"/>
                <w:color w:val="auto"/>
              </w:rPr>
              <w:t>. Delivery of Officer's Certificate and Opinion of Counsel to the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12</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55"/>
              <w:spacing w:after="0"/>
              <w:rPr>
                <w:sz w:val="20"/>
                <w:szCs w:val="20"/>
                <w:color w:val="auto"/>
              </w:rPr>
            </w:pPr>
            <w:r>
              <w:rPr>
                <w:rFonts w:ascii="Arial" w:cs="Arial" w:eastAsia="Arial" w:hAnsi="Arial"/>
                <w:sz w:val="17"/>
                <w:szCs w:val="17"/>
                <w:color w:val="auto"/>
                <w:w w:val="92"/>
              </w:rPr>
              <w:t>Immunity of Incorporators, Stockholders, Officers and Directors</w:t>
            </w:r>
          </w:p>
        </w:tc>
        <w:tc>
          <w:tcPr>
            <w:tcW w:w="1640" w:type="dxa"/>
            <w:vAlign w:val="bottom"/>
          </w:tcPr>
          <w:p>
            <w:pPr>
              <w:spacing w:after="0"/>
              <w:rPr>
                <w:sz w:val="18"/>
                <w:szCs w:val="18"/>
                <w:color w:val="auto"/>
              </w:rPr>
            </w:pP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12.01</w:t>
            </w:r>
            <w:r>
              <w:rPr>
                <w:rFonts w:ascii="Arial" w:cs="Arial" w:eastAsia="Arial" w:hAnsi="Arial"/>
                <w:sz w:val="17"/>
                <w:szCs w:val="17"/>
                <w:i w:val="1"/>
                <w:iCs w:val="1"/>
                <w:color w:val="auto"/>
              </w:rPr>
              <w:t>. Indenture and Notes Solely Corporate Obligations</w:t>
            </w:r>
          </w:p>
        </w:tc>
        <w:tc>
          <w:tcPr>
            <w:tcW w:w="16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13</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55"/>
              <w:spacing w:after="0"/>
              <w:rPr>
                <w:sz w:val="20"/>
                <w:szCs w:val="20"/>
                <w:color w:val="auto"/>
              </w:rPr>
            </w:pPr>
            <w:r>
              <w:rPr>
                <w:rFonts w:ascii="Arial" w:cs="Arial" w:eastAsia="Arial" w:hAnsi="Arial"/>
                <w:sz w:val="17"/>
                <w:szCs w:val="17"/>
                <w:color w:val="auto"/>
                <w:w w:val="96"/>
              </w:rPr>
              <w:t>[Intentionally Omitted]</w:t>
            </w:r>
          </w:p>
        </w:tc>
        <w:tc>
          <w:tcPr>
            <w:tcW w:w="1640" w:type="dxa"/>
            <w:vAlign w:val="bottom"/>
          </w:tcPr>
          <w:p>
            <w:pPr>
              <w:spacing w:after="0"/>
              <w:rPr>
                <w:sz w:val="18"/>
                <w:szCs w:val="18"/>
                <w:color w:val="auto"/>
              </w:rPr>
            </w:pP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14</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0"/>
              </w:rPr>
              <w:t>Conversion of Notes</w:t>
            </w:r>
          </w:p>
        </w:tc>
        <w:tc>
          <w:tcPr>
            <w:tcW w:w="1640" w:type="dxa"/>
            <w:vAlign w:val="bottom"/>
          </w:tcPr>
          <w:p>
            <w:pPr>
              <w:spacing w:after="0"/>
              <w:rPr>
                <w:sz w:val="18"/>
                <w:szCs w:val="18"/>
                <w:color w:val="auto"/>
              </w:rPr>
            </w:pP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14.01</w:t>
            </w:r>
            <w:r>
              <w:rPr>
                <w:rFonts w:ascii="Arial" w:cs="Arial" w:eastAsia="Arial" w:hAnsi="Arial"/>
                <w:sz w:val="17"/>
                <w:szCs w:val="17"/>
                <w:i w:val="1"/>
                <w:iCs w:val="1"/>
                <w:color w:val="auto"/>
              </w:rPr>
              <w:t>. Conversion Privilege</w:t>
            </w:r>
          </w:p>
        </w:tc>
        <w:tc>
          <w:tcPr>
            <w:tcW w:w="16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14.02</w:t>
            </w:r>
            <w:r>
              <w:rPr>
                <w:rFonts w:ascii="Arial" w:cs="Arial" w:eastAsia="Arial" w:hAnsi="Arial"/>
                <w:sz w:val="17"/>
                <w:szCs w:val="17"/>
                <w:i w:val="1"/>
                <w:iCs w:val="1"/>
                <w:color w:val="auto"/>
              </w:rPr>
              <w:t>. Conversion Procedure; Settlement Upon Conversion.</w:t>
            </w:r>
          </w:p>
        </w:tc>
        <w:tc>
          <w:tcPr>
            <w:tcW w:w="16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14.03</w:t>
            </w:r>
            <w:r>
              <w:rPr>
                <w:rFonts w:ascii="Arial" w:cs="Arial" w:eastAsia="Arial" w:hAnsi="Arial"/>
                <w:sz w:val="17"/>
                <w:szCs w:val="17"/>
                <w:i w:val="1"/>
                <w:iCs w:val="1"/>
                <w:color w:val="auto"/>
              </w:rPr>
              <w:t>. Adjustment of Conversion Rate</w:t>
            </w:r>
          </w:p>
        </w:tc>
        <w:tc>
          <w:tcPr>
            <w:tcW w:w="16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14.04</w:t>
            </w:r>
            <w:r>
              <w:rPr>
                <w:rFonts w:ascii="Arial" w:cs="Arial" w:eastAsia="Arial" w:hAnsi="Arial"/>
                <w:sz w:val="17"/>
                <w:szCs w:val="17"/>
                <w:i w:val="1"/>
                <w:iCs w:val="1"/>
                <w:color w:val="auto"/>
              </w:rPr>
              <w:t>. Adjustments of Prices</w:t>
            </w:r>
          </w:p>
        </w:tc>
        <w:tc>
          <w:tcPr>
            <w:tcW w:w="16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14.05</w:t>
            </w:r>
            <w:r>
              <w:rPr>
                <w:rFonts w:ascii="Arial" w:cs="Arial" w:eastAsia="Arial" w:hAnsi="Arial"/>
                <w:sz w:val="17"/>
                <w:szCs w:val="17"/>
                <w:i w:val="1"/>
                <w:iCs w:val="1"/>
                <w:color w:val="auto"/>
              </w:rPr>
              <w:t>. Shares to Be Fully Paid</w:t>
            </w:r>
          </w:p>
        </w:tc>
        <w:tc>
          <w:tcPr>
            <w:tcW w:w="16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14.06</w:t>
            </w:r>
            <w:r>
              <w:rPr>
                <w:rFonts w:ascii="Arial" w:cs="Arial" w:eastAsia="Arial" w:hAnsi="Arial"/>
                <w:sz w:val="17"/>
                <w:szCs w:val="17"/>
                <w:i w:val="1"/>
                <w:iCs w:val="1"/>
                <w:color w:val="auto"/>
              </w:rPr>
              <w:t>. Effect of Recapitalizations, Reclassifications and Changes of the Common Stock.</w:t>
            </w:r>
          </w:p>
        </w:tc>
        <w:tc>
          <w:tcPr>
            <w:tcW w:w="16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14.07</w:t>
            </w:r>
            <w:r>
              <w:rPr>
                <w:rFonts w:ascii="Arial" w:cs="Arial" w:eastAsia="Arial" w:hAnsi="Arial"/>
                <w:sz w:val="17"/>
                <w:szCs w:val="17"/>
                <w:i w:val="1"/>
                <w:iCs w:val="1"/>
                <w:color w:val="auto"/>
              </w:rPr>
              <w:t>. Certain Covenants</w:t>
            </w:r>
          </w:p>
        </w:tc>
        <w:tc>
          <w:tcPr>
            <w:tcW w:w="16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14.08</w:t>
            </w:r>
            <w:r>
              <w:rPr>
                <w:rFonts w:ascii="Arial" w:cs="Arial" w:eastAsia="Arial" w:hAnsi="Arial"/>
                <w:sz w:val="17"/>
                <w:szCs w:val="17"/>
                <w:i w:val="1"/>
                <w:iCs w:val="1"/>
                <w:color w:val="auto"/>
              </w:rPr>
              <w:t>. Responsibility of Trustee</w:t>
            </w:r>
          </w:p>
        </w:tc>
        <w:tc>
          <w:tcPr>
            <w:tcW w:w="16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14.09</w:t>
            </w:r>
            <w:r>
              <w:rPr>
                <w:rFonts w:ascii="Arial" w:cs="Arial" w:eastAsia="Arial" w:hAnsi="Arial"/>
                <w:sz w:val="17"/>
                <w:szCs w:val="17"/>
                <w:i w:val="1"/>
                <w:iCs w:val="1"/>
                <w:color w:val="auto"/>
              </w:rPr>
              <w:t>. Stockholder Rights Plans</w:t>
            </w:r>
          </w:p>
        </w:tc>
        <w:tc>
          <w:tcPr>
            <w:tcW w:w="16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14.10</w:t>
            </w:r>
            <w:r>
              <w:rPr>
                <w:rFonts w:ascii="Arial" w:cs="Arial" w:eastAsia="Arial" w:hAnsi="Arial"/>
                <w:sz w:val="17"/>
                <w:szCs w:val="17"/>
                <w:i w:val="1"/>
                <w:iCs w:val="1"/>
                <w:color w:val="auto"/>
              </w:rPr>
              <w:t>. Limit on Issuance of Shares of Common Stock Upon Conversion</w:t>
            </w:r>
          </w:p>
        </w:tc>
        <w:tc>
          <w:tcPr>
            <w:tcW w:w="16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14.11</w:t>
            </w:r>
            <w:r>
              <w:rPr>
                <w:rFonts w:ascii="Arial" w:cs="Arial" w:eastAsia="Arial" w:hAnsi="Arial"/>
                <w:sz w:val="17"/>
                <w:szCs w:val="17"/>
                <w:i w:val="1"/>
                <w:iCs w:val="1"/>
                <w:color w:val="auto"/>
              </w:rPr>
              <w:t>. Exchange in Lieu of Conversion.</w:t>
            </w:r>
          </w:p>
        </w:tc>
        <w:tc>
          <w:tcPr>
            <w:tcW w:w="16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0"/>
        </w:trPr>
        <w:tc>
          <w:tcPr>
            <w:tcW w:w="9240" w:type="dxa"/>
            <w:vAlign w:val="bottom"/>
          </w:tcPr>
          <w:p>
            <w:pPr>
              <w:jc w:val="center"/>
              <w:ind w:left="1835"/>
              <w:spacing w:after="0"/>
              <w:rPr>
                <w:sz w:val="20"/>
                <w:szCs w:val="20"/>
                <w:color w:val="auto"/>
              </w:rPr>
            </w:pPr>
            <w:r>
              <w:rPr>
                <w:rFonts w:ascii="Arial" w:cs="Arial" w:eastAsia="Arial" w:hAnsi="Arial"/>
                <w:sz w:val="17"/>
                <w:szCs w:val="17"/>
                <w:color w:val="auto"/>
                <w:w w:val="96"/>
              </w:rPr>
              <w:t>ARTICLE 15</w:t>
            </w:r>
          </w:p>
        </w:tc>
        <w:tc>
          <w:tcPr>
            <w:tcW w:w="1640" w:type="dxa"/>
            <w:vAlign w:val="bottom"/>
          </w:tcPr>
          <w:p>
            <w:pPr>
              <w:spacing w:after="0"/>
              <w:rPr>
                <w:sz w:val="20"/>
                <w:szCs w:val="20"/>
                <w:color w:val="auto"/>
              </w:rPr>
            </w:pPr>
          </w:p>
        </w:tc>
      </w:tr>
      <w:tr>
        <w:trPr>
          <w:trHeight w:val="215"/>
        </w:trPr>
        <w:tc>
          <w:tcPr>
            <w:tcW w:w="9240" w:type="dxa"/>
            <w:vAlign w:val="bottom"/>
          </w:tcPr>
          <w:p>
            <w:pPr>
              <w:jc w:val="center"/>
              <w:ind w:left="1855"/>
              <w:spacing w:after="0"/>
              <w:rPr>
                <w:sz w:val="20"/>
                <w:szCs w:val="20"/>
                <w:color w:val="auto"/>
              </w:rPr>
            </w:pPr>
            <w:r>
              <w:rPr>
                <w:rFonts w:ascii="Arial" w:cs="Arial" w:eastAsia="Arial" w:hAnsi="Arial"/>
                <w:sz w:val="17"/>
                <w:szCs w:val="17"/>
                <w:color w:val="auto"/>
                <w:w w:val="90"/>
              </w:rPr>
              <w:t>Repurchase of Notes at Option of Holders</w:t>
            </w:r>
          </w:p>
        </w:tc>
        <w:tc>
          <w:tcPr>
            <w:tcW w:w="1640" w:type="dxa"/>
            <w:vAlign w:val="bottom"/>
          </w:tcPr>
          <w:p>
            <w:pPr>
              <w:spacing w:after="0"/>
              <w:rPr>
                <w:sz w:val="18"/>
                <w:szCs w:val="18"/>
                <w:color w:val="auto"/>
              </w:rPr>
            </w:pP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15.01</w:t>
            </w:r>
            <w:r>
              <w:rPr>
                <w:rFonts w:ascii="Arial" w:cs="Arial" w:eastAsia="Arial" w:hAnsi="Arial"/>
                <w:sz w:val="17"/>
                <w:szCs w:val="17"/>
                <w:i w:val="1"/>
                <w:iCs w:val="1"/>
                <w:color w:val="auto"/>
              </w:rPr>
              <w:t>. Intentionally Omitted.</w:t>
            </w:r>
          </w:p>
        </w:tc>
        <w:tc>
          <w:tcPr>
            <w:tcW w:w="16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44"/>
        </w:trPr>
        <w:tc>
          <w:tcPr>
            <w:tcW w:w="9240" w:type="dxa"/>
            <w:vAlign w:val="bottom"/>
          </w:tcPr>
          <w:p>
            <w:pPr>
              <w:spacing w:after="0"/>
              <w:rPr>
                <w:sz w:val="20"/>
                <w:szCs w:val="20"/>
                <w:color w:val="auto"/>
              </w:rPr>
            </w:pPr>
            <w:r>
              <w:rPr>
                <w:rFonts w:ascii="Arial" w:cs="Arial" w:eastAsia="Arial" w:hAnsi="Arial"/>
                <w:sz w:val="17"/>
                <w:szCs w:val="17"/>
                <w:color w:val="auto"/>
              </w:rPr>
              <w:t>Section 15.02</w:t>
            </w:r>
            <w:r>
              <w:rPr>
                <w:rFonts w:ascii="Arial" w:cs="Arial" w:eastAsia="Arial" w:hAnsi="Arial"/>
                <w:sz w:val="17"/>
                <w:szCs w:val="17"/>
                <w:i w:val="1"/>
                <w:iCs w:val="1"/>
                <w:color w:val="auto"/>
              </w:rPr>
              <w:t>. Repurchase at Option of Holders Upon a Fundamental Change</w:t>
            </w:r>
          </w:p>
        </w:tc>
        <w:tc>
          <w:tcPr>
            <w:tcW w:w="1640" w:type="dxa"/>
            <w:vAlign w:val="bottom"/>
          </w:tcPr>
          <w:p>
            <w:pPr>
              <w:jc w:val="right"/>
              <w:spacing w:after="0"/>
              <w:rPr>
                <w:sz w:val="20"/>
                <w:szCs w:val="20"/>
                <w:color w:val="auto"/>
              </w:rPr>
            </w:pPr>
            <w:r>
              <w:rPr>
                <w:rFonts w:ascii="Arial" w:cs="Arial" w:eastAsia="Arial" w:hAnsi="Arial"/>
                <w:sz w:val="17"/>
                <w:szCs w:val="17"/>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880"/>
          </w:cols>
          <w:pgMar w:left="360" w:top="1440" w:right="659" w:bottom="1440" w:gutter="0" w:footer="0" w:header="0"/>
        </w:sectPr>
      </w:pPr>
    </w:p>
    <w:bookmarkStart w:id="22" w:name="page23"/>
    <w:bookmarkEnd w:id="22"/>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9280" w:type="dxa"/>
            <w:vAlign w:val="bottom"/>
          </w:tcPr>
          <w:p>
            <w:pPr>
              <w:spacing w:after="0"/>
              <w:rPr>
                <w:sz w:val="20"/>
                <w:szCs w:val="20"/>
                <w:color w:val="auto"/>
              </w:rPr>
            </w:pPr>
            <w:r>
              <w:rPr>
                <w:rFonts w:ascii="Arial" w:cs="Arial" w:eastAsia="Arial" w:hAnsi="Arial"/>
                <w:sz w:val="17"/>
                <w:szCs w:val="17"/>
                <w:color w:val="auto"/>
              </w:rPr>
              <w:t>Section 15.03</w:t>
            </w:r>
            <w:r>
              <w:rPr>
                <w:rFonts w:ascii="Arial" w:cs="Arial" w:eastAsia="Arial" w:hAnsi="Arial"/>
                <w:sz w:val="17"/>
                <w:szCs w:val="17"/>
                <w:i w:val="1"/>
                <w:iCs w:val="1"/>
                <w:color w:val="auto"/>
              </w:rPr>
              <w:t>. Withdrawal of Fundamental Change Repurchase Notice</w:t>
            </w:r>
          </w:p>
        </w:tc>
        <w:tc>
          <w:tcPr>
            <w:tcW w:w="16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15.04</w:t>
            </w:r>
            <w:r>
              <w:rPr>
                <w:rFonts w:ascii="Arial" w:cs="Arial" w:eastAsia="Arial" w:hAnsi="Arial"/>
                <w:sz w:val="17"/>
                <w:szCs w:val="17"/>
                <w:i w:val="1"/>
                <w:iCs w:val="1"/>
                <w:color w:val="auto"/>
              </w:rPr>
              <w:t>. Deposit of Fundamental Change Repurchase Price</w:t>
            </w:r>
          </w:p>
        </w:tc>
        <w:tc>
          <w:tcPr>
            <w:tcW w:w="16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i w:val="1"/>
                <w:iCs w:val="1"/>
                <w:color w:val="auto"/>
              </w:rPr>
              <w:t>Compliance with Applicable Laws Upon Repurchase of Notes</w:t>
            </w:r>
          </w:p>
        </w:tc>
        <w:tc>
          <w:tcPr>
            <w:tcW w:w="16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30"/>
        </w:trPr>
        <w:tc>
          <w:tcPr>
            <w:tcW w:w="9280" w:type="dxa"/>
            <w:vAlign w:val="bottom"/>
          </w:tcPr>
          <w:p>
            <w:pPr>
              <w:jc w:val="center"/>
              <w:ind w:left="1795"/>
              <w:spacing w:after="0"/>
              <w:rPr>
                <w:sz w:val="20"/>
                <w:szCs w:val="20"/>
                <w:color w:val="auto"/>
              </w:rPr>
            </w:pPr>
            <w:r>
              <w:rPr>
                <w:rFonts w:ascii="Arial" w:cs="Arial" w:eastAsia="Arial" w:hAnsi="Arial"/>
                <w:sz w:val="17"/>
                <w:szCs w:val="17"/>
                <w:color w:val="auto"/>
                <w:w w:val="96"/>
              </w:rPr>
              <w:t>ARTICLE 16</w:t>
            </w:r>
          </w:p>
        </w:tc>
        <w:tc>
          <w:tcPr>
            <w:tcW w:w="1600" w:type="dxa"/>
            <w:vAlign w:val="bottom"/>
          </w:tcPr>
          <w:p>
            <w:pPr>
              <w:spacing w:after="0"/>
              <w:rPr>
                <w:sz w:val="20"/>
                <w:szCs w:val="20"/>
                <w:color w:val="auto"/>
              </w:rPr>
            </w:pPr>
          </w:p>
        </w:tc>
      </w:tr>
      <w:tr>
        <w:trPr>
          <w:trHeight w:val="215"/>
        </w:trPr>
        <w:tc>
          <w:tcPr>
            <w:tcW w:w="9280" w:type="dxa"/>
            <w:vAlign w:val="bottom"/>
          </w:tcPr>
          <w:p>
            <w:pPr>
              <w:jc w:val="center"/>
              <w:ind w:left="1815"/>
              <w:spacing w:after="0"/>
              <w:rPr>
                <w:sz w:val="20"/>
                <w:szCs w:val="20"/>
                <w:color w:val="auto"/>
              </w:rPr>
            </w:pPr>
            <w:r>
              <w:rPr>
                <w:rFonts w:ascii="Arial" w:cs="Arial" w:eastAsia="Arial" w:hAnsi="Arial"/>
                <w:sz w:val="17"/>
                <w:szCs w:val="17"/>
                <w:color w:val="auto"/>
                <w:w w:val="91"/>
              </w:rPr>
              <w:t>Optional Redemption</w:t>
            </w:r>
          </w:p>
        </w:tc>
        <w:tc>
          <w:tcPr>
            <w:tcW w:w="1600" w:type="dxa"/>
            <w:vAlign w:val="bottom"/>
          </w:tcPr>
          <w:p>
            <w:pPr>
              <w:spacing w:after="0"/>
              <w:rPr>
                <w:sz w:val="18"/>
                <w:szCs w:val="18"/>
                <w:color w:val="auto"/>
              </w:rPr>
            </w:pP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i w:val="1"/>
                <w:iCs w:val="1"/>
                <w:color w:val="auto"/>
              </w:rPr>
              <w:t>Optional Redemption</w:t>
            </w:r>
          </w:p>
        </w:tc>
        <w:tc>
          <w:tcPr>
            <w:tcW w:w="16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i w:val="1"/>
                <w:iCs w:val="1"/>
                <w:color w:val="auto"/>
              </w:rPr>
              <w:t>Notice of Optional Redemption; Selection of Notes</w:t>
            </w:r>
          </w:p>
        </w:tc>
        <w:tc>
          <w:tcPr>
            <w:tcW w:w="16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16.03. </w:t>
            </w:r>
            <w:r>
              <w:rPr>
                <w:rFonts w:ascii="Arial" w:cs="Arial" w:eastAsia="Arial" w:hAnsi="Arial"/>
                <w:sz w:val="17"/>
                <w:szCs w:val="17"/>
                <w:i w:val="1"/>
                <w:iCs w:val="1"/>
                <w:color w:val="auto"/>
              </w:rPr>
              <w:t>Payment of Notes Called for Redemption</w:t>
            </w:r>
          </w:p>
        </w:tc>
        <w:tc>
          <w:tcPr>
            <w:tcW w:w="160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i w:val="1"/>
                <w:iCs w:val="1"/>
                <w:color w:val="auto"/>
              </w:rPr>
              <w:t>Restrictions on Redemption</w:t>
            </w:r>
          </w:p>
        </w:tc>
        <w:tc>
          <w:tcPr>
            <w:tcW w:w="16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30"/>
        </w:trPr>
        <w:tc>
          <w:tcPr>
            <w:tcW w:w="9280" w:type="dxa"/>
            <w:vAlign w:val="bottom"/>
          </w:tcPr>
          <w:p>
            <w:pPr>
              <w:jc w:val="center"/>
              <w:ind w:left="1795"/>
              <w:spacing w:after="0"/>
              <w:rPr>
                <w:sz w:val="20"/>
                <w:szCs w:val="20"/>
                <w:color w:val="auto"/>
              </w:rPr>
            </w:pPr>
            <w:r>
              <w:rPr>
                <w:rFonts w:ascii="Arial" w:cs="Arial" w:eastAsia="Arial" w:hAnsi="Arial"/>
                <w:sz w:val="17"/>
                <w:szCs w:val="17"/>
                <w:color w:val="auto"/>
                <w:w w:val="96"/>
              </w:rPr>
              <w:t>ARTICLE 17</w:t>
            </w:r>
          </w:p>
        </w:tc>
        <w:tc>
          <w:tcPr>
            <w:tcW w:w="1600" w:type="dxa"/>
            <w:vAlign w:val="bottom"/>
          </w:tcPr>
          <w:p>
            <w:pPr>
              <w:spacing w:after="0"/>
              <w:rPr>
                <w:sz w:val="20"/>
                <w:szCs w:val="20"/>
                <w:color w:val="auto"/>
              </w:rPr>
            </w:pPr>
          </w:p>
        </w:tc>
      </w:tr>
      <w:tr>
        <w:trPr>
          <w:trHeight w:val="215"/>
        </w:trPr>
        <w:tc>
          <w:tcPr>
            <w:tcW w:w="9280" w:type="dxa"/>
            <w:vAlign w:val="bottom"/>
          </w:tcPr>
          <w:p>
            <w:pPr>
              <w:jc w:val="center"/>
              <w:ind w:left="1815"/>
              <w:spacing w:after="0"/>
              <w:rPr>
                <w:sz w:val="20"/>
                <w:szCs w:val="20"/>
                <w:color w:val="auto"/>
              </w:rPr>
            </w:pPr>
            <w:r>
              <w:rPr>
                <w:rFonts w:ascii="Arial" w:cs="Arial" w:eastAsia="Arial" w:hAnsi="Arial"/>
                <w:sz w:val="17"/>
                <w:szCs w:val="17"/>
                <w:color w:val="auto"/>
                <w:w w:val="91"/>
              </w:rPr>
              <w:t>Miscellaneous Provisions</w:t>
            </w:r>
          </w:p>
        </w:tc>
        <w:tc>
          <w:tcPr>
            <w:tcW w:w="1600" w:type="dxa"/>
            <w:vAlign w:val="bottom"/>
          </w:tcPr>
          <w:p>
            <w:pPr>
              <w:spacing w:after="0"/>
              <w:rPr>
                <w:sz w:val="18"/>
                <w:szCs w:val="18"/>
                <w:color w:val="auto"/>
              </w:rPr>
            </w:pP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17.01</w:t>
            </w:r>
            <w:r>
              <w:rPr>
                <w:rFonts w:ascii="Arial" w:cs="Arial" w:eastAsia="Arial" w:hAnsi="Arial"/>
                <w:sz w:val="17"/>
                <w:szCs w:val="17"/>
                <w:i w:val="1"/>
                <w:iCs w:val="1"/>
                <w:color w:val="auto"/>
              </w:rPr>
              <w:t>. Provisions Binding on Company’s Successors</w:t>
            </w:r>
          </w:p>
        </w:tc>
        <w:tc>
          <w:tcPr>
            <w:tcW w:w="16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17.02</w:t>
            </w:r>
            <w:r>
              <w:rPr>
                <w:rFonts w:ascii="Arial" w:cs="Arial" w:eastAsia="Arial" w:hAnsi="Arial"/>
                <w:sz w:val="17"/>
                <w:szCs w:val="17"/>
                <w:i w:val="1"/>
                <w:iCs w:val="1"/>
                <w:color w:val="auto"/>
              </w:rPr>
              <w:t>. Official Acts by Successor Corporation</w:t>
            </w:r>
          </w:p>
        </w:tc>
        <w:tc>
          <w:tcPr>
            <w:tcW w:w="16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17.03</w:t>
            </w:r>
            <w:r>
              <w:rPr>
                <w:rFonts w:ascii="Arial" w:cs="Arial" w:eastAsia="Arial" w:hAnsi="Arial"/>
                <w:sz w:val="17"/>
                <w:szCs w:val="17"/>
                <w:i w:val="1"/>
                <w:iCs w:val="1"/>
                <w:color w:val="auto"/>
              </w:rPr>
              <w:t>. Addresses for Notices, Etc</w:t>
            </w:r>
          </w:p>
        </w:tc>
        <w:tc>
          <w:tcPr>
            <w:tcW w:w="16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17.04</w:t>
            </w:r>
            <w:r>
              <w:rPr>
                <w:rFonts w:ascii="Arial" w:cs="Arial" w:eastAsia="Arial" w:hAnsi="Arial"/>
                <w:sz w:val="17"/>
                <w:szCs w:val="17"/>
                <w:i w:val="1"/>
                <w:iCs w:val="1"/>
                <w:color w:val="auto"/>
              </w:rPr>
              <w:t>. Governing Law; Jurisdiction</w:t>
            </w:r>
          </w:p>
        </w:tc>
        <w:tc>
          <w:tcPr>
            <w:tcW w:w="16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17.05</w:t>
            </w:r>
            <w:r>
              <w:rPr>
                <w:rFonts w:ascii="Arial" w:cs="Arial" w:eastAsia="Arial" w:hAnsi="Arial"/>
                <w:sz w:val="17"/>
                <w:szCs w:val="17"/>
                <w:i w:val="1"/>
                <w:iCs w:val="1"/>
                <w:color w:val="auto"/>
              </w:rPr>
              <w:t>. Evidence of Compliance with Conditions Precedent; Certificates and Opinions of Counsel to Trustee</w:t>
            </w:r>
          </w:p>
        </w:tc>
        <w:tc>
          <w:tcPr>
            <w:tcW w:w="1600" w:type="dxa"/>
            <w:vAlign w:val="bottom"/>
          </w:tcPr>
          <w:p>
            <w:pPr>
              <w:jc w:val="right"/>
              <w:spacing w:after="0"/>
              <w:rPr>
                <w:rFonts w:ascii="Arial" w:cs="Arial" w:eastAsia="Arial" w:hAnsi="Arial"/>
                <w:sz w:val="17"/>
                <w:szCs w:val="17"/>
                <w:color w:val="auto"/>
              </w:rPr>
            </w:pPr>
            <w:hyperlink w:anchor="page23">
              <w:r>
                <w:rPr>
                  <w:rFonts w:ascii="Arial" w:cs="Arial" w:eastAsia="Arial" w:hAnsi="Arial"/>
                  <w:sz w:val="17"/>
                  <w:szCs w:val="17"/>
                  <w:color w:val="auto"/>
                </w:rPr>
                <w:t>78</w:t>
              </w:r>
            </w:hyperlink>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17.06</w:t>
            </w:r>
            <w:r>
              <w:rPr>
                <w:rFonts w:ascii="Arial" w:cs="Arial" w:eastAsia="Arial" w:hAnsi="Arial"/>
                <w:sz w:val="17"/>
                <w:szCs w:val="17"/>
                <w:i w:val="1"/>
                <w:iCs w:val="1"/>
                <w:color w:val="auto"/>
              </w:rPr>
              <w:t>. Legal Holidays</w:t>
            </w:r>
          </w:p>
        </w:tc>
        <w:tc>
          <w:tcPr>
            <w:tcW w:w="16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17.07</w:t>
            </w:r>
            <w:r>
              <w:rPr>
                <w:rFonts w:ascii="Arial" w:cs="Arial" w:eastAsia="Arial" w:hAnsi="Arial"/>
                <w:sz w:val="17"/>
                <w:szCs w:val="17"/>
                <w:i w:val="1"/>
                <w:iCs w:val="1"/>
                <w:color w:val="auto"/>
              </w:rPr>
              <w:t>. No Security Interest Created</w:t>
            </w:r>
          </w:p>
        </w:tc>
        <w:tc>
          <w:tcPr>
            <w:tcW w:w="16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17.08</w:t>
            </w:r>
            <w:r>
              <w:rPr>
                <w:rFonts w:ascii="Arial" w:cs="Arial" w:eastAsia="Arial" w:hAnsi="Arial"/>
                <w:sz w:val="17"/>
                <w:szCs w:val="17"/>
                <w:i w:val="1"/>
                <w:iCs w:val="1"/>
                <w:color w:val="auto"/>
              </w:rPr>
              <w:t>. Benefits of Indenture</w:t>
            </w:r>
          </w:p>
        </w:tc>
        <w:tc>
          <w:tcPr>
            <w:tcW w:w="16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17.09</w:t>
            </w:r>
            <w:r>
              <w:rPr>
                <w:rFonts w:ascii="Arial" w:cs="Arial" w:eastAsia="Arial" w:hAnsi="Arial"/>
                <w:sz w:val="17"/>
                <w:szCs w:val="17"/>
                <w:i w:val="1"/>
                <w:iCs w:val="1"/>
                <w:color w:val="auto"/>
              </w:rPr>
              <w:t>. Table of Contents, Headings, Etc</w:t>
            </w:r>
          </w:p>
        </w:tc>
        <w:tc>
          <w:tcPr>
            <w:tcW w:w="16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17.10</w:t>
            </w:r>
            <w:r>
              <w:rPr>
                <w:rFonts w:ascii="Arial" w:cs="Arial" w:eastAsia="Arial" w:hAnsi="Arial"/>
                <w:sz w:val="17"/>
                <w:szCs w:val="17"/>
                <w:i w:val="1"/>
                <w:iCs w:val="1"/>
                <w:color w:val="auto"/>
              </w:rPr>
              <w:t>. Authenticating Agent</w:t>
            </w:r>
          </w:p>
        </w:tc>
        <w:tc>
          <w:tcPr>
            <w:tcW w:w="1600" w:type="dxa"/>
            <w:vAlign w:val="bottom"/>
          </w:tcPr>
          <w:p>
            <w:pPr>
              <w:jc w:val="right"/>
              <w:spacing w:after="0"/>
              <w:rPr>
                <w:rFonts w:ascii="Arial" w:cs="Arial" w:eastAsia="Arial" w:hAnsi="Arial"/>
                <w:sz w:val="17"/>
                <w:szCs w:val="17"/>
                <w:color w:val="auto"/>
              </w:rPr>
            </w:pPr>
            <w:hyperlink w:anchor="page23">
              <w:r>
                <w:rPr>
                  <w:rFonts w:ascii="Arial" w:cs="Arial" w:eastAsia="Arial" w:hAnsi="Arial"/>
                  <w:sz w:val="17"/>
                  <w:szCs w:val="17"/>
                  <w:color w:val="auto"/>
                </w:rPr>
                <w:t>79</w:t>
              </w:r>
            </w:hyperlink>
          </w:p>
        </w:tc>
      </w:tr>
      <w:tr>
        <w:trPr>
          <w:trHeight w:val="244"/>
        </w:trPr>
        <w:tc>
          <w:tcPr>
            <w:tcW w:w="9280" w:type="dxa"/>
            <w:vAlign w:val="bottom"/>
          </w:tcPr>
          <w:p>
            <w:pPr>
              <w:spacing w:after="0"/>
              <w:rPr>
                <w:rFonts w:ascii="Arial" w:cs="Arial" w:eastAsia="Arial" w:hAnsi="Arial"/>
                <w:sz w:val="17"/>
                <w:szCs w:val="17"/>
                <w:color w:val="auto"/>
              </w:rPr>
            </w:pPr>
            <w:hyperlink w:anchor="page23">
              <w:r>
                <w:rPr>
                  <w:rFonts w:ascii="Arial" w:cs="Arial" w:eastAsia="Arial" w:hAnsi="Arial"/>
                  <w:sz w:val="17"/>
                  <w:szCs w:val="17"/>
                  <w:color w:val="auto"/>
                </w:rPr>
                <w:t>Section 17.11</w:t>
              </w:r>
              <w:r>
                <w:rPr>
                  <w:rFonts w:ascii="Arial" w:cs="Arial" w:eastAsia="Arial" w:hAnsi="Arial"/>
                  <w:sz w:val="17"/>
                  <w:szCs w:val="17"/>
                  <w:i w:val="1"/>
                  <w:iCs w:val="1"/>
                  <w:color w:val="auto"/>
                </w:rPr>
                <w:t>. Execution in Counterparts</w:t>
              </w:r>
            </w:hyperlink>
          </w:p>
        </w:tc>
        <w:tc>
          <w:tcPr>
            <w:tcW w:w="160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17.12</w:t>
            </w:r>
            <w:r>
              <w:rPr>
                <w:rFonts w:ascii="Arial" w:cs="Arial" w:eastAsia="Arial" w:hAnsi="Arial"/>
                <w:sz w:val="17"/>
                <w:szCs w:val="17"/>
                <w:i w:val="1"/>
                <w:iCs w:val="1"/>
                <w:color w:val="auto"/>
              </w:rPr>
              <w:t>. Severability</w:t>
            </w:r>
          </w:p>
        </w:tc>
        <w:tc>
          <w:tcPr>
            <w:tcW w:w="1600" w:type="dxa"/>
            <w:vAlign w:val="bottom"/>
          </w:tcPr>
          <w:p>
            <w:pPr>
              <w:jc w:val="right"/>
              <w:spacing w:after="0"/>
              <w:rPr>
                <w:rFonts w:ascii="Arial" w:cs="Arial" w:eastAsia="Arial" w:hAnsi="Arial"/>
                <w:sz w:val="17"/>
                <w:szCs w:val="17"/>
                <w:color w:val="auto"/>
              </w:rPr>
            </w:pPr>
            <w:hyperlink w:anchor="page23">
              <w:r>
                <w:rPr>
                  <w:rFonts w:ascii="Arial" w:cs="Arial" w:eastAsia="Arial" w:hAnsi="Arial"/>
                  <w:sz w:val="17"/>
                  <w:szCs w:val="17"/>
                  <w:color w:val="auto"/>
                </w:rPr>
                <w:t>81</w:t>
              </w:r>
            </w:hyperlink>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17.13</w:t>
            </w:r>
            <w:r>
              <w:rPr>
                <w:rFonts w:ascii="Arial" w:cs="Arial" w:eastAsia="Arial" w:hAnsi="Arial"/>
                <w:sz w:val="17"/>
                <w:szCs w:val="17"/>
                <w:i w:val="1"/>
                <w:iCs w:val="1"/>
                <w:color w:val="auto"/>
              </w:rPr>
              <w:t>. Waiver of Jury Trial</w:t>
            </w: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17.14</w:t>
            </w:r>
            <w:r>
              <w:rPr>
                <w:rFonts w:ascii="Arial" w:cs="Arial" w:eastAsia="Arial" w:hAnsi="Arial"/>
                <w:sz w:val="17"/>
                <w:szCs w:val="17"/>
                <w:i w:val="1"/>
                <w:iCs w:val="1"/>
                <w:color w:val="auto"/>
              </w:rPr>
              <w:t>. Force Majeure</w:t>
            </w: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Section 17.15</w:t>
            </w:r>
            <w:r>
              <w:rPr>
                <w:rFonts w:ascii="Arial" w:cs="Arial" w:eastAsia="Arial" w:hAnsi="Arial"/>
                <w:sz w:val="17"/>
                <w:szCs w:val="17"/>
                <w:i w:val="1"/>
                <w:iCs w:val="1"/>
                <w:color w:val="auto"/>
              </w:rPr>
              <w:t>. Calculations</w:t>
            </w: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17.16. </w:t>
            </w:r>
            <w:r>
              <w:rPr>
                <w:rFonts w:ascii="Arial" w:cs="Arial" w:eastAsia="Arial" w:hAnsi="Arial"/>
                <w:sz w:val="17"/>
                <w:szCs w:val="17"/>
                <w:i w:val="1"/>
                <w:iCs w:val="1"/>
                <w:color w:val="auto"/>
              </w:rPr>
              <w:t>USA PATRIOT Act</w:t>
            </w:r>
          </w:p>
        </w:tc>
        <w:tc>
          <w:tcPr>
            <w:tcW w:w="160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4"/>
        </w:trPr>
        <w:tc>
          <w:tcPr>
            <w:tcW w:w="9280" w:type="dxa"/>
            <w:vAlign w:val="bottom"/>
          </w:tcPr>
          <w:p>
            <w:pPr>
              <w:spacing w:after="0"/>
              <w:rPr>
                <w:sz w:val="20"/>
                <w:szCs w:val="20"/>
                <w:color w:val="auto"/>
              </w:rPr>
            </w:pPr>
            <w:r>
              <w:rPr>
                <w:rFonts w:ascii="Arial" w:cs="Arial" w:eastAsia="Arial" w:hAnsi="Arial"/>
                <w:sz w:val="17"/>
                <w:szCs w:val="17"/>
                <w:color w:val="auto"/>
              </w:rPr>
              <w:t xml:space="preserve">Section 17.17. </w:t>
            </w:r>
            <w:r>
              <w:rPr>
                <w:rFonts w:ascii="Arial" w:cs="Arial" w:eastAsia="Arial" w:hAnsi="Arial"/>
                <w:sz w:val="17"/>
                <w:szCs w:val="17"/>
                <w:i w:val="1"/>
                <w:iCs w:val="1"/>
                <w:color w:val="auto"/>
              </w:rPr>
              <w:t>Withholding Taxes</w:t>
            </w:r>
          </w:p>
        </w:tc>
        <w:tc>
          <w:tcPr>
            <w:tcW w:w="1600" w:type="dxa"/>
            <w:vAlign w:val="bottom"/>
          </w:tcPr>
          <w:p>
            <w:pPr>
              <w:jc w:val="right"/>
              <w:spacing w:after="0"/>
              <w:rPr>
                <w:sz w:val="20"/>
                <w:szCs w:val="20"/>
                <w:color w:val="auto"/>
              </w:rPr>
            </w:pPr>
            <w:r>
              <w:rPr>
                <w:rFonts w:ascii="Arial" w:cs="Arial" w:eastAsia="Arial" w:hAnsi="Arial"/>
                <w:sz w:val="17"/>
                <w:szCs w:val="17"/>
                <w:color w:val="auto"/>
              </w:rPr>
              <w:t>82</w:t>
            </w:r>
          </w:p>
        </w:tc>
      </w:tr>
    </w:tbl>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EXHIBIT</w:t>
      </w:r>
    </w:p>
    <w:p>
      <w:pPr>
        <w:spacing w:after="0" w:line="24" w:lineRule="exact"/>
        <w:rPr>
          <w:sz w:val="20"/>
          <w:szCs w:val="20"/>
          <w:color w:val="auto"/>
        </w:rPr>
      </w:pPr>
    </w:p>
    <w:p>
      <w:pPr>
        <w:spacing w:after="0"/>
        <w:tabs>
          <w:tab w:leader="none" w:pos="820" w:val="left"/>
          <w:tab w:leader="none" w:pos="1900" w:val="left"/>
        </w:tabs>
        <w:rPr>
          <w:sz w:val="20"/>
          <w:szCs w:val="20"/>
          <w:color w:val="auto"/>
        </w:rPr>
      </w:pPr>
      <w:r>
        <w:rPr>
          <w:rFonts w:ascii="Arial" w:cs="Arial" w:eastAsia="Arial" w:hAnsi="Arial"/>
          <w:sz w:val="17"/>
          <w:szCs w:val="17"/>
          <w:color w:val="auto"/>
        </w:rPr>
        <w:t>Exhibit A</w:t>
        <w:tab/>
        <w:t>Form of Note</w:t>
      </w:r>
      <w:r>
        <w:rPr>
          <w:sz w:val="20"/>
          <w:szCs w:val="20"/>
          <w:color w:val="auto"/>
        </w:rPr>
        <w:tab/>
      </w:r>
      <w:r>
        <w:rPr>
          <w:rFonts w:ascii="Arial" w:cs="Arial" w:eastAsia="Arial" w:hAnsi="Arial"/>
          <w:sz w:val="16"/>
          <w:szCs w:val="16"/>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940"/>
          </w:cols>
          <w:pgMar w:left="300" w:top="1440" w:right="659" w:bottom="1440" w:gutter="0" w:footer="0" w:header="0"/>
        </w:sectPr>
      </w:pPr>
    </w:p>
    <w:bookmarkStart w:id="23" w:name="page24"/>
    <w:bookmarkEnd w:id="23"/>
    <w:p>
      <w:pPr>
        <w:spacing w:after="0" w:line="25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INDENTURE dated as of [_____] between EOS ENERGY ENTERPRISES, INC., a Delaware corporation, as issuer (the “</w:t>
      </w:r>
      <w:r>
        <w:rPr>
          <w:rFonts w:ascii="Arial" w:cs="Arial" w:eastAsia="Arial" w:hAnsi="Arial"/>
          <w:sz w:val="15"/>
          <w:szCs w:val="15"/>
          <w:b w:val="1"/>
          <w:bCs w:val="1"/>
          <w:color w:val="auto"/>
        </w:rPr>
        <w:t>Company</w:t>
      </w:r>
      <w:r>
        <w:rPr>
          <w:rFonts w:ascii="Arial" w:cs="Arial" w:eastAsia="Arial" w:hAnsi="Arial"/>
          <w:sz w:val="15"/>
          <w:szCs w:val="15"/>
          <w:color w:val="auto"/>
        </w:rPr>
        <w:t>,” as more fully set forth</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in Section 1.01) and [TRUSTEE], a [</w:t>
      </w:r>
      <w:r>
        <w:rPr>
          <w:rFonts w:ascii="Arial" w:cs="Arial" w:eastAsia="Arial" w:hAnsi="Arial"/>
          <w:sz w:val="17"/>
          <w:szCs w:val="17"/>
          <w:i w:val="1"/>
          <w:iCs w:val="1"/>
          <w:color w:val="auto"/>
        </w:rPr>
        <w:t>Insert Type of Entity</w:t>
      </w:r>
      <w:r>
        <w:rPr>
          <w:rFonts w:ascii="Arial" w:cs="Arial" w:eastAsia="Arial" w:hAnsi="Arial"/>
          <w:sz w:val="17"/>
          <w:szCs w:val="17"/>
          <w:color w:val="auto"/>
        </w:rPr>
        <w:t>],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more fully set forth in Section 1.01).</w:t>
      </w:r>
    </w:p>
    <w:p>
      <w:pPr>
        <w:spacing w:after="0" w:line="162"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W I T N E S S E T H:</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WHEREAS, for its lawful corporate purposes, the Company has duly authorized the issuance of its 5%/6% Convertible Senior PIK Toggle Notes due 2026 (the “</w:t>
      </w:r>
      <w:r>
        <w:rPr>
          <w:rFonts w:ascii="Arial" w:cs="Arial" w:eastAsia="Arial" w:hAnsi="Arial"/>
          <w:sz w:val="17"/>
          <w:szCs w:val="17"/>
          <w:b w:val="1"/>
          <w:bCs w:val="1"/>
          <w:color w:val="auto"/>
        </w:rPr>
        <w:t>Notes</w:t>
      </w:r>
      <w:r>
        <w:rPr>
          <w:rFonts w:ascii="Arial" w:cs="Arial" w:eastAsia="Arial" w:hAnsi="Arial"/>
          <w:sz w:val="17"/>
          <w:szCs w:val="17"/>
          <w:color w:val="auto"/>
        </w:rPr>
        <w:t>”), and in order to provide the terms and conditions upon which the Notes are to be authenticated, issued and delivered, the Company has duly authorized the execution and delivery of this Indenture; and</w:t>
      </w:r>
    </w:p>
    <w:p>
      <w:pPr>
        <w:spacing w:after="0" w:line="142" w:lineRule="exact"/>
        <w:rPr>
          <w:sz w:val="20"/>
          <w:szCs w:val="20"/>
          <w:color w:val="auto"/>
        </w:rPr>
      </w:pPr>
    </w:p>
    <w:p>
      <w:pPr>
        <w:ind w:right="520" w:firstLine="509"/>
        <w:spacing w:after="0" w:line="340" w:lineRule="auto"/>
        <w:rPr>
          <w:sz w:val="20"/>
          <w:szCs w:val="20"/>
          <w:color w:val="auto"/>
        </w:rPr>
      </w:pPr>
      <w:r>
        <w:rPr>
          <w:rFonts w:ascii="Arial" w:cs="Arial" w:eastAsia="Arial" w:hAnsi="Arial"/>
          <w:sz w:val="15"/>
          <w:szCs w:val="15"/>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84" w:lineRule="exact"/>
        <w:rPr>
          <w:sz w:val="20"/>
          <w:szCs w:val="20"/>
          <w:color w:val="auto"/>
        </w:rPr>
      </w:pPr>
    </w:p>
    <w:p>
      <w:pPr>
        <w:ind w:right="360" w:firstLine="509"/>
        <w:spacing w:after="0" w:line="255" w:lineRule="auto"/>
        <w:rPr>
          <w:sz w:val="20"/>
          <w:szCs w:val="20"/>
          <w:color w:val="auto"/>
        </w:rPr>
      </w:pPr>
      <w:r>
        <w:rPr>
          <w:rFonts w:ascii="Arial" w:cs="Arial" w:eastAsia="Arial" w:hAnsi="Arial"/>
          <w:sz w:val="17"/>
          <w:szCs w:val="17"/>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NOW, THEREFORE, THIS INDENTURE WITNESSETH:</w:t>
      </w:r>
    </w:p>
    <w:p>
      <w:pPr>
        <w:spacing w:after="0" w:line="17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209" w:lineRule="exact"/>
        <w:rPr>
          <w:sz w:val="20"/>
          <w:szCs w:val="20"/>
          <w:color w:val="auto"/>
        </w:rPr>
      </w:pPr>
    </w:p>
    <w:p>
      <w:pPr>
        <w:ind w:left="4760"/>
        <w:spacing w:after="0"/>
        <w:tabs>
          <w:tab w:leader="none" w:pos="5740" w:val="left"/>
        </w:tabs>
        <w:rPr>
          <w:sz w:val="20"/>
          <w:szCs w:val="20"/>
          <w:color w:val="auto"/>
        </w:rPr>
      </w:pPr>
      <w:r>
        <w:rPr>
          <w:rFonts w:ascii="Arial" w:cs="Arial" w:eastAsia="Arial" w:hAnsi="Arial"/>
          <w:sz w:val="17"/>
          <w:szCs w:val="17"/>
          <w:color w:val="auto"/>
        </w:rPr>
        <w:t>Article 1.</w:t>
      </w:r>
      <w:r>
        <w:rPr>
          <w:sz w:val="20"/>
          <w:szCs w:val="20"/>
          <w:color w:val="auto"/>
        </w:rPr>
        <w:tab/>
      </w:r>
      <w:r>
        <w:rPr>
          <w:rFonts w:ascii="Arial" w:cs="Arial" w:eastAsia="Arial" w:hAnsi="Arial"/>
          <w:sz w:val="16"/>
          <w:szCs w:val="16"/>
          <w:color w:val="auto"/>
        </w:rPr>
        <w:t>Definitions</w:t>
      </w:r>
    </w:p>
    <w:p>
      <w:pPr>
        <w:spacing w:after="0" w:line="1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r>
        <w:rPr>
          <w:rFonts w:ascii="Arial" w:cs="Arial" w:eastAsia="Arial" w:hAnsi="Arial"/>
          <w:sz w:val="17"/>
          <w:szCs w:val="17"/>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41" w:lineRule="exact"/>
        <w:rPr>
          <w:sz w:val="20"/>
          <w:szCs w:val="20"/>
          <w:color w:val="auto"/>
        </w:rPr>
      </w:pPr>
    </w:p>
    <w:p>
      <w:pPr>
        <w:ind w:right="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w:t>
      </w:r>
    </w:p>
    <w:p>
      <w:pPr>
        <w:sectPr>
          <w:pgSz w:w="11900" w:h="16838" w:orient="portrait"/>
          <w:cols w:equalWidth="0" w:num="1">
            <w:col w:w="11260"/>
          </w:cols>
          <w:pgMar w:left="300" w:top="1440" w:right="339" w:bottom="1440" w:gutter="0" w:footer="0" w:header="0"/>
        </w:sectPr>
      </w:pPr>
    </w:p>
    <w:bookmarkStart w:id="24" w:name="page25"/>
    <w:bookmarkEnd w:id="24"/>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Arial" w:cs="Arial" w:eastAsia="Arial" w:hAnsi="Arial"/>
          <w:sz w:val="17"/>
          <w:szCs w:val="17"/>
          <w:b w:val="1"/>
          <w:bCs w:val="1"/>
          <w:color w:val="auto"/>
        </w:rPr>
        <w:t>Affiliate</w:t>
      </w:r>
      <w:r>
        <w:rPr>
          <w:rFonts w:ascii="Arial" w:cs="Arial" w:eastAsia="Arial" w:hAnsi="Arial"/>
          <w:sz w:val="17"/>
          <w:szCs w:val="17"/>
          <w:color w:val="auto"/>
        </w:rPr>
        <w:t>” of another Person for purposes of this Indenture shall be made based on the facts at the time such determination is made or required to be made, as the case may be, hereunder.</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Withholding Agent</w:t>
      </w:r>
      <w:r>
        <w:rPr>
          <w:rFonts w:ascii="Arial" w:cs="Arial" w:eastAsia="Arial" w:hAnsi="Arial"/>
          <w:sz w:val="17"/>
          <w:szCs w:val="17"/>
          <w:color w:val="auto"/>
        </w:rPr>
        <w:t>” shall have the meaning specified in Section 17.17.</w:t>
      </w:r>
    </w:p>
    <w:p>
      <w:pPr>
        <w:spacing w:after="0" w:line="176" w:lineRule="exact"/>
        <w:rPr>
          <w:sz w:val="20"/>
          <w:szCs w:val="20"/>
          <w:color w:val="auto"/>
        </w:rPr>
      </w:pPr>
    </w:p>
    <w:p>
      <w:pPr>
        <w:ind w:right="3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or equivalent body of the Company or a committee of such board or body duly authorized to act for it hereunder.</w:t>
      </w:r>
    </w:p>
    <w:p>
      <w:pPr>
        <w:spacing w:after="0" w:line="123" w:lineRule="exact"/>
        <w:rPr>
          <w:sz w:val="20"/>
          <w:szCs w:val="20"/>
          <w:color w:val="auto"/>
        </w:rPr>
      </w:pPr>
    </w:p>
    <w:p>
      <w:pPr>
        <w:ind w:right="4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Combination Event</w:t>
      </w:r>
      <w:r>
        <w:rPr>
          <w:rFonts w:ascii="Arial" w:cs="Arial" w:eastAsia="Arial" w:hAnsi="Arial"/>
          <w:sz w:val="17"/>
          <w:szCs w:val="17"/>
          <w:color w:val="auto"/>
        </w:rPr>
        <w:t>” shall have the meaning specified in Section 11.01.</w:t>
      </w:r>
    </w:p>
    <w:p>
      <w:pPr>
        <w:spacing w:after="0" w:line="176" w:lineRule="exact"/>
        <w:rPr>
          <w:sz w:val="20"/>
          <w:szCs w:val="20"/>
          <w:color w:val="auto"/>
        </w:rPr>
      </w:pPr>
    </w:p>
    <w:p>
      <w:pPr>
        <w:ind w:right="48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with respect to any Note, any day other than a Saturday, a Sunday or a day on which the Federal Reserve Bank of New York is authorized or required by law or executive order to close or be closed.</w:t>
      </w:r>
    </w:p>
    <w:p>
      <w:pPr>
        <w:spacing w:after="0" w:line="12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3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Capitalization Amount</w:t>
      </w:r>
      <w:r>
        <w:rPr>
          <w:rFonts w:ascii="Arial" w:cs="Arial" w:eastAsia="Arial" w:hAnsi="Arial"/>
          <w:sz w:val="17"/>
          <w:szCs w:val="17"/>
          <w:color w:val="auto"/>
        </w:rPr>
        <w:t>” means, for any Interest PIK Date, an amount per Note equal to the interest accrued on the Capitalized Principal Amount as of the immediately preceding Interest Payment Date (or, if there is no immediately preceding Interest Payment Date, the interest accrued on the Initial Principal Amount) and not paid in cash, calculated at the PIK Interest Rate on the Capitalized Principal Amount of such Note for which interest is not paid in cash for the period from, and including, such immediately preceding Interest Payment Date (or, if there is no immediately preceding Interest Payment Date, from, and including, the Issue Date) to, but excluding, such Interest PIK Date.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Capitalization Method</w:t>
      </w:r>
      <w:r>
        <w:rPr>
          <w:rFonts w:ascii="Arial" w:cs="Arial" w:eastAsia="Arial" w:hAnsi="Arial"/>
          <w:sz w:val="17"/>
          <w:szCs w:val="17"/>
          <w:color w:val="auto"/>
        </w:rPr>
        <w:t>” shall have the meaning specified in Section 2.03(d)(i).</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Principal Amount</w:t>
      </w:r>
      <w:r>
        <w:rPr>
          <w:rFonts w:ascii="Arial" w:cs="Arial" w:eastAsia="Arial" w:hAnsi="Arial"/>
          <w:sz w:val="17"/>
          <w:szCs w:val="17"/>
          <w:color w:val="auto"/>
        </w:rPr>
        <w:t>” means, for any date, the principal amount per Note equal to the Initial Principal Amount of such Note, as increased on each Interest PIK Date occurring on or prior to such date by the Capitalization Amount for such Interest PIK Date, if any. When the term “principal amount” of any Note is used herein, such reference(s)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00" w:top="1440" w:right="339" w:bottom="1440" w:gutter="0" w:footer="0" w:header="0"/>
        </w:sectPr>
      </w:pPr>
    </w:p>
    <w:bookmarkStart w:id="25" w:name="page26"/>
    <w:bookmarkEnd w:id="25"/>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deemed to be reference(s) to the Capitalized Principal Amount of such Note, unless the context otherwise requires.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Interest Rate</w:t>
      </w:r>
      <w:r>
        <w:rPr>
          <w:rFonts w:ascii="Arial" w:cs="Arial" w:eastAsia="Arial" w:hAnsi="Arial"/>
          <w:sz w:val="17"/>
          <w:szCs w:val="17"/>
          <w:color w:val="auto"/>
        </w:rPr>
        <w:t>” means 5.00% per annum.</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Method</w:t>
      </w:r>
      <w:r>
        <w:rPr>
          <w:rFonts w:ascii="Arial" w:cs="Arial" w:eastAsia="Arial" w:hAnsi="Arial"/>
          <w:sz w:val="17"/>
          <w:szCs w:val="17"/>
          <w:color w:val="auto"/>
        </w:rPr>
        <w:t>” shall have the meaning specified in Section 2.03(d)(i).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Settlement</w:t>
      </w:r>
      <w:r>
        <w:rPr>
          <w:rFonts w:ascii="Arial" w:cs="Arial" w:eastAsia="Arial" w:hAnsi="Arial"/>
          <w:sz w:val="17"/>
          <w:szCs w:val="17"/>
          <w:color w:val="auto"/>
        </w:rPr>
        <w:t>” shall have the meaning specified in Section 14.02(a).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Clause A Distribution</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Clause B Distribution</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Clause C Distribution</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close of business</w:t>
      </w:r>
      <w:r>
        <w:rPr>
          <w:rFonts w:ascii="Arial" w:cs="Arial" w:eastAsia="Arial" w:hAnsi="Arial"/>
          <w:sz w:val="17"/>
          <w:szCs w:val="17"/>
          <w:color w:val="auto"/>
        </w:rPr>
        <w:t>” means 5:00 p.m. (New York City time).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Combination Settlement</w:t>
      </w:r>
      <w:r>
        <w:rPr>
          <w:rFonts w:ascii="Arial" w:cs="Arial" w:eastAsia="Arial" w:hAnsi="Arial"/>
          <w:sz w:val="17"/>
          <w:szCs w:val="17"/>
          <w:color w:val="auto"/>
        </w:rPr>
        <w:t>” shall have the meaning specified in Section 14.02(a).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means the U.S. Securities and Exchange Commission.</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Equity</w:t>
      </w:r>
      <w:r>
        <w:rPr>
          <w:rFonts w:ascii="Arial" w:cs="Arial" w:eastAsia="Arial" w:hAnsi="Arial"/>
          <w:sz w:val="17"/>
          <w:szCs w:val="17"/>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 par value $0.0001 per share, at the date of this Indenture, subject to Section 14.06.</w:t>
      </w:r>
    </w:p>
    <w:p>
      <w:pPr>
        <w:spacing w:after="0" w:line="187" w:lineRule="exact"/>
        <w:rPr>
          <w:sz w:val="20"/>
          <w:szCs w:val="20"/>
          <w:color w:val="auto"/>
        </w:rPr>
      </w:pPr>
    </w:p>
    <w:p>
      <w:pPr>
        <w:ind w:right="18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shall have the meaning specified in the first paragraph of this Indenture, and subject to the provisions of Article 11, shall include its successors and assigns.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order of the Company, signed by any of its Officers.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Agent</w:t>
      </w:r>
      <w:r>
        <w:rPr>
          <w:rFonts w:ascii="Arial" w:cs="Arial" w:eastAsia="Arial" w:hAnsi="Arial"/>
          <w:sz w:val="17"/>
          <w:szCs w:val="17"/>
          <w:color w:val="auto"/>
        </w:rPr>
        <w:t>” shall have the meaning specified in Section 4.02.</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Consideration</w:t>
      </w:r>
      <w:r>
        <w:rPr>
          <w:rFonts w:ascii="Arial" w:cs="Arial" w:eastAsia="Arial" w:hAnsi="Arial"/>
          <w:sz w:val="17"/>
          <w:szCs w:val="17"/>
          <w:color w:val="auto"/>
        </w:rPr>
        <w:t>” shall have the meaning specified in Section 14.11(a).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Date</w:t>
      </w:r>
      <w:r>
        <w:rPr>
          <w:rFonts w:ascii="Arial" w:cs="Arial" w:eastAsia="Arial" w:hAnsi="Arial"/>
          <w:sz w:val="17"/>
          <w:szCs w:val="17"/>
          <w:color w:val="auto"/>
        </w:rPr>
        <w:t>” shall have the meaning specified in Section 14.02(c).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Obligation</w:t>
      </w:r>
      <w:r>
        <w:rPr>
          <w:rFonts w:ascii="Arial" w:cs="Arial" w:eastAsia="Arial" w:hAnsi="Arial"/>
          <w:sz w:val="17"/>
          <w:szCs w:val="17"/>
          <w:color w:val="auto"/>
        </w:rPr>
        <w:t>” shall have the meaning specified in Section 14.01.</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Price</w:t>
      </w:r>
      <w:r>
        <w:rPr>
          <w:rFonts w:ascii="Arial" w:cs="Arial" w:eastAsia="Arial" w:hAnsi="Arial"/>
          <w:sz w:val="17"/>
          <w:szCs w:val="17"/>
          <w:color w:val="auto"/>
        </w:rPr>
        <w:t xml:space="preserve">” means as of any time, $1,000,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Conversion Rate as of such time.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Rate</w:t>
      </w:r>
      <w:r>
        <w:rPr>
          <w:rFonts w:ascii="Arial" w:cs="Arial" w:eastAsia="Arial" w:hAnsi="Arial"/>
          <w:sz w:val="17"/>
          <w:szCs w:val="17"/>
          <w:color w:val="auto"/>
        </w:rPr>
        <w:t>” shall have the meaning specified in Section 14.01.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440" w:right="319" w:bottom="1440" w:gutter="0" w:footer="0" w:header="0"/>
        </w:sectPr>
      </w:pPr>
    </w:p>
    <w:bookmarkStart w:id="26" w:name="page27"/>
    <w:bookmarkEnd w:id="26"/>
    <w:p>
      <w:pPr>
        <w:spacing w:after="0" w:line="80" w:lineRule="exact"/>
        <w:rPr>
          <w:sz w:val="20"/>
          <w:szCs w:val="20"/>
          <w:color w:val="auto"/>
        </w:rPr>
      </w:pPr>
    </w:p>
    <w:p>
      <w:pPr>
        <w:ind w:firstLine="50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Corporate Trust Office</w:t>
      </w:r>
      <w:r>
        <w:rPr>
          <w:rFonts w:ascii="Arial" w:cs="Arial" w:eastAsia="Arial" w:hAnsi="Arial"/>
          <w:sz w:val="15"/>
          <w:szCs w:val="15"/>
          <w:color w:val="auto"/>
        </w:rPr>
        <w:t>” means the principal office of the Trustee at which at any time its corporate trust business shall be administered, which office at the date of this Indenture is located at [</w:t>
      </w:r>
      <w:r>
        <w:rPr>
          <w:rFonts w:ascii="Arial" w:cs="Arial" w:eastAsia="Arial" w:hAnsi="Arial"/>
          <w:sz w:val="15"/>
          <w:szCs w:val="15"/>
          <w:i w:val="1"/>
          <w:iCs w:val="1"/>
          <w:color w:val="auto"/>
        </w:rPr>
        <w:t>Address</w:t>
      </w:r>
      <w:r>
        <w:rPr>
          <w:rFonts w:ascii="Arial" w:cs="Arial" w:eastAsia="Arial" w:hAnsi="Arial"/>
          <w:sz w:val="15"/>
          <w:szCs w:val="15"/>
          <w:color w:val="auto"/>
        </w:rPr>
        <w:t>], Attention: [________], or such other address as the Trustee may designate from time to time by notice to the Holders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and the Company, or the principal corporate trust office of any successor trustee (or such other address as such successor trustee may designate from time to time by notice to the Holders and the Company).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Custodian</w:t>
      </w:r>
      <w:r>
        <w:rPr>
          <w:rFonts w:ascii="Arial" w:cs="Arial" w:eastAsia="Arial" w:hAnsi="Arial"/>
          <w:sz w:val="17"/>
          <w:szCs w:val="17"/>
          <w:color w:val="auto"/>
        </w:rPr>
        <w:t>” means the Trustee, as custodian for the Depositary, with respect to the Global Notes, or any successor entity thereto.</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Cut-off Date</w:t>
      </w:r>
      <w:r>
        <w:rPr>
          <w:rFonts w:ascii="Arial" w:cs="Arial" w:eastAsia="Arial" w:hAnsi="Arial"/>
          <w:sz w:val="17"/>
          <w:szCs w:val="17"/>
          <w:color w:val="auto"/>
        </w:rPr>
        <w:t>” means the 45th Scheduled Trading Day immediately preceding the Maturity Date.</w:t>
      </w:r>
    </w:p>
    <w:p>
      <w:pPr>
        <w:spacing w:after="0" w:line="176" w:lineRule="exact"/>
        <w:rPr>
          <w:sz w:val="20"/>
          <w:szCs w:val="20"/>
          <w:color w:val="auto"/>
        </w:rPr>
      </w:pPr>
    </w:p>
    <w:p>
      <w:pPr>
        <w:ind w:right="2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Conversion Value</w:t>
      </w:r>
      <w:r>
        <w:rPr>
          <w:rFonts w:ascii="Arial" w:cs="Arial" w:eastAsia="Arial" w:hAnsi="Arial"/>
          <w:sz w:val="17"/>
          <w:szCs w:val="17"/>
          <w:color w:val="auto"/>
        </w:rPr>
        <w:t>” means, for each of the 40 consecutive Trading Days during the Observation Period, 2.5% of the product of (a) the Conversion Rate on such Trading Day and (b) the Daily VWAP for such Trading Day.</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Measurement Value</w:t>
      </w:r>
      <w:r>
        <w:rPr>
          <w:rFonts w:ascii="Arial" w:cs="Arial" w:eastAsia="Arial" w:hAnsi="Arial"/>
          <w:sz w:val="17"/>
          <w:szCs w:val="17"/>
          <w:color w:val="auto"/>
        </w:rPr>
        <w:t xml:space="preserve">” means the Specified Dollar Amount (if any),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40.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Settlement Amount</w:t>
      </w:r>
      <w:r>
        <w:rPr>
          <w:rFonts w:ascii="Arial" w:cs="Arial" w:eastAsia="Arial" w:hAnsi="Arial"/>
          <w:sz w:val="17"/>
          <w:szCs w:val="17"/>
          <w:color w:val="auto"/>
        </w:rPr>
        <w:t>,” for each of the 40 consecutive Trading Days during the Observation Period, shall consist of:</w:t>
      </w:r>
    </w:p>
    <w:p>
      <w:pPr>
        <w:spacing w:after="0" w:line="180" w:lineRule="exact"/>
        <w:rPr>
          <w:sz w:val="20"/>
          <w:szCs w:val="20"/>
          <w:color w:val="auto"/>
        </w:rPr>
      </w:pPr>
    </w:p>
    <w:p>
      <w:pPr>
        <w:ind w:left="1380" w:hanging="357"/>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 and</w:t>
      </w:r>
    </w:p>
    <w:p>
      <w:pPr>
        <w:spacing w:after="0" w:line="187" w:lineRule="exact"/>
        <w:rPr>
          <w:rFonts w:ascii="Arial" w:cs="Arial" w:eastAsia="Arial" w:hAnsi="Arial"/>
          <w:sz w:val="16"/>
          <w:szCs w:val="16"/>
          <w:color w:val="auto"/>
        </w:rPr>
      </w:pPr>
    </w:p>
    <w:p>
      <w:pPr>
        <w:ind w:left="520" w:firstLine="503"/>
        <w:spacing w:after="0" w:line="303" w:lineRule="auto"/>
        <w:tabs>
          <w:tab w:leader="none" w:pos="139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Daily VWAP for such Trading Day.</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of the 40 consecutive Trading Days during the relevant Observation Period, the per share volume-weighted average price as displayed under the heading “Bloomberg VWAP” on Bloomberg page “EOSE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event that is, or after notice or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00" w:top="1440" w:right="379" w:bottom="1440" w:gutter="0" w:footer="0" w:header="0"/>
        </w:sectPr>
      </w:pPr>
    </w:p>
    <w:bookmarkStart w:id="27" w:name="page28"/>
    <w:bookmarkEnd w:id="27"/>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Settlement Method</w:t>
      </w:r>
      <w:r>
        <w:rPr>
          <w:rFonts w:ascii="Arial" w:cs="Arial" w:eastAsia="Arial" w:hAnsi="Arial"/>
          <w:sz w:val="17"/>
          <w:szCs w:val="17"/>
          <w:color w:val="auto"/>
        </w:rPr>
        <w:t>” means, initially, Physical Settlement.</w:t>
      </w:r>
    </w:p>
    <w:p>
      <w:pPr>
        <w:spacing w:after="0" w:line="176" w:lineRule="exact"/>
        <w:rPr>
          <w:sz w:val="20"/>
          <w:szCs w:val="20"/>
          <w:color w:val="auto"/>
        </w:rPr>
      </w:pPr>
    </w:p>
    <w:p>
      <w:pPr>
        <w:ind w:right="30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Defaulted Amounts</w:t>
      </w:r>
      <w:r>
        <w:rPr>
          <w:rFonts w:ascii="Arial" w:cs="Arial" w:eastAsia="Arial" w:hAnsi="Arial"/>
          <w:sz w:val="17"/>
          <w:szCs w:val="17"/>
          <w:color w:val="auto"/>
        </w:rPr>
        <w:t>” means any amounts on any Note (including, without limitation, the Redemption Price, the Fundamental Change Repurchase Price, principal and interest) that are payable but are not punctually paid or duly provided for.</w:t>
      </w:r>
    </w:p>
    <w:p>
      <w:pPr>
        <w:spacing w:after="0" w:line="123"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each Global Note, the Person designated pursuant to Section 2.05(c) as the Depositary with respect to such Notes, until a successor shall have been appointed and become such pursuant to the applicable provisions of this Indenture, and thereafter, “</w:t>
      </w:r>
      <w:r>
        <w:rPr>
          <w:rFonts w:ascii="Arial" w:cs="Arial" w:eastAsia="Arial" w:hAnsi="Arial"/>
          <w:sz w:val="17"/>
          <w:szCs w:val="17"/>
          <w:b w:val="1"/>
          <w:bCs w:val="1"/>
          <w:color w:val="auto"/>
        </w:rPr>
        <w:t>Depositary</w:t>
      </w:r>
      <w:r>
        <w:rPr>
          <w:rFonts w:ascii="Arial" w:cs="Arial" w:eastAsia="Arial" w:hAnsi="Arial"/>
          <w:sz w:val="17"/>
          <w:szCs w:val="17"/>
          <w:color w:val="auto"/>
        </w:rPr>
        <w:t>” shall mean or include such successor.</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Financial Institution</w:t>
      </w:r>
      <w:r>
        <w:rPr>
          <w:rFonts w:ascii="Arial" w:cs="Arial" w:eastAsia="Arial" w:hAnsi="Arial"/>
          <w:sz w:val="17"/>
          <w:szCs w:val="17"/>
          <w:color w:val="auto"/>
        </w:rPr>
        <w:t>” shall have the meaning specified in Section 14.11(a).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Distributed Property</w:t>
      </w:r>
      <w:r>
        <w:rPr>
          <w:rFonts w:ascii="Arial" w:cs="Arial" w:eastAsia="Arial" w:hAnsi="Arial"/>
          <w:sz w:val="17"/>
          <w:szCs w:val="17"/>
          <w:color w:val="auto"/>
        </w:rPr>
        <w:t>” shall have the meaning specified in Section 14.03(c).</w:t>
      </w:r>
    </w:p>
    <w:p>
      <w:pPr>
        <w:spacing w:after="0" w:line="171" w:lineRule="exact"/>
        <w:rPr>
          <w:sz w:val="20"/>
          <w:szCs w:val="20"/>
          <w:color w:val="auto"/>
        </w:rPr>
      </w:pPr>
    </w:p>
    <w:p>
      <w:pPr>
        <w:ind w:right="400" w:firstLine="509"/>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 means the first date on which shares of the Common Stock trade on the applicable exchange or in the applicable market, regular way, reflecting the relevant share split or share combination, as applicable.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shall have the meaning specified in Section 6.01.</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Election</w:t>
      </w:r>
      <w:r>
        <w:rPr>
          <w:rFonts w:ascii="Arial" w:cs="Arial" w:eastAsia="Arial" w:hAnsi="Arial"/>
          <w:sz w:val="17"/>
          <w:szCs w:val="17"/>
          <w:color w:val="auto"/>
        </w:rPr>
        <w:t>” shall have the meaning specified in Section 14.11(a).</w:t>
      </w:r>
    </w:p>
    <w:p>
      <w:pPr>
        <w:spacing w:after="0" w:line="176" w:lineRule="exact"/>
        <w:rPr>
          <w:sz w:val="20"/>
          <w:szCs w:val="20"/>
          <w:color w:val="auto"/>
        </w:rPr>
      </w:pPr>
    </w:p>
    <w:p>
      <w:pPr>
        <w:ind w:right="5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of Assignment and Transfer</w:t>
      </w:r>
      <w:r>
        <w:rPr>
          <w:rFonts w:ascii="Arial" w:cs="Arial" w:eastAsia="Arial" w:hAnsi="Arial"/>
          <w:sz w:val="17"/>
          <w:szCs w:val="17"/>
          <w:color w:val="auto"/>
        </w:rPr>
        <w:t>” means the “Form of Assignment and Transfer” attached as Attachment 3 to the Form of Note attached hereto as Exhibit A.</w:t>
      </w:r>
    </w:p>
    <w:p>
      <w:pPr>
        <w:spacing w:after="0" w:line="123" w:lineRule="exact"/>
        <w:rPr>
          <w:sz w:val="20"/>
          <w:szCs w:val="20"/>
          <w:color w:val="auto"/>
        </w:rPr>
      </w:pPr>
    </w:p>
    <w:p>
      <w:pPr>
        <w:ind w:right="14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of Fundamental Change Repurchase Notice</w:t>
      </w:r>
      <w:r>
        <w:rPr>
          <w:rFonts w:ascii="Arial" w:cs="Arial" w:eastAsia="Arial" w:hAnsi="Arial"/>
          <w:sz w:val="17"/>
          <w:szCs w:val="17"/>
          <w:color w:val="auto"/>
        </w:rPr>
        <w:t>” means the “Form of Fundamental Change Repurchase Notice” attached as Attachment 2 to the Form of Note attached hereto as Exhibit 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of Note</w:t>
      </w:r>
      <w:r>
        <w:rPr>
          <w:rFonts w:ascii="Arial" w:cs="Arial" w:eastAsia="Arial" w:hAnsi="Arial"/>
          <w:sz w:val="17"/>
          <w:szCs w:val="17"/>
          <w:color w:val="auto"/>
        </w:rPr>
        <w:t>” means the “Form of Note” attached hereto as Exhibit 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Notice of Conversion</w:t>
      </w:r>
      <w:r>
        <w:rPr>
          <w:rFonts w:ascii="Arial" w:cs="Arial" w:eastAsia="Arial" w:hAnsi="Arial"/>
          <w:sz w:val="16"/>
          <w:szCs w:val="16"/>
          <w:color w:val="auto"/>
        </w:rPr>
        <w:t>” means the “Form of Notice of Conversion” attached as Attachment 1 to the Form of Note attached hereto as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440" w:right="319" w:bottom="1440" w:gutter="0" w:footer="0" w:header="0"/>
        </w:sectPr>
      </w:pPr>
    </w:p>
    <w:bookmarkStart w:id="28" w:name="page29"/>
    <w:bookmarkEnd w:id="28"/>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Notes are originally issued if any of the following occurs:</w:t>
      </w:r>
    </w:p>
    <w:p>
      <w:pPr>
        <w:spacing w:after="0" w:line="180" w:lineRule="exact"/>
        <w:rPr>
          <w:sz w:val="20"/>
          <w:szCs w:val="20"/>
          <w:color w:val="auto"/>
        </w:rPr>
      </w:pPr>
    </w:p>
    <w:p>
      <w:pPr>
        <w:ind w:left="520" w:right="60" w:firstLine="503"/>
        <w:spacing w:after="0" w:line="253" w:lineRule="auto"/>
        <w:tabs>
          <w:tab w:leader="none" w:pos="1387"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than as set forth in clause (b), a “person” or “group” within the meaning of Section 13(d) of the Exchange Act, other than the Company, its direct or indirect Wholly Owned Subsidiaries, the employee benefit plans of the Company and its Wholly Owned Subsidiaries and any Holder or an Affiliate thereof, files a Schedule TO (or any successor schedule, form or report) or any schedule, form or report under the Exchange Act that discloses that such person or group has become the direct or indirect “beneficial owner,” as defined in Rule 13d-3 under the Exchange Act, of the Common Stock representing more than 50% of the voting power of the Common Stock;</w:t>
      </w:r>
    </w:p>
    <w:p>
      <w:pPr>
        <w:spacing w:after="0" w:line="147" w:lineRule="exact"/>
        <w:rPr>
          <w:rFonts w:ascii="Arial" w:cs="Arial" w:eastAsia="Arial" w:hAnsi="Arial"/>
          <w:sz w:val="17"/>
          <w:szCs w:val="17"/>
          <w:color w:val="auto"/>
        </w:rPr>
      </w:pPr>
    </w:p>
    <w:p>
      <w:pPr>
        <w:ind w:left="520" w:right="80" w:firstLine="503"/>
        <w:spacing w:after="0" w:line="268" w:lineRule="auto"/>
        <w:tabs>
          <w:tab w:leader="none" w:pos="139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a change to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transaction described in clause (A) or (B) in which the holders of all classes of the Company’s Common Equity immediately prior to such transaction own, directly or indirectly, more than 50% of all classes of Common Equity of the continuing or surviving Person or transferee or the parent thereof immediately after such transaction in substantially the same proportions as such ownership immediately prior to such transaction shall not be a Fundamental Change pursuant to this clause (b);</w:t>
      </w:r>
    </w:p>
    <w:p>
      <w:pPr>
        <w:spacing w:after="0" w:line="134" w:lineRule="exact"/>
        <w:rPr>
          <w:rFonts w:ascii="Arial" w:cs="Arial" w:eastAsia="Arial" w:hAnsi="Arial"/>
          <w:sz w:val="16"/>
          <w:szCs w:val="16"/>
          <w:color w:val="auto"/>
        </w:rPr>
      </w:pPr>
    </w:p>
    <w:p>
      <w:pPr>
        <w:ind w:left="1380" w:hanging="357"/>
        <w:spacing w:after="0"/>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stockholders approve any plan or proposal for the liquidation or dissolution of the Company; or</w:t>
      </w:r>
    </w:p>
    <w:p>
      <w:pPr>
        <w:spacing w:after="0" w:line="175" w:lineRule="exact"/>
        <w:rPr>
          <w:rFonts w:ascii="Arial" w:cs="Arial" w:eastAsia="Arial" w:hAnsi="Arial"/>
          <w:sz w:val="17"/>
          <w:szCs w:val="17"/>
          <w:color w:val="auto"/>
        </w:rPr>
      </w:pPr>
    </w:p>
    <w:p>
      <w:pPr>
        <w:ind w:left="520" w:right="400" w:firstLine="503"/>
        <w:spacing w:after="0" w:line="271" w:lineRule="auto"/>
        <w:tabs>
          <w:tab w:leader="none" w:pos="139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Common Stock ceases to be listed or quoted on any of The New York Stock Exchange, The Nasdaq Global Market, The Nasdaq Global Select Market or The Nasdaq Capital Market (or any of their respective successors).</w:t>
      </w:r>
    </w:p>
    <w:p>
      <w:pPr>
        <w:spacing w:after="0" w:line="131"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 xml:space="preserve">If any transaction in which the Common Stock is replaced by the common stock or other Common Equity of another entity occurs, following any related Fundamental Change Repurchase Date (or, in the case of a transaction that would have been a Fundamental Change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(b) of this definition, following the effective date of such transaction), references to the Company in this definition shall instead be references to such other entity.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shall have the meaning specified in Section 15.02(c).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00" w:top="1440" w:right="339" w:bottom="1440" w:gutter="0" w:footer="0" w:header="0"/>
        </w:sectPr>
      </w:pPr>
    </w:p>
    <w:bookmarkStart w:id="29" w:name="page30"/>
    <w:bookmarkEnd w:id="29"/>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 Repurchase Date</w:t>
      </w:r>
      <w:r>
        <w:rPr>
          <w:rFonts w:ascii="Arial" w:cs="Arial" w:eastAsia="Arial" w:hAnsi="Arial"/>
          <w:sz w:val="17"/>
          <w:szCs w:val="17"/>
          <w:color w:val="auto"/>
        </w:rPr>
        <w:t>” shall have the meaning specified in Section 15.02(a).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shall have the meaning specified in Section 15.02(b)(i).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 Repurchase Price</w:t>
      </w:r>
      <w:r>
        <w:rPr>
          <w:rFonts w:ascii="Arial" w:cs="Arial" w:eastAsia="Arial" w:hAnsi="Arial"/>
          <w:sz w:val="17"/>
          <w:szCs w:val="17"/>
          <w:color w:val="auto"/>
        </w:rPr>
        <w:t>” shall have the meaning specified in Section 15.02(a).</w:t>
      </w:r>
    </w:p>
    <w:p>
      <w:pPr>
        <w:spacing w:after="0" w:line="176" w:lineRule="exact"/>
        <w:rPr>
          <w:sz w:val="20"/>
          <w:szCs w:val="20"/>
          <w:color w:val="auto"/>
        </w:rPr>
      </w:pPr>
    </w:p>
    <w:p>
      <w:pPr>
        <w:ind w:firstLine="509"/>
        <w:spacing w:after="0" w:line="296" w:lineRule="auto"/>
        <w:rPr>
          <w:sz w:val="20"/>
          <w:szCs w:val="20"/>
          <w:color w:val="auto"/>
        </w:rPr>
      </w:pPr>
      <w:r>
        <w:rPr>
          <w:rFonts w:ascii="Arial" w:cs="Arial" w:eastAsia="Arial" w:hAnsi="Arial"/>
          <w:sz w:val="15"/>
          <w:szCs w:val="15"/>
          <w:color w:val="auto"/>
        </w:rPr>
        <w:t>The terms “</w:t>
      </w:r>
      <w:r>
        <w:rPr>
          <w:rFonts w:ascii="Arial" w:cs="Arial" w:eastAsia="Arial" w:hAnsi="Arial"/>
          <w:sz w:val="15"/>
          <w:szCs w:val="15"/>
          <w:b w:val="1"/>
          <w:bCs w:val="1"/>
          <w:color w:val="auto"/>
        </w:rPr>
        <w:t>given</w:t>
      </w:r>
      <w:r>
        <w:rPr>
          <w:rFonts w:ascii="Arial" w:cs="Arial" w:eastAsia="Arial" w:hAnsi="Arial"/>
          <w:sz w:val="15"/>
          <w:szCs w:val="15"/>
          <w:color w:val="auto"/>
        </w:rPr>
        <w:t>”, “</w:t>
      </w:r>
      <w:r>
        <w:rPr>
          <w:rFonts w:ascii="Arial" w:cs="Arial" w:eastAsia="Arial" w:hAnsi="Arial"/>
          <w:sz w:val="15"/>
          <w:szCs w:val="15"/>
          <w:b w:val="1"/>
          <w:bCs w:val="1"/>
          <w:color w:val="auto"/>
        </w:rPr>
        <w:t>mailed</w:t>
      </w:r>
      <w:r>
        <w:rPr>
          <w:rFonts w:ascii="Arial" w:cs="Arial" w:eastAsia="Arial" w:hAnsi="Arial"/>
          <w:sz w:val="15"/>
          <w:szCs w:val="15"/>
          <w:color w:val="auto"/>
        </w:rPr>
        <w:t>”, “</w:t>
      </w:r>
      <w:r>
        <w:rPr>
          <w:rFonts w:ascii="Arial" w:cs="Arial" w:eastAsia="Arial" w:hAnsi="Arial"/>
          <w:sz w:val="15"/>
          <w:szCs w:val="15"/>
          <w:b w:val="1"/>
          <w:bCs w:val="1"/>
          <w:color w:val="auto"/>
        </w:rPr>
        <w:t>notify</w:t>
      </w:r>
      <w:r>
        <w:rPr>
          <w:rFonts w:ascii="Arial" w:cs="Arial" w:eastAsia="Arial" w:hAnsi="Arial"/>
          <w:sz w:val="15"/>
          <w:szCs w:val="15"/>
          <w:color w:val="auto"/>
        </w:rPr>
        <w:t>” or “</w:t>
      </w:r>
      <w:r>
        <w:rPr>
          <w:rFonts w:ascii="Arial" w:cs="Arial" w:eastAsia="Arial" w:hAnsi="Arial"/>
          <w:sz w:val="15"/>
          <w:szCs w:val="15"/>
          <w:b w:val="1"/>
          <w:bCs w:val="1"/>
          <w:color w:val="auto"/>
        </w:rPr>
        <w:t>sent</w:t>
      </w:r>
      <w:r>
        <w:rPr>
          <w:rFonts w:ascii="Arial" w:cs="Arial" w:eastAsia="Arial" w:hAnsi="Arial"/>
          <w:sz w:val="15"/>
          <w:szCs w:val="15"/>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or sent electronically to an email address specified by the Company to the Trustee and the Holders (in the case of a Physical Note), in each case, in accordance with Section 17.03. Notice so “given” shall be deemed to include any notice to be “mailed” or “delivered,” as applicable, under this Indenture.</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Global Note</w:t>
      </w:r>
      <w:r>
        <w:rPr>
          <w:rFonts w:ascii="Arial" w:cs="Arial" w:eastAsia="Arial" w:hAnsi="Arial"/>
          <w:sz w:val="17"/>
          <w:szCs w:val="17"/>
          <w:color w:val="auto"/>
        </w:rPr>
        <w:t>” shall have the meaning specified in Section 2.05(b).</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shall have the meaning specified in Section 14.02(a)(vi).</w:t>
      </w:r>
    </w:p>
    <w:p>
      <w:pPr>
        <w:spacing w:after="0" w:line="176" w:lineRule="exact"/>
        <w:rPr>
          <w:sz w:val="20"/>
          <w:szCs w:val="20"/>
          <w:color w:val="auto"/>
        </w:rPr>
      </w:pPr>
    </w:p>
    <w:p>
      <w:pPr>
        <w:ind w:right="24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Entity</w:t>
      </w:r>
      <w:r>
        <w:rPr>
          <w:rFonts w:ascii="Arial" w:cs="Arial" w:eastAsia="Arial" w:hAnsi="Arial"/>
          <w:sz w:val="17"/>
          <w:szCs w:val="17"/>
          <w:color w:val="auto"/>
        </w:rPr>
        <w:t>” means any court, administrative agency or commission or other governmental authority or instrumentality, whether federal, state, local or foreign, and any applicable self-regulatory organization (including The Nasdaq Capital Market).</w:t>
      </w:r>
    </w:p>
    <w:p>
      <w:pPr>
        <w:spacing w:after="0" w:line="123" w:lineRule="exact"/>
        <w:rPr>
          <w:sz w:val="20"/>
          <w:szCs w:val="20"/>
          <w:color w:val="auto"/>
        </w:rPr>
      </w:pPr>
    </w:p>
    <w:p>
      <w:pPr>
        <w:ind w:right="6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w:t>
      </w:r>
      <w:r>
        <w:rPr>
          <w:rFonts w:ascii="Arial" w:cs="Arial" w:eastAsia="Arial" w:hAnsi="Arial"/>
          <w:sz w:val="17"/>
          <w:szCs w:val="17"/>
          <w:color w:val="auto"/>
        </w:rPr>
        <w:t>,” as applied to any Note, or other similar terms (but excluding the term “beneficial holder”), means any Person in whose name at the time a particular Note is registered on the Note Register.</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amended or supplemented from time to time.</w:t>
      </w:r>
    </w:p>
    <w:p>
      <w:pPr>
        <w:spacing w:after="0" w:line="176" w:lineRule="exact"/>
        <w:rPr>
          <w:sz w:val="20"/>
          <w:szCs w:val="20"/>
          <w:color w:val="auto"/>
        </w:rPr>
      </w:pPr>
    </w:p>
    <w:p>
      <w:pPr>
        <w:ind w:right="1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Principal Amount</w:t>
      </w:r>
      <w:r>
        <w:rPr>
          <w:rFonts w:ascii="Arial" w:cs="Arial" w:eastAsia="Arial" w:hAnsi="Arial"/>
          <w:sz w:val="17"/>
          <w:szCs w:val="17"/>
          <w:color w:val="auto"/>
        </w:rPr>
        <w:t>” of any Note means the principal amount of such Note at the time of original issuance of such Note. For the avoidance of doubt, the “</w:t>
      </w:r>
      <w:r>
        <w:rPr>
          <w:rFonts w:ascii="Arial" w:cs="Arial" w:eastAsia="Arial" w:hAnsi="Arial"/>
          <w:sz w:val="17"/>
          <w:szCs w:val="17"/>
          <w:b w:val="1"/>
          <w:bCs w:val="1"/>
          <w:color w:val="auto"/>
        </w:rPr>
        <w:t>Initial Principal Amount</w:t>
      </w:r>
      <w:r>
        <w:rPr>
          <w:rFonts w:ascii="Arial" w:cs="Arial" w:eastAsia="Arial" w:hAnsi="Arial"/>
          <w:sz w:val="17"/>
          <w:szCs w:val="17"/>
          <w:color w:val="auto"/>
        </w:rPr>
        <w:t>” of each minimum denomination of Notes on the Issue Date shall be $1,000.</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each June 30 and December 30 of each year, beginning on December 30, 2021.</w:t>
      </w:r>
    </w:p>
    <w:p>
      <w:pPr>
        <w:spacing w:after="0" w:line="176" w:lineRule="exact"/>
        <w:rPr>
          <w:sz w:val="20"/>
          <w:szCs w:val="20"/>
          <w:color w:val="auto"/>
        </w:rPr>
      </w:pPr>
    </w:p>
    <w:p>
      <w:pPr>
        <w:ind w:right="18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PIK Date</w:t>
      </w:r>
      <w:r>
        <w:rPr>
          <w:rFonts w:ascii="Arial" w:cs="Arial" w:eastAsia="Arial" w:hAnsi="Arial"/>
          <w:sz w:val="17"/>
          <w:szCs w:val="17"/>
          <w:color w:val="auto"/>
        </w:rPr>
        <w:t>” means each Interest Payment Date with respect to which the Company elects (or is deemed to have elected) to pay interest accrued on the Notes to, but excluding, such Interest Payment Date by the Capitalization Method pursuant to Section 2.03(d)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00" w:top="1440" w:right="339" w:bottom="1440" w:gutter="0" w:footer="0" w:header="0"/>
        </w:sectPr>
      </w:pPr>
    </w:p>
    <w:bookmarkStart w:id="30" w:name="page31"/>
    <w:bookmarkEnd w:id="30"/>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Date</w:t>
      </w:r>
      <w:r>
        <w:rPr>
          <w:rFonts w:ascii="Arial" w:cs="Arial" w:eastAsia="Arial" w:hAnsi="Arial"/>
          <w:sz w:val="17"/>
          <w:szCs w:val="17"/>
          <w:color w:val="auto"/>
        </w:rPr>
        <w:t>” means July 7, 2021.</w:t>
      </w:r>
    </w:p>
    <w:p>
      <w:pPr>
        <w:spacing w:after="0" w:line="17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Reported Sale Price</w:t>
      </w:r>
      <w:r>
        <w:rPr>
          <w:rFonts w:ascii="Arial" w:cs="Arial" w:eastAsia="Arial" w:hAnsi="Arial"/>
          <w:sz w:val="16"/>
          <w:szCs w:val="16"/>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last quoted bid price for the Common Stock in the over-the-counter market on the relevant date as reported by OTC Markets Group Inc. or a similar organization. If the Common Stock is not so quoted,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average of the mid-point of the last bid and ask prices for the Common Stock on the relevant date from a nationally recognized independent investment banking firm selected by the Company for this purpose.</w:t>
      </w:r>
    </w:p>
    <w:p>
      <w:pPr>
        <w:spacing w:after="0" w:line="132"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means June 30, 2026.</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Event</w:t>
      </w:r>
      <w:r>
        <w:rPr>
          <w:rFonts w:ascii="Arial" w:cs="Arial" w:eastAsia="Arial" w:hAnsi="Arial"/>
          <w:sz w:val="17"/>
          <w:szCs w:val="17"/>
          <w:color w:val="auto"/>
        </w:rPr>
        <w:t>” shall have the meaning specified in Section 14.06(a).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w:t>
      </w:r>
      <w:r>
        <w:rPr>
          <w:rFonts w:ascii="Arial" w:cs="Arial" w:eastAsia="Arial" w:hAnsi="Arial"/>
          <w:sz w:val="17"/>
          <w:szCs w:val="17"/>
          <w:color w:val="auto"/>
        </w:rPr>
        <w:t>” or “</w:t>
      </w:r>
      <w:r>
        <w:rPr>
          <w:rFonts w:ascii="Arial" w:cs="Arial" w:eastAsia="Arial" w:hAnsi="Arial"/>
          <w:sz w:val="17"/>
          <w:szCs w:val="17"/>
          <w:b w:val="1"/>
          <w:bCs w:val="1"/>
          <w:color w:val="auto"/>
        </w:rPr>
        <w:t>Notes</w:t>
      </w:r>
      <w:r>
        <w:rPr>
          <w:rFonts w:ascii="Arial" w:cs="Arial" w:eastAsia="Arial" w:hAnsi="Arial"/>
          <w:sz w:val="17"/>
          <w:szCs w:val="17"/>
          <w:color w:val="auto"/>
        </w:rPr>
        <w:t>” shall have the meaning specified in the first paragraph of the recitals of this Indenture.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Register</w:t>
      </w:r>
      <w:r>
        <w:rPr>
          <w:rFonts w:ascii="Arial" w:cs="Arial" w:eastAsia="Arial" w:hAnsi="Arial"/>
          <w:sz w:val="17"/>
          <w:szCs w:val="17"/>
          <w:color w:val="auto"/>
        </w:rPr>
        <w:t>” shall have the meaning specified in Section 2.05(a).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Registrar</w:t>
      </w:r>
      <w:r>
        <w:rPr>
          <w:rFonts w:ascii="Arial" w:cs="Arial" w:eastAsia="Arial" w:hAnsi="Arial"/>
          <w:sz w:val="17"/>
          <w:szCs w:val="17"/>
          <w:color w:val="auto"/>
        </w:rPr>
        <w:t>” shall have the meaning specified in Section 2.05(a).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Conversion</w:t>
      </w:r>
      <w:r>
        <w:rPr>
          <w:rFonts w:ascii="Arial" w:cs="Arial" w:eastAsia="Arial" w:hAnsi="Arial"/>
          <w:sz w:val="17"/>
          <w:szCs w:val="17"/>
          <w:color w:val="auto"/>
        </w:rPr>
        <w:t>” shall have the meaning specified in Section 14.02(b).</w:t>
      </w:r>
    </w:p>
    <w:p>
      <w:pPr>
        <w:spacing w:after="0" w:line="1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with respect to any Note surrendered for conversion means: (i) subject to clause (ii), if the relevant Conversion Date occurs prior to the Cut-off Date, the 40 consecutive Trading Days beginning on, and including, the third Trading Day immediately succeeding such Conversion Date; (ii) if the relevant Conversion Date occurs on or after the date of the Company’s issuance of a Redemption Notice with respect to the Notes pursuant to Section 16.02 and prior to the relevant Redemption Date, the 40 consecutive Trading Days beginning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80"/>
          </w:cols>
          <w:pgMar w:left="300" w:top="1440" w:right="319" w:bottom="1440" w:gutter="0" w:footer="0" w:header="0"/>
        </w:sectPr>
      </w:pPr>
    </w:p>
    <w:bookmarkStart w:id="31" w:name="page32"/>
    <w:bookmarkEnd w:id="31"/>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and including, the 42nd Scheduled Trading Day immediately preceding such Redemption Date; and (iii) subject to clause (ii), if the relevant Conversion Date occurs on or after the Cut-off Date, the 40 consecutive Trading Days beginning on, and including, the 42nd Scheduled Trading Day immediately preceding the Maturity Date.</w:t>
      </w:r>
    </w:p>
    <w:p>
      <w:pPr>
        <w:spacing w:after="0" w:line="138"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w:t>
      </w:r>
      <w:r>
        <w:rPr>
          <w:rFonts w:ascii="Arial" w:cs="Arial" w:eastAsia="Arial" w:hAnsi="Arial"/>
          <w:sz w:val="17"/>
          <w:szCs w:val="17"/>
          <w:color w:val="auto"/>
        </w:rPr>
        <w:t>” means, with respect to the Company, the President, the Chief Executive Officer, the Chief Financial Officer, the Chief Operating Officer, the Treasurer, the Secretary, any Executive or Senior Vice President or any Vice President (whether or not designated by a number or numbers or word or words added before or after the title “Vice President”).</w:t>
      </w:r>
    </w:p>
    <w:p>
      <w:pPr>
        <w:spacing w:after="0" w:line="134" w:lineRule="exact"/>
        <w:rPr>
          <w:sz w:val="20"/>
          <w:szCs w:val="20"/>
          <w:color w:val="auto"/>
        </w:rPr>
      </w:pPr>
    </w:p>
    <w:p>
      <w:pPr>
        <w:ind w:right="60" w:firstLine="50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open of business</w:t>
      </w:r>
      <w:r>
        <w:rPr>
          <w:rFonts w:ascii="Arial" w:cs="Arial" w:eastAsia="Arial" w:hAnsi="Arial"/>
          <w:sz w:val="17"/>
          <w:szCs w:val="17"/>
          <w:color w:val="auto"/>
        </w:rPr>
        <w:t>” means 9:00 a.m. (New York City time).</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an opinion in writing signed by legal counsel, who may be an employee of or counsel to the Company, or other counsel acceptable to the Trustee, that is delivered to the Trustee. Each such opinion shall include the statements provided for in Section 17.05 if and to the extent required by the provisions of such Section 17.05.</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Optional Redemption</w:t>
      </w:r>
      <w:r>
        <w:rPr>
          <w:rFonts w:ascii="Arial" w:cs="Arial" w:eastAsia="Arial" w:hAnsi="Arial"/>
          <w:sz w:val="17"/>
          <w:szCs w:val="17"/>
          <w:color w:val="auto"/>
        </w:rPr>
        <w:t>” shall have the meaning specified in Section 16.01.</w:t>
      </w:r>
    </w:p>
    <w:p>
      <w:pPr>
        <w:spacing w:after="0" w:line="176" w:lineRule="exact"/>
        <w:rPr>
          <w:sz w:val="20"/>
          <w:szCs w:val="20"/>
          <w:color w:val="auto"/>
        </w:rPr>
      </w:pPr>
    </w:p>
    <w:p>
      <w:pPr>
        <w:ind w:right="2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when used with reference to Notes, shall, subject to the provisions of Section 8.04, mean, as of any particular time, all Notes authenticated and delivered by the Trustee under this Indenture, except:</w:t>
      </w:r>
    </w:p>
    <w:p>
      <w:pPr>
        <w:spacing w:after="0" w:line="127" w:lineRule="exact"/>
        <w:rPr>
          <w:sz w:val="20"/>
          <w:szCs w:val="20"/>
          <w:color w:val="auto"/>
        </w:rPr>
      </w:pPr>
    </w:p>
    <w:p>
      <w:pPr>
        <w:ind w:left="1380" w:hanging="357"/>
        <w:spacing w:after="0"/>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Notes theretofore canceled by the Trustee or accepted by the Trustee for cancellation;</w:t>
      </w:r>
    </w:p>
    <w:p>
      <w:pPr>
        <w:spacing w:after="0" w:line="175" w:lineRule="exact"/>
        <w:rPr>
          <w:rFonts w:ascii="Arial" w:cs="Arial" w:eastAsia="Arial" w:hAnsi="Arial"/>
          <w:sz w:val="17"/>
          <w:szCs w:val="17"/>
          <w:color w:val="auto"/>
        </w:rPr>
      </w:pPr>
    </w:p>
    <w:p>
      <w:pPr>
        <w:ind w:left="520" w:right="80" w:firstLine="503"/>
        <w:spacing w:after="0" w:line="259" w:lineRule="auto"/>
        <w:tabs>
          <w:tab w:leader="none" w:pos="1397"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41" w:lineRule="exact"/>
        <w:rPr>
          <w:rFonts w:ascii="Arial" w:cs="Arial" w:eastAsia="Arial" w:hAnsi="Arial"/>
          <w:sz w:val="17"/>
          <w:szCs w:val="17"/>
          <w:color w:val="auto"/>
        </w:rPr>
      </w:pPr>
    </w:p>
    <w:p>
      <w:pPr>
        <w:ind w:left="520" w:right="640" w:firstLine="503"/>
        <w:spacing w:after="0" w:line="259" w:lineRule="auto"/>
        <w:tabs>
          <w:tab w:leader="none" w:pos="1387"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41" w:lineRule="exact"/>
        <w:rPr>
          <w:rFonts w:ascii="Arial" w:cs="Arial" w:eastAsia="Arial" w:hAnsi="Arial"/>
          <w:sz w:val="17"/>
          <w:szCs w:val="17"/>
          <w:color w:val="auto"/>
        </w:rPr>
      </w:pPr>
    </w:p>
    <w:p>
      <w:pPr>
        <w:ind w:left="1400" w:hanging="377"/>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Notes converted pursuant to Article 14 and required to be cancelled pursuant to Section 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300" w:top="1440" w:right="339" w:bottom="1440" w:gutter="0" w:footer="0" w:header="0"/>
        </w:sectPr>
      </w:pPr>
    </w:p>
    <w:bookmarkStart w:id="32" w:name="page33"/>
    <w:bookmarkEnd w:id="32"/>
    <w:p>
      <w:pPr>
        <w:spacing w:after="0" w:line="84" w:lineRule="exact"/>
        <w:rPr>
          <w:sz w:val="20"/>
          <w:szCs w:val="20"/>
          <w:color w:val="auto"/>
        </w:rPr>
      </w:pPr>
    </w:p>
    <w:p>
      <w:pPr>
        <w:ind w:left="1380" w:hanging="357"/>
        <w:spacing w:after="0"/>
        <w:tabs>
          <w:tab w:leader="none" w:pos="1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Notes redeemed pursuant to Article 16; and</w:t>
      </w:r>
    </w:p>
    <w:p>
      <w:pPr>
        <w:spacing w:after="0" w:line="175" w:lineRule="exact"/>
        <w:rPr>
          <w:rFonts w:ascii="Arial" w:cs="Arial" w:eastAsia="Arial" w:hAnsi="Arial"/>
          <w:sz w:val="17"/>
          <w:szCs w:val="17"/>
          <w:color w:val="auto"/>
        </w:rPr>
      </w:pPr>
    </w:p>
    <w:p>
      <w:pPr>
        <w:ind w:left="520" w:right="3860" w:firstLine="503"/>
        <w:spacing w:after="0" w:line="453" w:lineRule="auto"/>
        <w:tabs>
          <w:tab w:leader="none" w:pos="1369"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Notes repurchased by the Company pursuant to the penultimate sentence of Section 2.10. “</w:t>
      </w:r>
      <w:r>
        <w:rPr>
          <w:rFonts w:ascii="Arial" w:cs="Arial" w:eastAsia="Arial" w:hAnsi="Arial"/>
          <w:sz w:val="17"/>
          <w:szCs w:val="17"/>
          <w:b w:val="1"/>
          <w:bCs w:val="1"/>
          <w:color w:val="auto"/>
        </w:rPr>
        <w:t>Paying Agent</w:t>
      </w:r>
      <w:r>
        <w:rPr>
          <w:rFonts w:ascii="Arial" w:cs="Arial" w:eastAsia="Arial" w:hAnsi="Arial"/>
          <w:sz w:val="17"/>
          <w:szCs w:val="17"/>
          <w:color w:val="auto"/>
        </w:rPr>
        <w:t>” shall have the meaning specified in Section 4.02.</w:t>
      </w:r>
    </w:p>
    <w:p>
      <w:pPr>
        <w:spacing w:after="0" w:line="1" w:lineRule="exact"/>
        <w:rPr>
          <w:sz w:val="20"/>
          <w:szCs w:val="20"/>
          <w:color w:val="auto"/>
        </w:rPr>
      </w:pPr>
    </w:p>
    <w:p>
      <w:pPr>
        <w:ind w:right="4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Physical Notes</w:t>
      </w:r>
      <w:r>
        <w:rPr>
          <w:rFonts w:ascii="Arial" w:cs="Arial" w:eastAsia="Arial" w:hAnsi="Arial"/>
          <w:sz w:val="15"/>
          <w:szCs w:val="15"/>
          <w:color w:val="auto"/>
        </w:rPr>
        <w:t>” means permanent certificated Notes in registered form issued in denominations of $1.00 principal amount and integral multiples thereof.</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Physical Settlement</w:t>
      </w:r>
      <w:r>
        <w:rPr>
          <w:rFonts w:ascii="Arial" w:cs="Arial" w:eastAsia="Arial" w:hAnsi="Arial"/>
          <w:sz w:val="17"/>
          <w:szCs w:val="17"/>
          <w:color w:val="auto"/>
        </w:rPr>
        <w:t>” shall have the meaning specified in Section 14.02(a).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PIK Interest</w:t>
      </w:r>
      <w:r>
        <w:rPr>
          <w:rFonts w:ascii="Arial" w:cs="Arial" w:eastAsia="Arial" w:hAnsi="Arial"/>
          <w:sz w:val="17"/>
          <w:szCs w:val="17"/>
          <w:color w:val="auto"/>
        </w:rPr>
        <w:t>” means any interest paid pursuant to Section 2.03(d) by the Capitalization Method or by the issuance of PIK Notes.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PIK Interest Rate</w:t>
      </w:r>
      <w:r>
        <w:rPr>
          <w:rFonts w:ascii="Arial" w:cs="Arial" w:eastAsia="Arial" w:hAnsi="Arial"/>
          <w:sz w:val="17"/>
          <w:szCs w:val="17"/>
          <w:color w:val="auto"/>
        </w:rPr>
        <w:t>” means 6.00% per annum.</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PIK Notes</w:t>
      </w:r>
      <w:r>
        <w:rPr>
          <w:rFonts w:ascii="Arial" w:cs="Arial" w:eastAsia="Arial" w:hAnsi="Arial"/>
          <w:sz w:val="17"/>
          <w:szCs w:val="17"/>
          <w:color w:val="auto"/>
        </w:rPr>
        <w:t>” shall have the meaning specified in Section 2.03(d)(ii).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PIK Payment</w:t>
      </w:r>
      <w:r>
        <w:rPr>
          <w:rFonts w:ascii="Arial" w:cs="Arial" w:eastAsia="Arial" w:hAnsi="Arial"/>
          <w:sz w:val="17"/>
          <w:szCs w:val="17"/>
          <w:color w:val="auto"/>
        </w:rPr>
        <w:t>” means the payment of any PIK Interest on the Notes.</w:t>
      </w:r>
    </w:p>
    <w:p>
      <w:pPr>
        <w:spacing w:after="0" w:line="176"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34"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Record Date</w:t>
      </w:r>
      <w:r>
        <w:rPr>
          <w:rFonts w:ascii="Arial" w:cs="Arial" w:eastAsia="Arial" w:hAnsi="Arial"/>
          <w:sz w:val="16"/>
          <w:szCs w:val="16"/>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Date</w:t>
      </w:r>
      <w:r>
        <w:rPr>
          <w:rFonts w:ascii="Arial" w:cs="Arial" w:eastAsia="Arial" w:hAnsi="Arial"/>
          <w:sz w:val="17"/>
          <w:szCs w:val="17"/>
          <w:color w:val="auto"/>
        </w:rPr>
        <w:t>” shall have the meaning specified in Section 16.02(a).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w:t>
      </w:r>
      <w:r>
        <w:rPr>
          <w:rFonts w:ascii="Arial" w:cs="Arial" w:eastAsia="Arial" w:hAnsi="Arial"/>
          <w:sz w:val="17"/>
          <w:szCs w:val="17"/>
          <w:color w:val="auto"/>
        </w:rPr>
        <w:t>” shall have the meaning specified in Section 16.02(a).</w:t>
      </w:r>
    </w:p>
    <w:p>
      <w:pPr>
        <w:spacing w:after="0" w:line="176" w:lineRule="exact"/>
        <w:rPr>
          <w:sz w:val="20"/>
          <w:szCs w:val="20"/>
          <w:color w:val="auto"/>
        </w:rPr>
      </w:pPr>
    </w:p>
    <w:p>
      <w:pPr>
        <w:ind w:right="3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for any Notes to be redeemed pursuant to Section 16.01, 100% of the Capitalized Principal Amount of such Notes,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interest that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80"/>
          </w:cols>
          <w:pgMar w:left="300" w:top="1440" w:right="319" w:bottom="1440" w:gutter="0" w:footer="0" w:header="0"/>
        </w:sectPr>
      </w:pPr>
    </w:p>
    <w:bookmarkStart w:id="33" w:name="page34"/>
    <w:bookmarkEnd w:id="33"/>
    <w:p>
      <w:pPr>
        <w:spacing w:after="0" w:line="84"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been paid or capitalized, if any, to, but excluding, the Redemption Date (unless the Redemption Date falls after a Regular Record Date but on or prior to the immediately succeeding Interest Payment Date, in which case interest accrued to the Interest Payment Date will be paid in cash at the Cash Interest Rate to Holders of record of such Notes as of the close of business on such Regular Record Date (notwithstanding any prior election (or deemed election) by the Company to pay such interest pursuant to the Capitalization Method), and the Redemption Price will be equal to 100% of the Capitalized Principal Amount of such Notes).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Property</w:t>
      </w:r>
      <w:r>
        <w:rPr>
          <w:rFonts w:ascii="Arial" w:cs="Arial" w:eastAsia="Arial" w:hAnsi="Arial"/>
          <w:sz w:val="17"/>
          <w:szCs w:val="17"/>
          <w:color w:val="auto"/>
        </w:rPr>
        <w:t>” shall have the meaning specified in Section 14.06(a).</w:t>
      </w:r>
    </w:p>
    <w:p>
      <w:pPr>
        <w:spacing w:after="0" w:line="176" w:lineRule="exact"/>
        <w:rPr>
          <w:sz w:val="20"/>
          <w:szCs w:val="20"/>
          <w:color w:val="auto"/>
        </w:rPr>
      </w:pPr>
    </w:p>
    <w:p>
      <w:pPr>
        <w:ind w:right="66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Regular Record Date</w:t>
      </w:r>
      <w:r>
        <w:rPr>
          <w:rFonts w:ascii="Arial" w:cs="Arial" w:eastAsia="Arial" w:hAnsi="Arial"/>
          <w:sz w:val="17"/>
          <w:szCs w:val="17"/>
          <w:color w:val="auto"/>
        </w:rPr>
        <w:t>,” with respect to any Interest Payment Date, means the June 15 or December 15 (whether or not such day is a Business Day) immediately preceding the applicable June 30 or December 30 Interest Payment Date, respectively.</w:t>
      </w:r>
    </w:p>
    <w:p>
      <w:pPr>
        <w:spacing w:after="0" w:line="123" w:lineRule="exact"/>
        <w:rPr>
          <w:sz w:val="20"/>
          <w:szCs w:val="20"/>
          <w:color w:val="auto"/>
        </w:rPr>
      </w:pPr>
    </w:p>
    <w:p>
      <w:pPr>
        <w:ind w:firstLine="509"/>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Securities</w:t>
      </w:r>
      <w:r>
        <w:rPr>
          <w:rFonts w:ascii="Arial" w:cs="Arial" w:eastAsia="Arial" w:hAnsi="Arial"/>
          <w:sz w:val="17"/>
          <w:szCs w:val="17"/>
          <w:color w:val="auto"/>
        </w:rPr>
        <w:t>” shall have the meaning specified in Section 2.05(c).</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w:t>
      </w:r>
      <w:r>
        <w:rPr>
          <w:rFonts w:ascii="Arial" w:cs="Arial" w:eastAsia="Arial" w:hAnsi="Arial"/>
          <w:sz w:val="17"/>
          <w:szCs w:val="17"/>
          <w:color w:val="auto"/>
        </w:rPr>
        <w:t>” means Rule 144 as promulgated under the Securities Act.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144A</w:t>
      </w:r>
      <w:r>
        <w:rPr>
          <w:rFonts w:ascii="Arial" w:cs="Arial" w:eastAsia="Arial" w:hAnsi="Arial"/>
          <w:sz w:val="17"/>
          <w:szCs w:val="17"/>
          <w:color w:val="auto"/>
        </w:rPr>
        <w:t>” means Rule 144A as promulgated under the Securities Act.</w:t>
      </w:r>
    </w:p>
    <w:p>
      <w:pPr>
        <w:spacing w:after="0" w:line="176"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Scheduled Trading Day</w:t>
      </w:r>
      <w:r>
        <w:rPr>
          <w:rFonts w:ascii="Arial" w:cs="Arial" w:eastAsia="Arial" w:hAnsi="Arial"/>
          <w:sz w:val="17"/>
          <w:szCs w:val="17"/>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7"/>
          <w:szCs w:val="17"/>
          <w:b w:val="1"/>
          <w:bCs w:val="1"/>
          <w:color w:val="auto"/>
        </w:rPr>
        <w:t>Scheduled Trading Day</w:t>
      </w:r>
      <w:r>
        <w:rPr>
          <w:rFonts w:ascii="Arial" w:cs="Arial" w:eastAsia="Arial" w:hAnsi="Arial"/>
          <w:sz w:val="17"/>
          <w:szCs w:val="17"/>
          <w:color w:val="auto"/>
        </w:rPr>
        <w:t>” means a Business Day.</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Amount</w:t>
      </w:r>
      <w:r>
        <w:rPr>
          <w:rFonts w:ascii="Arial" w:cs="Arial" w:eastAsia="Arial" w:hAnsi="Arial"/>
          <w:sz w:val="17"/>
          <w:szCs w:val="17"/>
          <w:color w:val="auto"/>
        </w:rPr>
        <w:t>” shall have the meaning specified in Section 14.02(a)(iv).</w:t>
      </w:r>
    </w:p>
    <w:p>
      <w:pPr>
        <w:spacing w:after="0" w:line="176" w:lineRule="exact"/>
        <w:rPr>
          <w:sz w:val="20"/>
          <w:szCs w:val="20"/>
          <w:color w:val="auto"/>
        </w:rPr>
      </w:pPr>
    </w:p>
    <w:p>
      <w:pPr>
        <w:ind w:right="48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Method</w:t>
      </w:r>
      <w:r>
        <w:rPr>
          <w:rFonts w:ascii="Arial" w:cs="Arial" w:eastAsia="Arial" w:hAnsi="Arial"/>
          <w:sz w:val="17"/>
          <w:szCs w:val="17"/>
          <w:color w:val="auto"/>
        </w:rPr>
        <w:t>” means, with respect to any conversion of Notes, Physical Settlement, Cash Settlement or Combination Settlement, as elected (or deemed to have been elected) by the Company.</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Notice</w:t>
      </w:r>
      <w:r>
        <w:rPr>
          <w:rFonts w:ascii="Arial" w:cs="Arial" w:eastAsia="Arial" w:hAnsi="Arial"/>
          <w:sz w:val="17"/>
          <w:szCs w:val="17"/>
          <w:color w:val="auto"/>
        </w:rPr>
        <w:t>” shall have the meaning specified in Section 14.02(a)(iii).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80"/>
          </w:cols>
          <w:pgMar w:left="300" w:top="1440" w:right="319" w:bottom="1440" w:gutter="0" w:footer="0" w:header="0"/>
        </w:sectPr>
      </w:pPr>
    </w:p>
    <w:bookmarkStart w:id="34" w:name="page35"/>
    <w:bookmarkEnd w:id="34"/>
    <w:p>
      <w:pPr>
        <w:spacing w:after="0" w:line="80" w:lineRule="exact"/>
        <w:rPr>
          <w:sz w:val="20"/>
          <w:szCs w:val="20"/>
          <w:color w:val="auto"/>
        </w:rPr>
      </w:pPr>
    </w:p>
    <w:p>
      <w:pPr>
        <w:ind w:right="120"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 Subsidiary of the Company that meets the definition of “significant subsidiary” in Article 1, Rule 1-02 of Regulation S-X under the Exchange Act.</w:t>
      </w:r>
    </w:p>
    <w:p>
      <w:pPr>
        <w:spacing w:after="0" w:line="123"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Dollar Amount</w:t>
      </w:r>
      <w:r>
        <w:rPr>
          <w:rFonts w:ascii="Arial" w:cs="Arial" w:eastAsia="Arial" w:hAnsi="Arial"/>
          <w:sz w:val="17"/>
          <w:szCs w:val="17"/>
          <w:color w:val="auto"/>
        </w:rPr>
        <w:t>” means the maximum cash amount per $1,000 Capitalized Principal Amount of Notes to be received upon conversion as specified in the Settlement Notice (or deemed specified as provided in Section 14.02(a)(iii)) related to any converted Notes.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Spin-Off</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Corporation</w:t>
      </w:r>
      <w:r>
        <w:rPr>
          <w:rFonts w:ascii="Arial" w:cs="Arial" w:eastAsia="Arial" w:hAnsi="Arial"/>
          <w:sz w:val="17"/>
          <w:szCs w:val="17"/>
          <w:color w:val="auto"/>
        </w:rPr>
        <w:t>” shall have the meaning specified in Section 11.01(a).</w:t>
      </w:r>
    </w:p>
    <w:p>
      <w:pPr>
        <w:spacing w:after="0" w:line="176"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(i) trading in the Common Stock (or other security for which a closing sale price must be determined) generally occurs on The Nasdaq Capital Market or, if the Common Stock (or such other security) is not then listed on The Nasdaq Capital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Common Stock (or such other security)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determining amounts due upon conversion only,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(x) there is no Market Disruption Event and (y) trading in the Common Stock generally occurs on The Nasdaq Capital Market or, if the Common Stock is not then listed on The Nasdaq Capital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6"/>
          <w:szCs w:val="16"/>
          <w:b w:val="1"/>
          <w:bCs w:val="1"/>
          <w:color w:val="auto"/>
        </w:rPr>
        <w:t>Trading Day</w:t>
      </w:r>
      <w:r>
        <w:rPr>
          <w:rFonts w:ascii="Arial" w:cs="Arial" w:eastAsia="Arial" w:hAnsi="Arial"/>
          <w:sz w:val="16"/>
          <w:szCs w:val="16"/>
          <w:color w:val="auto"/>
        </w:rPr>
        <w:t>” means a Business Day.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shall have the meaning specified in Section 2.05(c).</w:t>
      </w:r>
    </w:p>
    <w:p>
      <w:pPr>
        <w:spacing w:after="0" w:line="176"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Rate</w:t>
      </w:r>
      <w:r>
        <w:rPr>
          <w:rFonts w:ascii="Arial" w:cs="Arial" w:eastAsia="Arial" w:hAnsi="Arial"/>
          <w:sz w:val="17"/>
          <w:szCs w:val="17"/>
          <w:color w:val="auto"/>
        </w:rPr>
        <w:t>” means, with respect to any Conversion Date, the yield to maturity of United States Treasury securities with a constant maturity (as compiled and published in the most recent Federal Reserve Statistical Release H.15 (519) that has become publicly available at least two Business Days prior to the date the Company settles its Conversion Obligation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80"/>
          </w:cols>
          <w:pgMar w:left="300" w:top="1440" w:right="319" w:bottom="1440" w:gutter="0" w:footer="0" w:header="0"/>
        </w:sectPr>
      </w:pPr>
    </w:p>
    <w:bookmarkStart w:id="35" w:name="page36"/>
    <w:bookmarkEnd w:id="35"/>
    <w:p>
      <w:pPr>
        <w:spacing w:after="0" w:line="8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respect of such Conversion Date (or, if such Statistical Release is no longer published, any publicly available source of similar market data)) most nearly equal to the period from such Conversion Date to June 30, 2026;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period from such Conversion Date to June 30, 2026 is less than one year, the “</w:t>
      </w:r>
      <w:r>
        <w:rPr>
          <w:rFonts w:ascii="Arial" w:cs="Arial" w:eastAsia="Arial" w:hAnsi="Arial"/>
          <w:sz w:val="16"/>
          <w:szCs w:val="16"/>
          <w:b w:val="1"/>
          <w:bCs w:val="1"/>
          <w:color w:val="auto"/>
        </w:rPr>
        <w:t>Treasury</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shall be the weekly average yield on actually traded United States Treasury securities adjusted to a constant maturity of one year.</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Trigger Event</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Indenture Act</w:t>
      </w:r>
      <w:r>
        <w:rPr>
          <w:rFonts w:ascii="Arial" w:cs="Arial" w:eastAsia="Arial" w:hAnsi="Arial"/>
          <w:sz w:val="17"/>
          <w:szCs w:val="17"/>
          <w:color w:val="auto"/>
        </w:rPr>
        <w:t xml:space="preserve">” means the Trust Indenture Act of 1939, as amended, as it was in force at the date of execution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the Trust Indenture Act of 1939 is amended after the date of this Indenture, the term “Trust Indenture Act” shall mean, to the extent required by such amendment, the Trust Indenture Act of 1939, as so amended.</w:t>
      </w:r>
    </w:p>
    <w:p>
      <w:pPr>
        <w:spacing w:after="0" w:line="134" w:lineRule="exact"/>
        <w:rPr>
          <w:sz w:val="20"/>
          <w:szCs w:val="20"/>
          <w:color w:val="auto"/>
        </w:rPr>
      </w:pPr>
    </w:p>
    <w:p>
      <w:pPr>
        <w:ind w:right="140" w:firstLine="509"/>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 of Reference Property</w:t>
      </w:r>
      <w:r>
        <w:rPr>
          <w:rFonts w:ascii="Arial" w:cs="Arial" w:eastAsia="Arial" w:hAnsi="Arial"/>
          <w:sz w:val="17"/>
          <w:szCs w:val="17"/>
          <w:color w:val="auto"/>
        </w:rPr>
        <w:t>” shall have the meaning specified in Section 14.06(a).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Valuation Period</w:t>
      </w:r>
      <w:r>
        <w:rPr>
          <w:rFonts w:ascii="Arial" w:cs="Arial" w:eastAsia="Arial" w:hAnsi="Arial"/>
          <w:sz w:val="17"/>
          <w:szCs w:val="17"/>
          <w:color w:val="auto"/>
        </w:rPr>
        <w:t>” shall have the meaning specified in Section 14.03(c).</w:t>
      </w:r>
    </w:p>
    <w:p>
      <w:pPr>
        <w:spacing w:after="0" w:line="176"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43" w:lineRule="exact"/>
        <w:rPr>
          <w:sz w:val="20"/>
          <w:szCs w:val="20"/>
          <w:color w:val="auto"/>
        </w:rPr>
      </w:pPr>
    </w:p>
    <w:p>
      <w:pPr>
        <w:ind w:right="60" w:firstLine="509"/>
        <w:spacing w:after="0" w:line="300"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References to Interest.</w:t>
      </w:r>
      <w:r>
        <w:rPr>
          <w:rFonts w:ascii="Arial" w:cs="Arial" w:eastAsia="Arial" w:hAnsi="Arial"/>
          <w:sz w:val="15"/>
          <w:szCs w:val="15"/>
          <w:color w:val="auto"/>
        </w:rPr>
        <w:t xml:space="preserve"> Unless the context otherwise requires, any reference to accrued interest on, or in respect of, any Note that has not been paid or capitalized in this Indenture shall be deemed to refer to the amount of such interest that would have accrued as of the relevant time at the applicable Cash Interest Rate as if the Company had elected the Cash Method in respect of all of the relevant interest (whether or not the Company actually elected the Cash Method and notwithstanding any prior election (or deemed election) by the Company to pay such interest pursuant to the Capitalization Method).</w:t>
      </w:r>
    </w:p>
    <w:p>
      <w:pPr>
        <w:spacing w:after="0" w:line="199" w:lineRule="exact"/>
        <w:rPr>
          <w:sz w:val="20"/>
          <w:szCs w:val="20"/>
          <w:color w:val="auto"/>
        </w:rPr>
      </w:pPr>
    </w:p>
    <w:p>
      <w:pPr>
        <w:ind w:left="2880"/>
        <w:spacing w:after="0"/>
        <w:tabs>
          <w:tab w:leader="none" w:pos="3860" w:val="left"/>
        </w:tabs>
        <w:rPr>
          <w:sz w:val="20"/>
          <w:szCs w:val="20"/>
          <w:color w:val="auto"/>
        </w:rPr>
      </w:pPr>
      <w:r>
        <w:rPr>
          <w:rFonts w:ascii="Arial" w:cs="Arial" w:eastAsia="Arial" w:hAnsi="Arial"/>
          <w:sz w:val="17"/>
          <w:szCs w:val="17"/>
          <w:color w:val="auto"/>
        </w:rPr>
        <w:t>Article 2.</w:t>
      </w:r>
      <w:r>
        <w:rPr>
          <w:sz w:val="20"/>
          <w:szCs w:val="20"/>
          <w:color w:val="auto"/>
        </w:rPr>
        <w:tab/>
      </w:r>
      <w:r>
        <w:rPr>
          <w:rFonts w:ascii="Arial" w:cs="Arial" w:eastAsia="Arial" w:hAnsi="Arial"/>
          <w:sz w:val="15"/>
          <w:szCs w:val="15"/>
          <w:color w:val="auto"/>
        </w:rPr>
        <w:t>Issue, Description, Execution, Registration and Exchange of Notes</w:t>
      </w:r>
    </w:p>
    <w:p>
      <w:pPr>
        <w:spacing w:after="0" w:line="17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Designation and Amount.</w:t>
      </w:r>
      <w:r>
        <w:rPr>
          <w:rFonts w:ascii="Arial" w:cs="Arial" w:eastAsia="Arial" w:hAnsi="Arial"/>
          <w:sz w:val="17"/>
          <w:szCs w:val="17"/>
          <w:color w:val="auto"/>
        </w:rPr>
        <w:t xml:space="preserve"> The Notes shall be designated as the “5%/6% Convertible Senior PIK Toggle Notes due 2026.” The aggregate Initial Principal Amount of Notes that may be authenticated and delivered under this Indenture is initially limited to $100,000,000, subject to Section 2.10 and except for Notes authenticated and delivered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00" w:top="1440" w:right="359" w:bottom="1440" w:gutter="0" w:footer="0" w:header="0"/>
        </w:sectPr>
      </w:pPr>
    </w:p>
    <w:bookmarkStart w:id="36" w:name="page37"/>
    <w:bookmarkEnd w:id="36"/>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issuance of PIK Notes or registration or transfer of, or in exchange for, or in lieu of other Notes to the extent expressly permitted hereunder.</w:t>
      </w:r>
    </w:p>
    <w:p>
      <w:pPr>
        <w:spacing w:after="0" w:line="176" w:lineRule="exact"/>
        <w:rPr>
          <w:sz w:val="20"/>
          <w:szCs w:val="20"/>
          <w:color w:val="auto"/>
        </w:rPr>
      </w:pPr>
    </w:p>
    <w:p>
      <w:pPr>
        <w:ind w:right="280" w:firstLine="509"/>
        <w:spacing w:after="0" w:line="255"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Form of Notes.</w:t>
      </w:r>
      <w:r>
        <w:rPr>
          <w:rFonts w:ascii="Arial" w:cs="Arial" w:eastAsia="Arial" w:hAnsi="Arial"/>
          <w:sz w:val="17"/>
          <w:szCs w:val="17"/>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14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30" w:lineRule="exact"/>
        <w:rPr>
          <w:sz w:val="20"/>
          <w:szCs w:val="20"/>
          <w:color w:val="auto"/>
        </w:rPr>
      </w:pPr>
    </w:p>
    <w:p>
      <w:pPr>
        <w:ind w:right="240" w:firstLine="509"/>
        <w:spacing w:after="0" w:line="253" w:lineRule="auto"/>
        <w:rPr>
          <w:sz w:val="20"/>
          <w:szCs w:val="20"/>
          <w:color w:val="auto"/>
        </w:rPr>
      </w:pPr>
      <w:r>
        <w:rPr>
          <w:rFonts w:ascii="Arial" w:cs="Arial" w:eastAsia="Arial" w:hAnsi="Arial"/>
          <w:sz w:val="17"/>
          <w:szCs w:val="17"/>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47"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PIK Interest,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interest on, a Global Note shall be made to the Holder of such Note on the date of payment, unless a record date or other means of determining Holders eligible to receive payment is provided for herein.</w:t>
      </w:r>
    </w:p>
    <w:p>
      <w:pPr>
        <w:spacing w:after="0" w:line="139"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i w:val="1"/>
          <w:iCs w:val="1"/>
          <w:color w:val="auto"/>
        </w:rPr>
        <w:t>Date and Denomination of Notes; Payments of Interest and Defaulted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60"/>
          </w:cols>
          <w:pgMar w:left="300" w:top="1440" w:right="339" w:bottom="1440" w:gutter="0" w:footer="0" w:header="0"/>
        </w:sectPr>
      </w:pPr>
    </w:p>
    <w:bookmarkStart w:id="37" w:name="page38"/>
    <w:bookmarkEnd w:id="37"/>
    <w:p>
      <w:pPr>
        <w:spacing w:after="0" w:line="84" w:lineRule="exact"/>
        <w:rPr>
          <w:sz w:val="20"/>
          <w:szCs w:val="20"/>
          <w:color w:val="auto"/>
        </w:rPr>
      </w:pPr>
    </w:p>
    <w:p>
      <w:pPr>
        <w:ind w:left="-40" w:right="80" w:firstLine="667"/>
        <w:spacing w:after="0" w:line="276" w:lineRule="auto"/>
        <w:tabs>
          <w:tab w:leader="none" w:pos="97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Notes shall be issuable in registered form without coupons in denominations of $1.00 principal amount and integral multiples thereof. PIK Interest on the Notes shall be paid in denominations of $1.00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29" w:lineRule="exact"/>
        <w:rPr>
          <w:rFonts w:ascii="Arial" w:cs="Arial" w:eastAsia="Arial" w:hAnsi="Arial"/>
          <w:sz w:val="16"/>
          <w:szCs w:val="16"/>
          <w:color w:val="auto"/>
        </w:rPr>
      </w:pPr>
    </w:p>
    <w:p>
      <w:pPr>
        <w:ind w:left="-40" w:firstLine="667"/>
        <w:spacing w:after="0" w:line="285" w:lineRule="auto"/>
        <w:tabs>
          <w:tab w:leader="none" w:pos="97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Capitalized Principal Amount of any Note (x) in the case of any Physical Note, shall be payable at the office or agency of the Company maintained by the Company for such purposes in the continental United States of America, which shall initially be the Corporate Trust Office, or by check mailed to the Holders of these Notes at their address as it appears in the Note Register or such other means as agreed between the Company and such Holder, and (y) in the case of any Global Note, shall be payable by wire transfer of immediately available funds to the account of the Depositary or its nominee. The Company shall pay, or cause the Paying Agent to pay, cash interest when due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(or such other amount as the Company shall determine in its discretion), either by check mailed to each Holder or, upon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prior to the relevant Regular Record Date, which application shall remain in effect until the Holder notifies, in writing, the Note Registrar to the contrary or (ii) on any Global Note by wire transfer of immediately available funds to the account of the Depositary or its nominee.</w:t>
      </w:r>
    </w:p>
    <w:p>
      <w:pPr>
        <w:spacing w:after="0" w:line="127" w:lineRule="exact"/>
        <w:rPr>
          <w:rFonts w:ascii="Arial" w:cs="Arial" w:eastAsia="Arial" w:hAnsi="Arial"/>
          <w:sz w:val="15"/>
          <w:szCs w:val="15"/>
          <w:color w:val="auto"/>
        </w:rPr>
      </w:pPr>
    </w:p>
    <w:p>
      <w:pPr>
        <w:ind w:left="-40" w:right="20" w:firstLine="667"/>
        <w:spacing w:after="0" w:line="283" w:lineRule="auto"/>
        <w:tabs>
          <w:tab w:leader="none" w:pos="973"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Defaulted Amounts shall forthwith cease to be payable to the Holder on the relevant payment date but shall accrue interest per annum at the Cash Interest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23" w:lineRule="exact"/>
        <w:rPr>
          <w:rFonts w:ascii="Arial" w:cs="Arial" w:eastAsia="Arial" w:hAnsi="Arial"/>
          <w:sz w:val="16"/>
          <w:szCs w:val="16"/>
          <w:color w:val="auto"/>
        </w:rPr>
      </w:pPr>
    </w:p>
    <w:p>
      <w:pPr>
        <w:ind w:left="480" w:right="20" w:firstLine="758"/>
        <w:spacing w:after="0" w:line="255" w:lineRule="auto"/>
        <w:tabs>
          <w:tab w:leader="none" w:pos="1493"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20"/>
          </w:cols>
          <w:pgMar w:left="340" w:top="1440" w:right="339" w:bottom="1440" w:gutter="0" w:footer="0" w:header="0"/>
        </w:sectPr>
      </w:pPr>
    </w:p>
    <w:bookmarkStart w:id="38" w:name="page39"/>
    <w:bookmarkEnd w:id="38"/>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123" w:lineRule="exact"/>
        <w:rPr>
          <w:sz w:val="20"/>
          <w:szCs w:val="20"/>
          <w:color w:val="auto"/>
        </w:rPr>
      </w:pPr>
    </w:p>
    <w:p>
      <w:pPr>
        <w:ind w:right="60" w:firstLine="758"/>
        <w:spacing w:after="0" w:line="255" w:lineRule="auto"/>
        <w:tabs>
          <w:tab w:leader="none" w:pos="101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w:t>
      </w:r>
    </w:p>
    <w:p>
      <w:pPr>
        <w:spacing w:after="0" w:line="176" w:lineRule="exact"/>
        <w:rPr>
          <w:sz w:val="20"/>
          <w:szCs w:val="20"/>
          <w:color w:val="auto"/>
        </w:rPr>
      </w:pPr>
    </w:p>
    <w:p>
      <w:pPr>
        <w:ind w:right="140" w:firstLine="758"/>
        <w:spacing w:after="0" w:line="288" w:lineRule="auto"/>
        <w:tabs>
          <w:tab w:leader="none" w:pos="101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 may, at its option, elect to pay interest on the Notes on any Interest Payment Date (i) by paying an amount in cash on such Interest Payment Date equal to all or a portion of interest accrued from, and including, the immediately preceding Interest Payment Date (or if there is no immediately preceding Interest Payment Date, from, and including, the Issue Date) on the Capitalized Principal Amount as of the immediately preceding Interest Payment Date (or if there is no immediately preceding Interest Payment Date, on the Initial Principal Amount), calculated at the Cash Interest Rate (the “</w:t>
      </w:r>
      <w:r>
        <w:rPr>
          <w:rFonts w:ascii="Arial" w:cs="Arial" w:eastAsia="Arial" w:hAnsi="Arial"/>
          <w:sz w:val="15"/>
          <w:szCs w:val="15"/>
          <w:b w:val="1"/>
          <w:bCs w:val="1"/>
          <w:color w:val="auto"/>
        </w:rPr>
        <w:t>Cash Method</w:t>
      </w:r>
      <w:r>
        <w:rPr>
          <w:rFonts w:ascii="Arial" w:cs="Arial" w:eastAsia="Arial" w:hAnsi="Arial"/>
          <w:sz w:val="15"/>
          <w:szCs w:val="15"/>
          <w:color w:val="auto"/>
        </w:rPr>
        <w:t>”) and (ii) to the extent not paid by the Cash Method, by increasing the Capitalized Principal Amount of the Notes by the Capitalization Amount for such Interest Payment Date automatically and without any action by any Person (the “</w:t>
      </w:r>
      <w:r>
        <w:rPr>
          <w:rFonts w:ascii="Arial" w:cs="Arial" w:eastAsia="Arial" w:hAnsi="Arial"/>
          <w:sz w:val="15"/>
          <w:szCs w:val="15"/>
          <w:b w:val="1"/>
          <w:bCs w:val="1"/>
          <w:color w:val="auto"/>
        </w:rPr>
        <w:t>Capitalization Method</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on any Interest Payment Date on which the Company pays interest using the Capitalization Method, the Capitalized Principal Amount shall be rounded up to the nearest $1.00;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for any Notes (1) surrendered for conversion after a Regular Record Date and on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700"/>
          </w:cols>
          <w:pgMar w:left="820" w:top="1440" w:right="379" w:bottom="1440" w:gutter="0" w:footer="0" w:header="0"/>
        </w:sectPr>
      </w:pPr>
    </w:p>
    <w:bookmarkStart w:id="39" w:name="page40"/>
    <w:bookmarkEnd w:id="39"/>
    <w:p>
      <w:pPr>
        <w:spacing w:after="0" w:line="84" w:lineRule="exact"/>
        <w:rPr>
          <w:sz w:val="20"/>
          <w:szCs w:val="20"/>
          <w:color w:val="auto"/>
        </w:rPr>
      </w:pPr>
    </w:p>
    <w:p>
      <w:pPr>
        <w:ind w:left="520"/>
        <w:spacing w:after="0" w:line="287" w:lineRule="auto"/>
        <w:rPr>
          <w:sz w:val="20"/>
          <w:szCs w:val="20"/>
          <w:color w:val="auto"/>
        </w:rPr>
      </w:pPr>
      <w:r>
        <w:rPr>
          <w:rFonts w:ascii="Arial" w:cs="Arial" w:eastAsia="Arial" w:hAnsi="Arial"/>
          <w:sz w:val="15"/>
          <w:szCs w:val="15"/>
          <w:color w:val="auto"/>
        </w:rPr>
        <w:t>corresponding Interest Payment Date; (2) redeemed in connection with a Redemption Date that is after a Regular Record Date and on or prior to the corresponding Interest Payment Date; or (3) repurchased on a Fundamental Change Repurchase Date that is after a Regular Record Date and on or prior to the corresponding Interest Payment Date, any Capitalization Amount by which the Capitalized Principal Amount for such Notes would have been increased on such corresponding Interest Payment Date shall instead be paid in cash at the Cash Interest Rate to the relevant Holder(s) of such Notes as of such Regular Record Date, and no such increase shall be made to the Capitalized Principal Amount of such Notes (notwithstanding any prior election (or deemed election) by the Company to pay such interest pursuant to the Capitalization Method for such Notes). The Company shall elect the method of paying interest on an Interest Payment Date by delivering a notice to the Trustee on or prior to the 10th calendar day immediately preceding the relevant Interest Payment Date identifying the method selected and (a) the amount of cash interest to be paid and/or (b) the Capitalization Amount and new Capitalized Principal Amount, as applicable. In the absence of such an election with respect to an Interest Payment Date, the Company shall be deemed to have elected the Capitalization Method. All interest payable in respect of the Interest Payment Date scheduled to occur on the Maturity Date shall be paid entirely by the Cash Method.</w:t>
      </w:r>
    </w:p>
    <w:p>
      <w:pPr>
        <w:spacing w:after="0" w:line="123" w:lineRule="exact"/>
        <w:rPr>
          <w:sz w:val="20"/>
          <w:szCs w:val="20"/>
          <w:color w:val="auto"/>
        </w:rPr>
      </w:pPr>
    </w:p>
    <w:p>
      <w:pPr>
        <w:ind w:left="520" w:right="40" w:firstLine="758"/>
        <w:spacing w:after="0" w:line="267" w:lineRule="auto"/>
        <w:tabs>
          <w:tab w:leader="none" w:pos="15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in this Indenture, if the Notes are represented by one or more Physical Notes, the Company may, at its option, in lieu of the Capitalization Method, pay interest due and payable on such Physical Notes by issuing additional Physical Notes to the relevant record Holder on the relevant Interest Payment Date (the “</w:t>
      </w:r>
      <w:r>
        <w:rPr>
          <w:rFonts w:ascii="Arial" w:cs="Arial" w:eastAsia="Arial" w:hAnsi="Arial"/>
          <w:sz w:val="16"/>
          <w:szCs w:val="16"/>
          <w:b w:val="1"/>
          <w:bCs w:val="1"/>
          <w:color w:val="auto"/>
        </w:rPr>
        <w:t>PIK Notes</w:t>
      </w:r>
      <w:r>
        <w:rPr>
          <w:rFonts w:ascii="Arial" w:cs="Arial" w:eastAsia="Arial" w:hAnsi="Arial"/>
          <w:sz w:val="16"/>
          <w:szCs w:val="16"/>
          <w:color w:val="auto"/>
        </w:rPr>
        <w:t>”) in an aggregate principal amount equal to the relevant Capitalization Amount (rounded up to the nearest $1.00). The issuance of any PIK Notes shall be computed on the basis of the aggregate principal amount of the Notes held by a Holder. Following an increase in the principal amount of the outstanding Global Notes as a result of a PIK Payment, the Global Notes shall bear interest on such increased principal amount from and after the date of such PIK Payment. Any PIK Notes issued as Physical Notes shall be dated as of the applicable Interest Payment Date and shall bear interest from and after such date. All PIK Notes issued pursuant to a PIK Payment shall be governed by, and subject to the terms, provisions and conditions of, this Indenture and shall have the same rights and benefits as the Notes issued on the Issue Date. Any PIK Notes shall be issued with the description PIK on the face of such Note, and references to the “principal amount” of the Notes shall include any increase in the principal amount of the outstanding Notes as a result of any PIK Payment. The Notes issued on the Issue Date and any PIK Notes shall be treated as a single class for all purposes under this Indenture.</w:t>
      </w:r>
    </w:p>
    <w:p>
      <w:pPr>
        <w:spacing w:after="0" w:line="136" w:lineRule="exact"/>
        <w:rPr>
          <w:sz w:val="20"/>
          <w:szCs w:val="20"/>
          <w:color w:val="auto"/>
        </w:rPr>
      </w:pPr>
    </w:p>
    <w:p>
      <w:pPr>
        <w:jc w:val="both"/>
        <w:ind w:right="580" w:firstLine="509"/>
        <w:spacing w:after="0" w:line="25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Execution, Authentication and Delivery of Notes.</w:t>
      </w:r>
      <w:r>
        <w:rPr>
          <w:rFonts w:ascii="Arial" w:cs="Arial" w:eastAsia="Arial" w:hAnsi="Arial"/>
          <w:sz w:val="17"/>
          <w:szCs w:val="17"/>
          <w:color w:val="auto"/>
        </w:rPr>
        <w:t xml:space="preserve"> The Notes shall be signed in the name and on behalf of the Company by the manual, electronic or facsimile signature of its Chief Executive Officer, President, Chief Financial Officer, Treasurer, Secretary or any of its Executive or Senior Vice Presidents.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60"/>
          </w:cols>
          <w:pgMar w:left="300" w:top="1440" w:right="339" w:bottom="1440" w:gutter="0" w:footer="0" w:header="0"/>
        </w:sectPr>
      </w:pPr>
    </w:p>
    <w:bookmarkStart w:id="40" w:name="page41"/>
    <w:bookmarkEnd w:id="40"/>
    <w:p>
      <w:pPr>
        <w:spacing w:after="0" w:line="8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4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Only such Notes as shall bear thereon a certificate of authentication substantially in the form set forth on the Form of Note attached as Exhibit A hereto, executed manually, electronically or by facsimile by an authorized officer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47"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47"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5"/>
          <w:szCs w:val="15"/>
          <w:i w:val="1"/>
          <w:iCs w:val="1"/>
          <w:color w:val="auto"/>
        </w:rPr>
        <w:t>Exchange and Registration of Transfer of Notes; Restrictions on Transfer; Depositary.</w:t>
      </w:r>
    </w:p>
    <w:p>
      <w:pPr>
        <w:spacing w:after="0" w:line="176" w:lineRule="exact"/>
        <w:rPr>
          <w:sz w:val="20"/>
          <w:szCs w:val="20"/>
          <w:color w:val="auto"/>
        </w:rPr>
      </w:pPr>
    </w:p>
    <w:p>
      <w:pPr>
        <w:ind w:right="120" w:firstLine="667"/>
        <w:spacing w:after="0" w:line="273" w:lineRule="auto"/>
        <w:tabs>
          <w:tab w:leader="none" w:pos="10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6"/>
          <w:szCs w:val="16"/>
          <w:b w:val="1"/>
          <w:bCs w:val="1"/>
          <w:color w:val="auto"/>
        </w:rPr>
        <w:t>Note Registrar</w:t>
      </w:r>
      <w:r>
        <w:rPr>
          <w:rFonts w:ascii="Arial" w:cs="Arial" w:eastAsia="Arial" w:hAnsi="Arial"/>
          <w:sz w:val="16"/>
          <w:szCs w:val="16"/>
          <w:color w:val="auto"/>
        </w:rPr>
        <w:t>” for the purpose of registering Notes and transfers of Notes as herein provided. The Company may appoint one or more co-Note Registrars in accordance with Section 4.02.</w:t>
      </w:r>
    </w:p>
    <w:p>
      <w:pPr>
        <w:spacing w:after="0" w:line="152" w:lineRule="exact"/>
        <w:rPr>
          <w:sz w:val="20"/>
          <w:szCs w:val="20"/>
          <w:color w:val="auto"/>
        </w:rPr>
      </w:pPr>
    </w:p>
    <w:p>
      <w:pPr>
        <w:ind w:right="20" w:firstLine="509"/>
        <w:spacing w:after="0" w:line="310" w:lineRule="auto"/>
        <w:rPr>
          <w:sz w:val="20"/>
          <w:szCs w:val="20"/>
          <w:color w:val="auto"/>
        </w:rPr>
      </w:pPr>
      <w:r>
        <w:rPr>
          <w:rFonts w:ascii="Arial" w:cs="Arial" w:eastAsia="Arial" w:hAnsi="Arial"/>
          <w:sz w:val="15"/>
          <w:szCs w:val="15"/>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06" w:lineRule="exact"/>
        <w:rPr>
          <w:sz w:val="20"/>
          <w:szCs w:val="20"/>
          <w:color w:val="auto"/>
        </w:rPr>
      </w:pPr>
    </w:p>
    <w:p>
      <w:pPr>
        <w:ind w:right="560" w:firstLine="509"/>
        <w:spacing w:after="0" w:line="271" w:lineRule="auto"/>
        <w:rPr>
          <w:sz w:val="20"/>
          <w:szCs w:val="20"/>
          <w:color w:val="auto"/>
        </w:rPr>
      </w:pPr>
      <w:r>
        <w:rPr>
          <w:rFonts w:ascii="Arial" w:cs="Arial" w:eastAsia="Arial" w:hAnsi="Arial"/>
          <w:sz w:val="17"/>
          <w:szCs w:val="17"/>
          <w:color w:val="auto"/>
        </w:rPr>
        <w:t>Notes may be exchanged for other Notes of any authorized denominations and of a like aggregate principal amount, upon surrender of the Notes to be exchanged at any such office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60"/>
          </w:cols>
          <w:pgMar w:left="300" w:top="1440" w:right="339" w:bottom="1440" w:gutter="0" w:footer="0" w:header="0"/>
        </w:sectPr>
      </w:pPr>
    </w:p>
    <w:bookmarkStart w:id="41" w:name="page42"/>
    <w:bookmarkEnd w:id="41"/>
    <w:p>
      <w:pPr>
        <w:spacing w:after="0" w:line="84" w:lineRule="exact"/>
        <w:rPr>
          <w:sz w:val="20"/>
          <w:szCs w:val="20"/>
          <w:color w:val="auto"/>
        </w:rPr>
      </w:pPr>
    </w:p>
    <w:p>
      <w:pPr>
        <w:spacing w:after="0" w:line="340" w:lineRule="auto"/>
        <w:rPr>
          <w:sz w:val="20"/>
          <w:szCs w:val="20"/>
          <w:color w:val="auto"/>
        </w:rPr>
      </w:pPr>
      <w:r>
        <w:rPr>
          <w:rFonts w:ascii="Arial" w:cs="Arial" w:eastAsia="Arial" w:hAnsi="Arial"/>
          <w:sz w:val="15"/>
          <w:szCs w:val="15"/>
          <w:color w:val="auto"/>
        </w:rPr>
        <w:t>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84"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42" w:lineRule="exact"/>
        <w:rPr>
          <w:sz w:val="20"/>
          <w:szCs w:val="20"/>
          <w:color w:val="auto"/>
        </w:rPr>
      </w:pPr>
    </w:p>
    <w:p>
      <w:pPr>
        <w:ind w:right="280" w:firstLine="509"/>
        <w:spacing w:after="0" w:line="255" w:lineRule="auto"/>
        <w:rPr>
          <w:sz w:val="20"/>
          <w:szCs w:val="20"/>
          <w:color w:val="auto"/>
        </w:rPr>
      </w:pPr>
      <w:r>
        <w:rPr>
          <w:rFonts w:ascii="Arial" w:cs="Arial" w:eastAsia="Arial" w:hAnsi="Arial"/>
          <w:sz w:val="17"/>
          <w:szCs w:val="17"/>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45"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45" w:lineRule="exact"/>
        <w:rPr>
          <w:sz w:val="20"/>
          <w:szCs w:val="20"/>
          <w:color w:val="auto"/>
        </w:rPr>
      </w:pPr>
    </w:p>
    <w:p>
      <w:pPr>
        <w:ind w:right="440" w:firstLine="509"/>
        <w:spacing w:after="0" w:line="340" w:lineRule="auto"/>
        <w:rPr>
          <w:sz w:val="20"/>
          <w:szCs w:val="20"/>
          <w:color w:val="auto"/>
        </w:rPr>
      </w:pPr>
      <w:r>
        <w:rPr>
          <w:rFonts w:ascii="Arial" w:cs="Arial" w:eastAsia="Arial" w:hAnsi="Arial"/>
          <w:sz w:val="15"/>
          <w:szCs w:val="15"/>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84" w:lineRule="exact"/>
        <w:rPr>
          <w:sz w:val="20"/>
          <w:szCs w:val="20"/>
          <w:color w:val="auto"/>
        </w:rPr>
      </w:pPr>
    </w:p>
    <w:p>
      <w:pPr>
        <w:ind w:right="120" w:firstLine="667"/>
        <w:spacing w:after="0" w:line="252" w:lineRule="auto"/>
        <w:tabs>
          <w:tab w:leader="none" w:pos="10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Notes shall be issued initially in the form of Physical Notes. At the Company’s sole discretion, so long as the Notes are eligible for book-entry settlement with the Depositary and the restrictions on transfer described in Section 2.05(c) no longer apply to such Note, subject to the fourth paragraph from the end of Section 2.05(c) the Notes may be represented by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47" w:lineRule="exact"/>
        <w:rPr>
          <w:rFonts w:ascii="Arial" w:cs="Arial" w:eastAsia="Arial" w:hAnsi="Arial"/>
          <w:sz w:val="17"/>
          <w:szCs w:val="17"/>
          <w:color w:val="auto"/>
        </w:rPr>
      </w:pPr>
    </w:p>
    <w:p>
      <w:pPr>
        <w:ind w:right="520" w:firstLine="667"/>
        <w:spacing w:after="0" w:line="271" w:lineRule="auto"/>
        <w:tabs>
          <w:tab w:leader="none" w:pos="1013"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Every Note shall bear the legend set forth in this Section 2.05(c) (together with any Common Stock issued upon conversion of the Notes that is required to bear the legend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300" w:top="1440" w:right="339" w:bottom="1440" w:gutter="0" w:footer="0" w:header="0"/>
        </w:sectPr>
      </w:pPr>
    </w:p>
    <w:bookmarkStart w:id="42" w:name="page43"/>
    <w:bookmarkEnd w:id="42"/>
    <w:p>
      <w:pPr>
        <w:spacing w:after="0" w:line="8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forth in Section 2.05(d),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and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transfer or other disposition whatsoever of any Restricted Security.</w:t>
      </w:r>
    </w:p>
    <w:p>
      <w:pPr>
        <w:spacing w:after="0" w:line="128"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color w:val="auto"/>
        </w:rPr>
        <w:t>Any certificate evidencing a Note (and all securities issued in exchange therefor or substitution thereof, other than Common Stock, if any, issued upon conversion thereof, which shall bear the legend set forth in Section 2.05(d), if applicable) shall bear a legend in substantially the following form (unless otherwise agreed by the Company in writing, with notice thereof to the Trustee):</w:t>
      </w:r>
    </w:p>
    <w:p>
      <w:pPr>
        <w:spacing w:after="0" w:line="142"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THIS SECURITY AND THE COMMON STOCK, IF ANY, ISSUABLE UPON CONVERSION OF THIS SECURITY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 AGREES FOR THE BENEFIT OF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EXCEPT:</w:t>
      </w:r>
    </w:p>
    <w:p>
      <w:pPr>
        <w:spacing w:after="0" w:line="131" w:lineRule="exact"/>
        <w:rPr>
          <w:sz w:val="20"/>
          <w:szCs w:val="20"/>
          <w:color w:val="auto"/>
        </w:rPr>
      </w:pPr>
    </w:p>
    <w:p>
      <w:pPr>
        <w:ind w:left="1940" w:hanging="407"/>
        <w:spacing w:after="0"/>
        <w:tabs>
          <w:tab w:leader="none" w:pos="1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THE COMPANY OR ANY SUBSIDIARY THEREOF, OR</w:t>
      </w:r>
    </w:p>
    <w:p>
      <w:pPr>
        <w:spacing w:after="0" w:line="175" w:lineRule="exact"/>
        <w:rPr>
          <w:rFonts w:ascii="Arial" w:cs="Arial" w:eastAsia="Arial" w:hAnsi="Arial"/>
          <w:sz w:val="17"/>
          <w:szCs w:val="17"/>
          <w:color w:val="auto"/>
        </w:rPr>
      </w:pPr>
    </w:p>
    <w:p>
      <w:pPr>
        <w:ind w:left="1920" w:hanging="387"/>
        <w:spacing w:after="0"/>
        <w:tabs>
          <w:tab w:leader="none" w:pos="1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A REGISTRATION STATEMENT WHICH HAS BECOME EFFECTIVE UNDER THE SECURITIES ACT, OR</w:t>
      </w:r>
    </w:p>
    <w:p>
      <w:pPr>
        <w:spacing w:after="0" w:line="187" w:lineRule="exact"/>
        <w:rPr>
          <w:rFonts w:ascii="Arial" w:cs="Arial" w:eastAsia="Arial" w:hAnsi="Arial"/>
          <w:sz w:val="16"/>
          <w:szCs w:val="16"/>
          <w:color w:val="auto"/>
        </w:rPr>
      </w:pPr>
    </w:p>
    <w:p>
      <w:pPr>
        <w:ind w:left="1020" w:right="20" w:firstLine="513"/>
        <w:spacing w:after="0" w:line="271" w:lineRule="auto"/>
        <w:tabs>
          <w:tab w:leader="none" w:pos="19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3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00" w:top="1440" w:right="359" w:bottom="1440" w:gutter="0" w:footer="0" w:header="0"/>
        </w:sectPr>
      </w:pPr>
    </w:p>
    <w:bookmarkStart w:id="43" w:name="page44"/>
    <w:bookmarkEnd w:id="43"/>
    <w:p>
      <w:pPr>
        <w:spacing w:after="0" w:line="84"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THIS SECURITY IS SUBJECT TO RESTRICTIONS ON TRANSFER AS SET FORTH IN AN INVESTMENT AGREEMENT DATED AS OF JULY 6, 2021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transfer of any Note will be registered by the Note Registrar unless the applicable box on the Form of Assignment and Transfer has been checked.</w:t>
      </w:r>
    </w:p>
    <w:p>
      <w:pPr>
        <w:spacing w:after="0" w:line="18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30"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7"/>
          <w:szCs w:val="17"/>
          <w:color w:val="auto"/>
        </w:rPr>
        <w:t>The Depositary shall be a clearing agency registered under the Exchange Act appointed by the Company and may be The Depository Trust Company. Each Global Note for which The Depository Trust Company is Depositary may be issued to the Depositary, registered in the name of Cede &amp; Co., as the nominee of the Depositary, and deposited with the Trustee as custodian for Cede &amp; Co.</w:t>
      </w:r>
    </w:p>
    <w:p>
      <w:pPr>
        <w:spacing w:after="0" w:line="142" w:lineRule="exact"/>
        <w:rPr>
          <w:sz w:val="20"/>
          <w:szCs w:val="20"/>
          <w:color w:val="auto"/>
        </w:rPr>
      </w:pPr>
    </w:p>
    <w:p>
      <w:pPr>
        <w:ind w:firstLine="509"/>
        <w:spacing w:after="0" w:line="288" w:lineRule="auto"/>
        <w:rPr>
          <w:sz w:val="20"/>
          <w:szCs w:val="20"/>
          <w:color w:val="auto"/>
        </w:rPr>
      </w:pPr>
      <w:r>
        <w:rPr>
          <w:rFonts w:ascii="Arial" w:cs="Arial" w:eastAsia="Arial" w:hAnsi="Arial"/>
          <w:sz w:val="15"/>
          <w:szCs w:val="15"/>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2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80"/>
          </w:cols>
          <w:pgMar w:left="300" w:top="1440" w:right="319" w:bottom="1440" w:gutter="0" w:footer="0" w:header="0"/>
        </w:sectPr>
      </w:pPr>
    </w:p>
    <w:bookmarkStart w:id="44" w:name="page45"/>
    <w:bookmarkEnd w:id="44"/>
    <w:p>
      <w:pPr>
        <w:spacing w:after="0" w:line="84"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instruct the Trustee. Upon execution and authentication, the Trustee shall deliver such Physical Notes to the Persons in whose names such Physical Notes are so registered.</w:t>
      </w:r>
    </w:p>
    <w:p>
      <w:pPr>
        <w:spacing w:after="0" w:line="13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5"/>
          <w:szCs w:val="15"/>
          <w:color w:val="auto"/>
        </w:rPr>
        <w:t>At such time as all interests in a Global Note have been converted,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2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None of the Company, the Trustee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42" w:lineRule="exact"/>
        <w:rPr>
          <w:sz w:val="20"/>
          <w:szCs w:val="20"/>
          <w:color w:val="auto"/>
        </w:rPr>
      </w:pPr>
    </w:p>
    <w:p>
      <w:pPr>
        <w:ind w:right="100" w:firstLine="667"/>
        <w:spacing w:after="0" w:line="269" w:lineRule="auto"/>
        <w:tabs>
          <w:tab w:leader="none" w:pos="10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stock certificate or book-entry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33" w:lineRule="exact"/>
        <w:rPr>
          <w:sz w:val="20"/>
          <w:szCs w:val="20"/>
          <w:color w:val="auto"/>
        </w:rPr>
      </w:pPr>
    </w:p>
    <w:p>
      <w:pPr>
        <w:ind w:right="260" w:firstLine="509"/>
        <w:spacing w:after="0" w:line="254" w:lineRule="auto"/>
        <w:rPr>
          <w:sz w:val="20"/>
          <w:szCs w:val="20"/>
          <w:color w:val="auto"/>
        </w:rPr>
      </w:pPr>
      <w:r>
        <w:rPr>
          <w:rFonts w:ascii="Arial" w:cs="Arial" w:eastAsia="Arial" w:hAnsi="Arial"/>
          <w:sz w:val="17"/>
          <w:szCs w:val="17"/>
          <w:color w:val="auto"/>
        </w:rPr>
        <w:t>THIS SECURITY HAS NOT BEEN REGISTERED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MAY NOT BE OFFERED, SOLD, PLEDGED OR OTHERWISE TRANSFERRED EXCEPT IN ACCORDANCE WITH THE FOLLOWING SENTENCE. BY ITS ACQUISITION HEREOF OR OF A BENEFICIAL INTEREST HEREIN, THE ACQUIRER AGREES FOR THE BENEFIT OF EOS ENERGY ENTERPRISES, INC. (THE “</w:t>
      </w:r>
      <w:r>
        <w:rPr>
          <w:rFonts w:ascii="Arial" w:cs="Arial" w:eastAsia="Arial" w:hAnsi="Arial"/>
          <w:sz w:val="17"/>
          <w:szCs w:val="17"/>
          <w:b w:val="1"/>
          <w:bCs w:val="1"/>
          <w:color w:val="auto"/>
        </w:rPr>
        <w:t>COMPANY</w:t>
      </w:r>
      <w:r>
        <w:rPr>
          <w:rFonts w:ascii="Arial" w:cs="Arial" w:eastAsia="Arial" w:hAnsi="Arial"/>
          <w:sz w:val="17"/>
          <w:szCs w:val="17"/>
          <w:color w:val="auto"/>
        </w:rPr>
        <w:t>”) THAT IT WILL NOT OFFER, SELL, PLEDGE OR OTHERWISE TRANSFER THIS SECURITY OR ANY BENEFICIAL INTEREST HEREIN EXCEPT:</w:t>
      </w:r>
    </w:p>
    <w:p>
      <w:pPr>
        <w:spacing w:after="0" w:line="147" w:lineRule="exact"/>
        <w:rPr>
          <w:sz w:val="20"/>
          <w:szCs w:val="20"/>
          <w:color w:val="auto"/>
        </w:rPr>
      </w:pPr>
    </w:p>
    <w:p>
      <w:pPr>
        <w:ind w:left="1940" w:hanging="407"/>
        <w:spacing w:after="0"/>
        <w:tabs>
          <w:tab w:leader="none" w:pos="1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COMPANY OR ANY SUBSIDIARY THEREOF,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2"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7"/>
          <w:szCs w:val="17"/>
          <w:color w:val="auto"/>
        </w:rPr>
        <w:t>22</w:t>
      </w:r>
    </w:p>
    <w:p>
      <w:pPr>
        <w:sectPr>
          <w:pgSz w:w="11900" w:h="16838" w:orient="portrait"/>
          <w:cols w:equalWidth="0" w:num="1">
            <w:col w:w="11280"/>
          </w:cols>
          <w:pgMar w:left="300" w:top="1440" w:right="319" w:bottom="1440" w:gutter="0" w:footer="0" w:header="0"/>
        </w:sectPr>
      </w:pPr>
    </w:p>
    <w:bookmarkStart w:id="45" w:name="page46"/>
    <w:bookmarkEnd w:id="45"/>
    <w:p>
      <w:pPr>
        <w:spacing w:after="0" w:line="84" w:lineRule="exact"/>
        <w:rPr>
          <w:sz w:val="20"/>
          <w:szCs w:val="20"/>
          <w:color w:val="auto"/>
        </w:rPr>
      </w:pPr>
    </w:p>
    <w:p>
      <w:pPr>
        <w:ind w:left="1920" w:hanging="387"/>
        <w:spacing w:after="0"/>
        <w:tabs>
          <w:tab w:leader="none" w:pos="1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A REGISTRATION STATEMENT WHICH HAS BECOME EFFECTIVE UNDER THE SECURITIES ACT, OR</w:t>
      </w:r>
    </w:p>
    <w:p>
      <w:pPr>
        <w:spacing w:after="0" w:line="187" w:lineRule="exact"/>
        <w:rPr>
          <w:rFonts w:ascii="Arial" w:cs="Arial" w:eastAsia="Arial" w:hAnsi="Arial"/>
          <w:sz w:val="16"/>
          <w:szCs w:val="16"/>
          <w:color w:val="auto"/>
        </w:rPr>
      </w:pPr>
    </w:p>
    <w:p>
      <w:pPr>
        <w:ind w:left="1020" w:right="60" w:firstLine="513"/>
        <w:spacing w:after="0" w:line="271" w:lineRule="auto"/>
        <w:tabs>
          <w:tab w:leader="none" w:pos="19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31"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PRIOR TO THE REGISTRATION OF ANY TRANSFER IN ACCORDANCE WITH CLAUSE (C)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31"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THIS SECURITY IS SUBJECT TO RESTRICTIONS ON TRANSFER AS SET FORTH IN AN INVESTMENT AGREEMENT DATED AS OF JULY 6, 2021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45"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48"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80"/>
          </w:cols>
          <w:pgMar w:left="300" w:top="1440" w:right="319" w:bottom="1440" w:gutter="0" w:footer="0" w:header="0"/>
        </w:sectPr>
      </w:pPr>
    </w:p>
    <w:bookmarkStart w:id="46" w:name="page47"/>
    <w:bookmarkEnd w:id="46"/>
    <w:p>
      <w:pPr>
        <w:spacing w:after="0" w:line="84" w:lineRule="exact"/>
        <w:rPr>
          <w:sz w:val="20"/>
          <w:szCs w:val="20"/>
          <w:color w:val="auto"/>
        </w:rPr>
      </w:pPr>
    </w:p>
    <w:p>
      <w:pPr>
        <w:jc w:val="both"/>
        <w:ind w:right="680"/>
        <w:spacing w:after="0" w:line="259" w:lineRule="auto"/>
        <w:rPr>
          <w:sz w:val="20"/>
          <w:szCs w:val="20"/>
          <w:color w:val="auto"/>
        </w:rPr>
      </w:pPr>
      <w:r>
        <w:rPr>
          <w:rFonts w:ascii="Arial" w:cs="Arial" w:eastAsia="Arial" w:hAnsi="Arial"/>
          <w:sz w:val="17"/>
          <w:szCs w:val="17"/>
          <w:color w:val="auto"/>
        </w:rPr>
        <w:t>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42" w:lineRule="exact"/>
        <w:rPr>
          <w:sz w:val="20"/>
          <w:szCs w:val="20"/>
          <w:color w:val="auto"/>
        </w:rPr>
      </w:pPr>
    </w:p>
    <w:p>
      <w:pPr>
        <w:ind w:right="60" w:firstLine="509"/>
        <w:spacing w:after="0" w:line="286" w:lineRule="auto"/>
        <w:rPr>
          <w:sz w:val="20"/>
          <w:szCs w:val="20"/>
          <w:color w:val="auto"/>
        </w:rPr>
      </w:pPr>
      <w:r>
        <w:rPr>
          <w:rFonts w:ascii="Arial" w:cs="Arial" w:eastAsia="Arial" w:hAnsi="Arial"/>
          <w:sz w:val="15"/>
          <w:szCs w:val="15"/>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2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5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Temporary Notes.</w:t>
      </w:r>
      <w:r>
        <w:rPr>
          <w:rFonts w:ascii="Arial" w:cs="Arial" w:eastAsia="Arial" w:hAnsi="Arial"/>
          <w:sz w:val="17"/>
          <w:szCs w:val="17"/>
          <w:color w:val="auto"/>
        </w:rPr>
        <w:t xml:space="preserve"> Pending the preparation of Physical Notes, the Company may execute and the Trustee or an authenticating agent appointed by the Trustee shall, upon written request of the Company, authenticate and deliver temporary Notes in registered form (printed or lithographed). Temporary Notes shall be issuable in any authorized denomination, and substantially in the form of the Physical Notes but with such omissions, insertions and variations as may be appropriate for temporary Notes, all as may be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80"/>
          </w:cols>
          <w:pgMar w:left="300" w:top="1440" w:right="319" w:bottom="1440" w:gutter="0" w:footer="0" w:header="0"/>
        </w:sectPr>
      </w:pPr>
    </w:p>
    <w:bookmarkStart w:id="47" w:name="page48"/>
    <w:bookmarkEnd w:id="47"/>
    <w:p>
      <w:pPr>
        <w:spacing w:after="0" w:line="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3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Cancellation of Notes Paid, Converted, Etc.</w:t>
      </w:r>
      <w:r>
        <w:rPr>
          <w:rFonts w:ascii="Arial" w:cs="Arial" w:eastAsia="Arial" w:hAnsi="Arial"/>
          <w:sz w:val="16"/>
          <w:szCs w:val="16"/>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14.11), if surrendered to the Company or any of the Company’s agents, Subsidiaries or Affiliates that the Company controls, to be surrendered to the Trustee for cancellation. All Notes delivered to the Trustee shall be canceled promptly by it.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37"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3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Additional Notes; Repurchases.</w:t>
      </w:r>
      <w:r>
        <w:rPr>
          <w:rFonts w:ascii="Arial" w:cs="Arial" w:eastAsia="Arial" w:hAnsi="Arial"/>
          <w:sz w:val="16"/>
          <w:szCs w:val="16"/>
          <w:color w:val="auto"/>
        </w:rPr>
        <w:t xml:space="preserve"> The Company may, without the consent of the Holders and notwithstanding Section 2.01, reopen this Indenture and issue additional Notes hereunder (in addition to any PIK Notes) with the same terms as the Notes initially issued hereunder (other than differences in the issue date, the issue price and interest accrued prior to the issue date of such additional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with the Notes initially issued hereunder for U.S. federal income tax purposes, such additional Notes shall have a separate CUSIP number (if any). Prior to the issuance of any such additional Notes, the Company shall deliver to the Trustee a Company Order, an Officer’s Certificate and an Opinion of Counsel, such Officer’s Certificate and Opinion of Counsel to cover such matters, in addition to those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80"/>
          </w:cols>
          <w:pgMar w:left="300" w:top="1440" w:right="319" w:bottom="1440" w:gutter="0" w:footer="0" w:header="0"/>
        </w:sectPr>
      </w:pPr>
    </w:p>
    <w:bookmarkStart w:id="48" w:name="page49"/>
    <w:bookmarkEnd w:id="48"/>
    <w:p>
      <w:pPr>
        <w:spacing w:after="0" w:line="84"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203" w:lineRule="exact"/>
        <w:rPr>
          <w:sz w:val="20"/>
          <w:szCs w:val="20"/>
          <w:color w:val="auto"/>
        </w:rPr>
      </w:pPr>
    </w:p>
    <w:p>
      <w:pPr>
        <w:ind w:left="4220"/>
        <w:spacing w:after="0"/>
        <w:tabs>
          <w:tab w:leader="none" w:pos="5220" w:val="left"/>
        </w:tabs>
        <w:rPr>
          <w:sz w:val="20"/>
          <w:szCs w:val="20"/>
          <w:color w:val="auto"/>
        </w:rPr>
      </w:pPr>
      <w:r>
        <w:rPr>
          <w:rFonts w:ascii="Arial" w:cs="Arial" w:eastAsia="Arial" w:hAnsi="Arial"/>
          <w:sz w:val="17"/>
          <w:szCs w:val="17"/>
          <w:color w:val="auto"/>
        </w:rPr>
        <w:t>Article 3.</w:t>
      </w:r>
      <w:r>
        <w:rPr>
          <w:sz w:val="20"/>
          <w:szCs w:val="20"/>
          <w:color w:val="auto"/>
        </w:rPr>
        <w:tab/>
      </w:r>
      <w:r>
        <w:rPr>
          <w:rFonts w:ascii="Arial" w:cs="Arial" w:eastAsia="Arial" w:hAnsi="Arial"/>
          <w:sz w:val="15"/>
          <w:szCs w:val="15"/>
          <w:color w:val="auto"/>
        </w:rPr>
        <w:t>Satisfaction and Discharge</w:t>
      </w:r>
    </w:p>
    <w:p>
      <w:pPr>
        <w:spacing w:after="0" w:line="176"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by the Company; and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224" w:lineRule="exact"/>
        <w:rPr>
          <w:sz w:val="20"/>
          <w:szCs w:val="20"/>
          <w:color w:val="auto"/>
        </w:rPr>
      </w:pPr>
    </w:p>
    <w:p>
      <w:pPr>
        <w:ind w:left="3860"/>
        <w:spacing w:after="0"/>
        <w:tabs>
          <w:tab w:leader="none" w:pos="4860" w:val="left"/>
        </w:tabs>
        <w:rPr>
          <w:sz w:val="20"/>
          <w:szCs w:val="20"/>
          <w:color w:val="auto"/>
        </w:rPr>
      </w:pPr>
      <w:r>
        <w:rPr>
          <w:rFonts w:ascii="Arial" w:cs="Arial" w:eastAsia="Arial" w:hAnsi="Arial"/>
          <w:sz w:val="17"/>
          <w:szCs w:val="17"/>
          <w:color w:val="auto"/>
        </w:rPr>
        <w:t>Article 4.</w:t>
      </w:r>
      <w:r>
        <w:rPr>
          <w:sz w:val="20"/>
          <w:szCs w:val="20"/>
          <w:color w:val="auto"/>
        </w:rPr>
        <w:tab/>
      </w:r>
      <w:r>
        <w:rPr>
          <w:rFonts w:ascii="Arial" w:cs="Arial" w:eastAsia="Arial" w:hAnsi="Arial"/>
          <w:sz w:val="15"/>
          <w:szCs w:val="15"/>
          <w:color w:val="auto"/>
        </w:rPr>
        <w:t>Particular Covenants of the Company</w:t>
      </w:r>
    </w:p>
    <w:p>
      <w:pPr>
        <w:spacing w:after="0" w:line="17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The Company covenants and agrees that it will cause to be paid the principal (including the Redemption Price and the Fundamental Change Repurchase Price, if applicable) of, and pay or capitalize, as the case may be, accrued interest that has not been paid or capitalized on, each of the Notes at the places, at the respective times and in the manner provided herein and in the Notes.</w:t>
      </w:r>
    </w:p>
    <w:p>
      <w:pPr>
        <w:spacing w:after="0" w:line="142"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Arial" w:cs="Arial" w:eastAsia="Arial" w:hAnsi="Arial"/>
          <w:sz w:val="17"/>
          <w:szCs w:val="17"/>
          <w:b w:val="1"/>
          <w:bCs w:val="1"/>
          <w:color w:val="auto"/>
        </w:rPr>
        <w:t>Paying Agent</w:t>
      </w:r>
      <w:r>
        <w:rPr>
          <w:rFonts w:ascii="Arial" w:cs="Arial" w:eastAsia="Arial" w:hAnsi="Arial"/>
          <w:sz w:val="17"/>
          <w:szCs w:val="17"/>
          <w:color w:val="auto"/>
        </w:rPr>
        <w:t>”) or for conversion (“</w:t>
      </w:r>
      <w:r>
        <w:rPr>
          <w:rFonts w:ascii="Arial" w:cs="Arial" w:eastAsia="Arial" w:hAnsi="Arial"/>
          <w:sz w:val="17"/>
          <w:szCs w:val="17"/>
          <w:b w:val="1"/>
          <w:bCs w:val="1"/>
          <w:color w:val="auto"/>
        </w:rPr>
        <w:t>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and where notices and demands to or upon the Company in respect of the Notes and this Indenture may be served. The Company will give prompt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Trustee of the location, and any change in the location, of such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60"/>
          </w:cols>
          <w:pgMar w:left="300" w:top="1440" w:right="339" w:bottom="1440" w:gutter="0" w:footer="0" w:header="0"/>
        </w:sectPr>
      </w:pPr>
    </w:p>
    <w:bookmarkStart w:id="49" w:name="page50"/>
    <w:bookmarkEnd w:id="49"/>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31" w:lineRule="exact"/>
        <w:rPr>
          <w:sz w:val="20"/>
          <w:szCs w:val="20"/>
          <w:color w:val="auto"/>
        </w:rPr>
      </w:pPr>
    </w:p>
    <w:p>
      <w:pPr>
        <w:ind w:right="40" w:firstLine="509"/>
        <w:spacing w:after="0" w:line="310" w:lineRule="auto"/>
        <w:rPr>
          <w:sz w:val="20"/>
          <w:szCs w:val="20"/>
          <w:color w:val="auto"/>
        </w:rPr>
      </w:pPr>
      <w:r>
        <w:rPr>
          <w:rFonts w:ascii="Arial" w:cs="Arial" w:eastAsia="Arial" w:hAnsi="Arial"/>
          <w:sz w:val="15"/>
          <w:szCs w:val="15"/>
          <w:color w:val="auto"/>
        </w:rPr>
        <w:t>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w:t>
      </w:r>
    </w:p>
    <w:p>
      <w:pPr>
        <w:spacing w:after="0" w:line="10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Appointments to Fill Vacancies in Trustee’s Office.</w:t>
      </w:r>
      <w:r>
        <w:rPr>
          <w:rFonts w:ascii="Arial" w:cs="Arial" w:eastAsia="Arial" w:hAnsi="Arial"/>
          <w:sz w:val="17"/>
          <w:szCs w:val="17"/>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31"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i w:val="1"/>
          <w:iCs w:val="1"/>
          <w:color w:val="auto"/>
        </w:rPr>
        <w:t>Provisions as to Paying Agent.</w:t>
      </w:r>
    </w:p>
    <w:p>
      <w:pPr>
        <w:spacing w:after="0" w:line="176" w:lineRule="exact"/>
        <w:rPr>
          <w:sz w:val="20"/>
          <w:szCs w:val="20"/>
          <w:color w:val="auto"/>
        </w:rPr>
      </w:pPr>
    </w:p>
    <w:p>
      <w:pPr>
        <w:ind w:right="80" w:firstLine="667"/>
        <w:spacing w:after="0" w:line="271" w:lineRule="auto"/>
        <w:tabs>
          <w:tab w:leader="none" w:pos="10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52" w:lineRule="exact"/>
        <w:rPr>
          <w:rFonts w:ascii="Arial" w:cs="Arial" w:eastAsia="Arial" w:hAnsi="Arial"/>
          <w:sz w:val="17"/>
          <w:szCs w:val="17"/>
          <w:color w:val="auto"/>
        </w:rPr>
      </w:pPr>
    </w:p>
    <w:p>
      <w:pPr>
        <w:ind w:left="520" w:right="560" w:firstLine="758"/>
        <w:spacing w:after="0" w:line="340" w:lineRule="auto"/>
        <w:tabs>
          <w:tab w:leader="none" w:pos="1533"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84" w:lineRule="exact"/>
        <w:rPr>
          <w:rFonts w:ascii="Arial" w:cs="Arial" w:eastAsia="Arial" w:hAnsi="Arial"/>
          <w:sz w:val="15"/>
          <w:szCs w:val="15"/>
          <w:color w:val="auto"/>
        </w:rPr>
      </w:pPr>
    </w:p>
    <w:p>
      <w:pPr>
        <w:ind w:left="520" w:firstLine="758"/>
        <w:spacing w:after="0" w:line="259" w:lineRule="auto"/>
        <w:tabs>
          <w:tab w:leader="none" w:pos="1537"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41" w:lineRule="exact"/>
        <w:rPr>
          <w:rFonts w:ascii="Arial" w:cs="Arial" w:eastAsia="Arial" w:hAnsi="Arial"/>
          <w:sz w:val="17"/>
          <w:szCs w:val="17"/>
          <w:color w:val="auto"/>
        </w:rPr>
      </w:pPr>
    </w:p>
    <w:p>
      <w:pPr>
        <w:ind w:left="1520" w:hanging="242"/>
        <w:spacing w:after="0"/>
        <w:tabs>
          <w:tab w:leader="none" w:pos="15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that at any time during the continuance of an Event of Default, upon request of the Trustee, it will forthwith pay to the Trustee all sums so held</w:t>
      </w:r>
    </w:p>
    <w:p>
      <w:pPr>
        <w:spacing w:after="0" w:line="42"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7"/>
          <w:szCs w:val="17"/>
          <w:color w:val="auto"/>
        </w:rPr>
        <w:t>in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80"/>
          </w:cols>
          <w:pgMar w:left="300" w:top="1440" w:right="319" w:bottom="1440" w:gutter="0" w:footer="0" w:header="0"/>
        </w:sectPr>
      </w:pPr>
    </w:p>
    <w:bookmarkStart w:id="50" w:name="page51"/>
    <w:bookmarkEnd w:id="50"/>
    <w:p>
      <w:pPr>
        <w:spacing w:after="0" w:line="84"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 xml:space="preserve">Subject to Section 2.03(d), 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deposit is made on the due date, such deposit must be received by the Paying Agent by 11:00 a.m., New York City time, on such date.</w:t>
      </w:r>
    </w:p>
    <w:p>
      <w:pPr>
        <w:spacing w:after="0" w:line="131" w:lineRule="exact"/>
        <w:rPr>
          <w:sz w:val="20"/>
          <w:szCs w:val="20"/>
          <w:color w:val="auto"/>
        </w:rPr>
      </w:pPr>
    </w:p>
    <w:p>
      <w:pPr>
        <w:ind w:right="180" w:firstLine="667"/>
        <w:spacing w:after="0" w:line="271" w:lineRule="auto"/>
        <w:tabs>
          <w:tab w:leader="none" w:pos="10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Company shall act as its own Paying Agent, subject to Section 2.03(d),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32" w:lineRule="exact"/>
        <w:rPr>
          <w:rFonts w:ascii="Arial" w:cs="Arial" w:eastAsia="Arial" w:hAnsi="Arial"/>
          <w:sz w:val="16"/>
          <w:szCs w:val="16"/>
          <w:color w:val="auto"/>
        </w:rPr>
      </w:pPr>
    </w:p>
    <w:p>
      <w:pPr>
        <w:ind w:firstLine="667"/>
        <w:spacing w:after="0" w:line="253" w:lineRule="auto"/>
        <w:tabs>
          <w:tab w:leader="none" w:pos="10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47" w:lineRule="exact"/>
        <w:rPr>
          <w:rFonts w:ascii="Arial" w:cs="Arial" w:eastAsia="Arial" w:hAnsi="Arial"/>
          <w:sz w:val="17"/>
          <w:szCs w:val="17"/>
          <w:color w:val="auto"/>
        </w:rPr>
      </w:pPr>
    </w:p>
    <w:p>
      <w:pPr>
        <w:ind w:right="40" w:firstLine="667"/>
        <w:spacing w:after="0" w:line="269" w:lineRule="auto"/>
        <w:tabs>
          <w:tab w:leader="none" w:pos="10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3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Rule 144A Information Requirement and Annual Reports.</w:t>
      </w:r>
      <w:r>
        <w:rPr>
          <w:rFonts w:ascii="Arial" w:cs="Arial" w:eastAsia="Arial" w:hAnsi="Arial"/>
          <w:sz w:val="17"/>
          <w:szCs w:val="17"/>
          <w:color w:val="auto"/>
        </w:rPr>
        <w:t xml:space="preserve"> At any time the Company is not subject to Section 13 or 15(d) of the Exchange Act, the Company shall, so long as any of the Notes or any shares of Common Stock issuable upon conversion thereof shall,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80"/>
          </w:cols>
          <w:pgMar w:left="300" w:top="1440" w:right="319" w:bottom="1440" w:gutter="0" w:footer="0" w:header="0"/>
        </w:sectPr>
      </w:pPr>
    </w:p>
    <w:bookmarkStart w:id="51" w:name="page52"/>
    <w:bookmarkEnd w:id="51"/>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45" w:lineRule="exact"/>
        <w:rPr>
          <w:sz w:val="20"/>
          <w:szCs w:val="20"/>
          <w:color w:val="auto"/>
        </w:rPr>
      </w:pPr>
    </w:p>
    <w:p>
      <w:pPr>
        <w:ind w:right="20" w:firstLine="509"/>
        <w:spacing w:after="0" w:line="287"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Reports.</w:t>
      </w:r>
      <w:r>
        <w:rPr>
          <w:rFonts w:ascii="Arial" w:cs="Arial" w:eastAsia="Arial" w:hAnsi="Arial"/>
          <w:sz w:val="15"/>
          <w:szCs w:val="15"/>
          <w:color w:val="auto"/>
        </w:rPr>
        <w:t xml:space="preserve"> The Company shall file with the Trustee, within 15 days after the same are required to be filed with the Commission (giving effect to any grace period provided by Rule 12b-25 (or any successor rule) under the Exchange Act),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 the Trustee for purposes of this Section 4.06 at the time such documents are filed via the EDGAR system (or any successor thereto), it being understood that the Trustee shall not be responsible for determining whether such filings have been made. Delivery of the reports and documents described in this Section 4.06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2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33"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Compliance Certificate; Statements as to Defaults.</w:t>
      </w:r>
      <w:r>
        <w:rPr>
          <w:rFonts w:ascii="Arial" w:cs="Arial" w:eastAsia="Arial" w:hAnsi="Arial"/>
          <w:sz w:val="16"/>
          <w:szCs w:val="16"/>
          <w:color w:val="auto"/>
        </w:rPr>
        <w:t xml:space="preserve"> The Company shall deliver to the Trustee within 150 days after the end of each fiscal year of the Company (beginning with the fiscal year ending on December 31, 2021) an Officer’s Certificate stating whether the signers thereof have knowledge of any Event of Default that occurred during the previous year and, if so, specifying each such Event of Default and the nature thereof.</w:t>
      </w:r>
    </w:p>
    <w:p>
      <w:pPr>
        <w:spacing w:after="0" w:line="12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00" w:top="1440" w:right="359" w:bottom="1440" w:gutter="0" w:footer="0" w:header="0"/>
        </w:sectPr>
      </w:pPr>
    </w:p>
    <w:bookmarkStart w:id="52" w:name="page53"/>
    <w:bookmarkEnd w:id="52"/>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required to deliver such notice if such Event of Default or Default has been cured or is no longer continuing.</w:t>
      </w:r>
    </w:p>
    <w:p>
      <w:pPr>
        <w:spacing w:after="0" w:line="261" w:lineRule="exact"/>
        <w:rPr>
          <w:sz w:val="20"/>
          <w:szCs w:val="20"/>
          <w:color w:val="auto"/>
        </w:rPr>
      </w:pPr>
    </w:p>
    <w:p>
      <w:pPr>
        <w:ind w:left="3040"/>
        <w:spacing w:after="0"/>
        <w:tabs>
          <w:tab w:leader="none" w:pos="4040" w:val="left"/>
        </w:tabs>
        <w:rPr>
          <w:sz w:val="20"/>
          <w:szCs w:val="20"/>
          <w:color w:val="auto"/>
        </w:rPr>
      </w:pPr>
      <w:r>
        <w:rPr>
          <w:rFonts w:ascii="Arial" w:cs="Arial" w:eastAsia="Arial" w:hAnsi="Arial"/>
          <w:sz w:val="17"/>
          <w:szCs w:val="17"/>
          <w:color w:val="auto"/>
        </w:rPr>
        <w:t>Article 5.</w:t>
      </w:r>
      <w:r>
        <w:rPr>
          <w:sz w:val="20"/>
          <w:szCs w:val="20"/>
          <w:color w:val="auto"/>
        </w:rPr>
        <w:tab/>
      </w:r>
      <w:r>
        <w:rPr>
          <w:rFonts w:ascii="Arial" w:cs="Arial" w:eastAsia="Arial" w:hAnsi="Arial"/>
          <w:sz w:val="15"/>
          <w:szCs w:val="15"/>
          <w:color w:val="auto"/>
        </w:rPr>
        <w:t>Lists of Holders and Reports by the Company and the Trustee</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Lists of Holders.</w:t>
      </w:r>
      <w:r>
        <w:rPr>
          <w:rFonts w:ascii="Arial" w:cs="Arial" w:eastAsia="Arial" w:hAnsi="Arial"/>
          <w:sz w:val="16"/>
          <w:szCs w:val="16"/>
          <w:color w:val="auto"/>
        </w:rPr>
        <w:t xml:space="preserve"> The Company covenants and agrees that, upon written request, it will furnish or cause to be furnished to the Trustee, semi-annually, not more than 15 days after each June 15 and December 15 in each year,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33"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Preservation and Disclosure of Lists.</w:t>
      </w:r>
      <w:r>
        <w:rPr>
          <w:rFonts w:ascii="Arial" w:cs="Arial" w:eastAsia="Arial" w:hAnsi="Arial"/>
          <w:sz w:val="16"/>
          <w:szCs w:val="16"/>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209" w:lineRule="exact"/>
        <w:rPr>
          <w:sz w:val="20"/>
          <w:szCs w:val="20"/>
          <w:color w:val="auto"/>
        </w:rPr>
      </w:pPr>
    </w:p>
    <w:p>
      <w:pPr>
        <w:ind w:left="4360"/>
        <w:spacing w:after="0"/>
        <w:tabs>
          <w:tab w:leader="none" w:pos="5340" w:val="left"/>
        </w:tabs>
        <w:rPr>
          <w:sz w:val="20"/>
          <w:szCs w:val="20"/>
          <w:color w:val="auto"/>
        </w:rPr>
      </w:pPr>
      <w:r>
        <w:rPr>
          <w:rFonts w:ascii="Arial" w:cs="Arial" w:eastAsia="Arial" w:hAnsi="Arial"/>
          <w:sz w:val="17"/>
          <w:szCs w:val="17"/>
          <w:color w:val="auto"/>
        </w:rPr>
        <w:t>Article 6.</w:t>
      </w:r>
      <w:r>
        <w:rPr>
          <w:sz w:val="20"/>
          <w:szCs w:val="20"/>
          <w:color w:val="auto"/>
        </w:rPr>
        <w:tab/>
      </w:r>
      <w:r>
        <w:rPr>
          <w:rFonts w:ascii="Arial" w:cs="Arial" w:eastAsia="Arial" w:hAnsi="Arial"/>
          <w:sz w:val="15"/>
          <w:szCs w:val="15"/>
          <w:color w:val="auto"/>
        </w:rPr>
        <w:t>Defaults and Remedies</w:t>
      </w:r>
    </w:p>
    <w:p>
      <w:pPr>
        <w:spacing w:after="0" w:line="172"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5"/>
          <w:szCs w:val="15"/>
          <w:i w:val="1"/>
          <w:iCs w:val="1"/>
          <w:color w:val="auto"/>
        </w:rPr>
        <w:t xml:space="preserve">Events of Default. </w:t>
      </w:r>
      <w:r>
        <w:rPr>
          <w:rFonts w:ascii="Arial" w:cs="Arial" w:eastAsia="Arial" w:hAnsi="Arial"/>
          <w:sz w:val="15"/>
          <w:szCs w:val="15"/>
          <w:color w:val="auto"/>
        </w:rPr>
        <w:t>Each of the following events shall be an “</w:t>
      </w:r>
      <w:r>
        <w:rPr>
          <w:rFonts w:ascii="Arial" w:cs="Arial" w:eastAsia="Arial" w:hAnsi="Arial"/>
          <w:sz w:val="15"/>
          <w:szCs w:val="15"/>
          <w:b w:val="1"/>
          <w:bCs w:val="1"/>
          <w:color w:val="auto"/>
        </w:rPr>
        <w:t>Event of Default</w:t>
      </w:r>
      <w:r>
        <w:rPr>
          <w:rFonts w:ascii="Arial" w:cs="Arial" w:eastAsia="Arial" w:hAnsi="Arial"/>
          <w:sz w:val="15"/>
          <w:szCs w:val="15"/>
          <w:color w:val="auto"/>
        </w:rPr>
        <w:t>” with respect to the Notes:</w:t>
      </w:r>
    </w:p>
    <w:p>
      <w:pPr>
        <w:spacing w:after="0" w:line="180" w:lineRule="exact"/>
        <w:rPr>
          <w:sz w:val="20"/>
          <w:szCs w:val="20"/>
          <w:color w:val="auto"/>
        </w:rPr>
      </w:pPr>
    </w:p>
    <w:p>
      <w:pPr>
        <w:ind w:left="1020" w:hanging="35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default in any payment of interest on any Note when due and payable, and the default continues for a period of 30 days;</w:t>
      </w:r>
    </w:p>
    <w:p>
      <w:pPr>
        <w:spacing w:after="0" w:line="175" w:lineRule="exact"/>
        <w:rPr>
          <w:rFonts w:ascii="Arial" w:cs="Arial" w:eastAsia="Arial" w:hAnsi="Arial"/>
          <w:sz w:val="17"/>
          <w:szCs w:val="17"/>
          <w:color w:val="auto"/>
        </w:rPr>
      </w:pPr>
    </w:p>
    <w:p>
      <w:pPr>
        <w:ind w:right="720" w:firstLine="667"/>
        <w:spacing w:after="0" w:line="271" w:lineRule="auto"/>
        <w:tabs>
          <w:tab w:leader="none" w:pos="10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default in the payment of principal of any Note when due and payable on the Maturity Date, upon Optional Redemption, upon any required repurchase, upon declaration of acceleration or otherwise;</w:t>
      </w:r>
    </w:p>
    <w:p>
      <w:pPr>
        <w:spacing w:after="0" w:line="131" w:lineRule="exact"/>
        <w:rPr>
          <w:rFonts w:ascii="Arial" w:cs="Arial" w:eastAsia="Arial" w:hAnsi="Arial"/>
          <w:sz w:val="17"/>
          <w:szCs w:val="17"/>
          <w:color w:val="auto"/>
        </w:rPr>
      </w:pPr>
    </w:p>
    <w:p>
      <w:pPr>
        <w:ind w:right="140" w:firstLine="667"/>
        <w:spacing w:after="0" w:line="271" w:lineRule="auto"/>
        <w:tabs>
          <w:tab w:leader="none" w:pos="10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 to convert the Notes in accordance with this Indenture upon exercise of a Holder’s conversion right and such failure continues for a period of five Business Days;</w:t>
      </w:r>
    </w:p>
    <w:p>
      <w:pPr>
        <w:spacing w:after="0" w:line="131" w:lineRule="exact"/>
        <w:rPr>
          <w:rFonts w:ascii="Arial" w:cs="Arial" w:eastAsia="Arial" w:hAnsi="Arial"/>
          <w:sz w:val="17"/>
          <w:szCs w:val="17"/>
          <w:color w:val="auto"/>
        </w:rPr>
      </w:pPr>
    </w:p>
    <w:p>
      <w:pPr>
        <w:ind w:right="700" w:firstLine="667"/>
        <w:spacing w:after="0" w:line="271" w:lineRule="auto"/>
        <w:tabs>
          <w:tab w:leader="none" w:pos="10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by the Company to issue a Fundamental Change Company Notice in accordance with Section 15.02(c) when due and such failure continues for a period of five Business Days;</w:t>
      </w:r>
    </w:p>
    <w:p>
      <w:pPr>
        <w:spacing w:after="0" w:line="131" w:lineRule="exact"/>
        <w:rPr>
          <w:rFonts w:ascii="Arial" w:cs="Arial" w:eastAsia="Arial" w:hAnsi="Arial"/>
          <w:sz w:val="17"/>
          <w:szCs w:val="17"/>
          <w:color w:val="auto"/>
        </w:rPr>
      </w:pPr>
    </w:p>
    <w:p>
      <w:pPr>
        <w:ind w:left="1020" w:hanging="35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Article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00"/>
          </w:cols>
          <w:pgMar w:left="300" w:top="1440" w:right="399" w:bottom="1440" w:gutter="0" w:footer="0" w:header="0"/>
        </w:sectPr>
      </w:pPr>
    </w:p>
    <w:bookmarkStart w:id="53" w:name="page54"/>
    <w:bookmarkEnd w:id="53"/>
    <w:p>
      <w:pPr>
        <w:spacing w:after="0" w:line="84" w:lineRule="exact"/>
        <w:rPr>
          <w:sz w:val="20"/>
          <w:szCs w:val="20"/>
          <w:color w:val="auto"/>
        </w:rPr>
      </w:pPr>
    </w:p>
    <w:p>
      <w:pPr>
        <w:ind w:left="-20" w:right="700" w:firstLine="667"/>
        <w:spacing w:after="0" w:line="303" w:lineRule="auto"/>
        <w:tabs>
          <w:tab w:leader="none" w:pos="9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08" w:lineRule="exact"/>
        <w:rPr>
          <w:rFonts w:ascii="Arial" w:cs="Arial" w:eastAsia="Arial" w:hAnsi="Arial"/>
          <w:sz w:val="16"/>
          <w:szCs w:val="16"/>
          <w:color w:val="auto"/>
        </w:rPr>
      </w:pPr>
    </w:p>
    <w:p>
      <w:pPr>
        <w:ind w:left="-20" w:right="40" w:firstLine="667"/>
        <w:spacing w:after="0" w:line="288" w:lineRule="auto"/>
        <w:tabs>
          <w:tab w:leader="none" w:pos="992"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$100,000,000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126" w:lineRule="exact"/>
        <w:rPr>
          <w:rFonts w:ascii="Arial" w:cs="Arial" w:eastAsia="Arial" w:hAnsi="Arial"/>
          <w:sz w:val="15"/>
          <w:szCs w:val="15"/>
          <w:color w:val="auto"/>
        </w:rPr>
      </w:pPr>
    </w:p>
    <w:p>
      <w:pPr>
        <w:ind w:left="-20" w:right="140" w:firstLine="667"/>
        <w:spacing w:after="0" w:line="300" w:lineRule="auto"/>
        <w:tabs>
          <w:tab w:leader="none" w:pos="992"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one or more final, non-appealable judgments or orders is rendered against the Company or any Significant Subsidiary, which requires the payment in money by the Company or any Significant Subsidiary, individually or in the aggregate, of an amount (net of amounts covered by insurance or bonded) in excess of $50,000,000, and such judgment or judgments have not been satisfied, stayed, paid, discharged, vacated, bonded, annulled or rescinded within 60 days after (i) the date on which the right to appeal thereof has expired if no such appeal has commenced, or (ii) the date on which all rights to appeal have been extinguished;</w:t>
      </w:r>
    </w:p>
    <w:p>
      <w:pPr>
        <w:spacing w:after="0" w:line="113" w:lineRule="exact"/>
        <w:rPr>
          <w:rFonts w:ascii="Arial" w:cs="Arial" w:eastAsia="Arial" w:hAnsi="Arial"/>
          <w:sz w:val="15"/>
          <w:szCs w:val="15"/>
          <w:color w:val="auto"/>
        </w:rPr>
      </w:pPr>
    </w:p>
    <w:p>
      <w:pPr>
        <w:ind w:left="-20" w:firstLine="667"/>
        <w:spacing w:after="0" w:line="253" w:lineRule="auto"/>
        <w:tabs>
          <w:tab w:leader="none" w:pos="9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shall commence a voluntary case or other proceeding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47" w:lineRule="exact"/>
        <w:rPr>
          <w:rFonts w:ascii="Arial" w:cs="Arial" w:eastAsia="Arial" w:hAnsi="Arial"/>
          <w:sz w:val="17"/>
          <w:szCs w:val="17"/>
          <w:color w:val="auto"/>
        </w:rPr>
      </w:pPr>
    </w:p>
    <w:p>
      <w:pPr>
        <w:ind w:left="-20" w:right="20" w:firstLine="667"/>
        <w:spacing w:after="0" w:line="255" w:lineRule="auto"/>
        <w:tabs>
          <w:tab w:leader="none" w:pos="9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involuntary case or other proceeding shall be commenced against the Company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and such involuntary case or other proceeding shall remain undismissed and unstayed for a period of 30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60"/>
          </w:cols>
          <w:pgMar w:left="320" w:top="1440" w:right="319" w:bottom="1440" w:gutter="0" w:footer="0" w:header="0"/>
        </w:sectPr>
      </w:pPr>
    </w:p>
    <w:bookmarkStart w:id="54" w:name="page55"/>
    <w:bookmarkEnd w:id="54"/>
    <w:p>
      <w:pPr>
        <w:spacing w:after="0" w:line="84"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Acceleration; Rescission and Annulment</w:t>
      </w:r>
      <w:r>
        <w:rPr>
          <w:rFonts w:ascii="Arial" w:cs="Arial" w:eastAsia="Arial" w:hAnsi="Arial"/>
          <w:sz w:val="16"/>
          <w:szCs w:val="16"/>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shall) declare 100% of the Capitalized Principal Amount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6.01(i) or Section 6.01(j) occurs and is continuing, 100% of the Capitalized Principal Amount of, and accrued and unpaid interest, if any, on, all Notes shall become and shall automatically be immediately due and payable.</w:t>
      </w:r>
    </w:p>
    <w:p>
      <w:pPr>
        <w:spacing w:after="0" w:line="139" w:lineRule="exact"/>
        <w:rPr>
          <w:sz w:val="20"/>
          <w:szCs w:val="20"/>
          <w:color w:val="auto"/>
        </w:rPr>
      </w:pPr>
    </w:p>
    <w:p>
      <w:pPr>
        <w:ind w:firstLine="509"/>
        <w:spacing w:after="0" w:line="284" w:lineRule="auto"/>
        <w:rPr>
          <w:sz w:val="20"/>
          <w:szCs w:val="20"/>
          <w:color w:val="auto"/>
        </w:rPr>
      </w:pPr>
      <w:r>
        <w:rPr>
          <w:rFonts w:ascii="Arial" w:cs="Arial" w:eastAsia="Arial" w:hAnsi="Arial"/>
          <w:sz w:val="15"/>
          <w:szCs w:val="15"/>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Cash Interest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6.08,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60"/>
          </w:cols>
          <w:pgMar w:left="300" w:top="1440" w:right="339" w:bottom="1440" w:gutter="0" w:footer="0" w:header="0"/>
        </w:sectPr>
      </w:pPr>
    </w:p>
    <w:bookmarkStart w:id="55" w:name="page56"/>
    <w:bookmarkEnd w:id="55"/>
    <w:p>
      <w:pPr>
        <w:spacing w:after="0" w:line="8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Payments of Notes on Default; Suit Therefor.</w:t>
      </w:r>
      <w:r>
        <w:rPr>
          <w:rFonts w:ascii="Arial" w:cs="Arial" w:eastAsia="Arial" w:hAnsi="Arial"/>
          <w:sz w:val="17"/>
          <w:szCs w:val="17"/>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Cash Interest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54" w:lineRule="exact"/>
        <w:rPr>
          <w:sz w:val="20"/>
          <w:szCs w:val="20"/>
          <w:color w:val="auto"/>
        </w:rPr>
      </w:pPr>
    </w:p>
    <w:p>
      <w:pPr>
        <w:ind w:right="20" w:firstLine="509"/>
        <w:spacing w:after="0" w:line="284" w:lineRule="auto"/>
        <w:rPr>
          <w:sz w:val="20"/>
          <w:szCs w:val="20"/>
          <w:color w:val="auto"/>
        </w:rPr>
      </w:pPr>
      <w:r>
        <w:rPr>
          <w:rFonts w:ascii="Arial" w:cs="Arial" w:eastAsia="Arial" w:hAnsi="Arial"/>
          <w:sz w:val="15"/>
          <w:szCs w:val="15"/>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6.03,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80"/>
          </w:cols>
          <w:pgMar w:left="300" w:top="1440" w:right="319" w:bottom="1440" w:gutter="0" w:footer="0" w:header="0"/>
        </w:sectPr>
      </w:pPr>
    </w:p>
    <w:bookmarkStart w:id="56" w:name="page57"/>
    <w:bookmarkEnd w:id="56"/>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securities and other property that the Holders of the Notes may be entitled to receive in such proceedings, whether in liquidation or under any plan of reorganization or arrangement or otherwise.</w:t>
      </w:r>
    </w:p>
    <w:p>
      <w:pPr>
        <w:spacing w:after="0" w:line="13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42"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3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case the Trustee shall have proceeded to enforce any right under this Indenture and such proceedings shall have been discontinued or abandoned because of any waiver pursuant to Section 6.08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4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Application of Monies Collected by Trustee.</w:t>
      </w:r>
      <w:r>
        <w:rPr>
          <w:rFonts w:ascii="Arial" w:cs="Arial" w:eastAsia="Arial" w:hAnsi="Arial"/>
          <w:sz w:val="17"/>
          <w:szCs w:val="17"/>
          <w:color w:val="auto"/>
        </w:rPr>
        <w:t xml:space="preserve"> Any monies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to the payment of all amounts due the Trustee under Section 7.06;</w:t>
      </w:r>
    </w:p>
    <w:p>
      <w:pPr>
        <w:spacing w:after="0" w:line="17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in case the principal of the outstanding Notes shall not have become due and be unpaid, to the payment of interest on, and any cash due upon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of, the Notes in default in the order of the date due of the payments of such interest and cash due upon conversion, as the case may be, with interest (to the extent that such interest has been collected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80"/>
          </w:cols>
          <w:pgMar w:left="300" w:top="1440" w:right="319" w:bottom="1440" w:gutter="0" w:footer="0" w:header="0"/>
        </w:sectPr>
      </w:pPr>
    </w:p>
    <w:bookmarkStart w:id="57" w:name="page58"/>
    <w:bookmarkEnd w:id="57"/>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upon such overdue payments at the Cash Interest Rate borne by the Notes at such time, such payments to be made ratably to the Persons entitled thereto;</w:t>
      </w:r>
    </w:p>
    <w:p>
      <w:pPr>
        <w:spacing w:after="0" w:line="183" w:lineRule="exact"/>
        <w:rPr>
          <w:sz w:val="20"/>
          <w:szCs w:val="20"/>
          <w:color w:val="auto"/>
        </w:rPr>
      </w:pPr>
    </w:p>
    <w:p>
      <w:pPr>
        <w:ind w:right="80" w:firstLine="509"/>
        <w:spacing w:after="0" w:line="289" w:lineRule="auto"/>
        <w:rPr>
          <w:sz w:val="20"/>
          <w:szCs w:val="20"/>
          <w:color w:val="auto"/>
        </w:rPr>
      </w:pPr>
      <w:r>
        <w:rPr>
          <w:rFonts w:ascii="Arial" w:cs="Arial" w:eastAsia="Arial" w:hAnsi="Arial"/>
          <w:sz w:val="15"/>
          <w:szCs w:val="15"/>
          <w:b w:val="1"/>
          <w:bCs w:val="1"/>
          <w:color w:val="auto"/>
        </w:rPr>
        <w:t>Third</w:t>
      </w:r>
      <w:r>
        <w:rPr>
          <w:rFonts w:ascii="Arial" w:cs="Arial" w:eastAsia="Arial" w:hAnsi="Arial"/>
          <w:sz w:val="15"/>
          <w:szCs w:val="15"/>
          <w:color w:val="auto"/>
        </w:rPr>
        <w:t>, in case the principal of the outstanding Notes shall have become due, by declaration or otherwise, and be unpaid to the payment of the whole amount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Cash Interest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to the payment of the remainder, if any, to the Company.</w:t>
      </w:r>
    </w:p>
    <w:p>
      <w:pPr>
        <w:spacing w:after="0" w:line="180" w:lineRule="exact"/>
        <w:rPr>
          <w:sz w:val="20"/>
          <w:szCs w:val="20"/>
          <w:color w:val="auto"/>
        </w:rPr>
      </w:pPr>
    </w:p>
    <w:p>
      <w:pPr>
        <w:ind w:right="20" w:firstLine="509"/>
        <w:spacing w:after="0" w:line="300"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i w:val="1"/>
          <w:iCs w:val="1"/>
          <w:color w:val="auto"/>
        </w:rPr>
        <w:t>Proceedings by Holders.</w:t>
      </w:r>
      <w:r>
        <w:rPr>
          <w:rFonts w:ascii="Arial" w:cs="Arial" w:eastAsia="Arial" w:hAnsi="Arial"/>
          <w:sz w:val="15"/>
          <w:szCs w:val="15"/>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14" w:lineRule="exact"/>
        <w:rPr>
          <w:sz w:val="20"/>
          <w:szCs w:val="20"/>
          <w:color w:val="auto"/>
        </w:rPr>
      </w:pPr>
    </w:p>
    <w:p>
      <w:pPr>
        <w:ind w:left="1020" w:hanging="35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such Holder previously shall have given to the Trustee written notice of an Event of Default and of the continuance thereof, as herein provided;</w:t>
      </w:r>
    </w:p>
    <w:p>
      <w:pPr>
        <w:spacing w:after="0" w:line="187" w:lineRule="exact"/>
        <w:rPr>
          <w:rFonts w:ascii="Arial" w:cs="Arial" w:eastAsia="Arial" w:hAnsi="Arial"/>
          <w:sz w:val="16"/>
          <w:szCs w:val="16"/>
          <w:color w:val="auto"/>
        </w:rPr>
      </w:pPr>
    </w:p>
    <w:p>
      <w:pPr>
        <w:ind w:firstLine="667"/>
        <w:spacing w:after="0" w:line="271" w:lineRule="auto"/>
        <w:tabs>
          <w:tab w:leader="none" w:pos="10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Holders of at least 25% in aggregate principal amount of the Notes then outstanding shall have made written request upon the Trustee to institute such action, suit or proceeding in its own name as Trustee hereunder;</w:t>
      </w:r>
    </w:p>
    <w:p>
      <w:pPr>
        <w:spacing w:after="0" w:line="131" w:lineRule="exact"/>
        <w:rPr>
          <w:rFonts w:ascii="Arial" w:cs="Arial" w:eastAsia="Arial" w:hAnsi="Arial"/>
          <w:sz w:val="17"/>
          <w:szCs w:val="17"/>
          <w:color w:val="auto"/>
        </w:rPr>
      </w:pPr>
    </w:p>
    <w:p>
      <w:pPr>
        <w:ind w:right="440" w:firstLine="667"/>
        <w:spacing w:after="0" w:line="271" w:lineRule="auto"/>
        <w:tabs>
          <w:tab w:leader="none" w:pos="1013"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such Holders shall have offered to the Trustee such security or indemnity reasonably satisfactory to it against any loss, liability or expense to be incurred therein or thereby;</w:t>
      </w:r>
    </w:p>
    <w:p>
      <w:pPr>
        <w:spacing w:after="0" w:line="131" w:lineRule="exact"/>
        <w:rPr>
          <w:rFonts w:ascii="Arial" w:cs="Arial" w:eastAsia="Arial" w:hAnsi="Arial"/>
          <w:sz w:val="17"/>
          <w:szCs w:val="17"/>
          <w:color w:val="auto"/>
        </w:rPr>
      </w:pPr>
    </w:p>
    <w:p>
      <w:pPr>
        <w:ind w:right="100" w:firstLine="667"/>
        <w:spacing w:after="0" w:line="271" w:lineRule="auto"/>
        <w:tabs>
          <w:tab w:leader="none" w:pos="10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such security or indemnity, shall have neglected or refused to institute any such action, suit or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20"/>
          </w:cols>
          <w:pgMar w:left="300" w:top="1440" w:right="379" w:bottom="1440" w:gutter="0" w:footer="0" w:header="0"/>
        </w:sectPr>
      </w:pPr>
    </w:p>
    <w:bookmarkStart w:id="58" w:name="page59"/>
    <w:bookmarkEnd w:id="58"/>
    <w:p>
      <w:pPr>
        <w:spacing w:after="0" w:line="84" w:lineRule="exact"/>
        <w:rPr>
          <w:sz w:val="20"/>
          <w:szCs w:val="20"/>
          <w:color w:val="auto"/>
        </w:rPr>
      </w:pPr>
    </w:p>
    <w:p>
      <w:pPr>
        <w:ind w:right="480" w:firstLine="667"/>
        <w:spacing w:after="0" w:line="271" w:lineRule="auto"/>
        <w:tabs>
          <w:tab w:leader="none" w:pos="1013"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6.08,</w:t>
      </w:r>
    </w:p>
    <w:p>
      <w:pPr>
        <w:spacing w:after="0" w:line="131"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6.05, each and every Holder and the Trustee shall be entitled to such relief as can be given either at law or in equity.</w:t>
      </w:r>
    </w:p>
    <w:p>
      <w:pPr>
        <w:spacing w:after="0" w:line="11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3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Proceedings by Trustee.</w:t>
      </w:r>
      <w:r>
        <w:rPr>
          <w:rFonts w:ascii="Arial" w:cs="Arial" w:eastAsia="Arial" w:hAnsi="Arial"/>
          <w:sz w:val="16"/>
          <w:szCs w:val="16"/>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30"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6.05, every power and remedy given by this Article 6 or by law to the Trustee or to the Holders may be exercised from time to time, and as often as shall be deemed expedient, by the Trustee or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00" w:top="1440" w:right="359" w:bottom="1440" w:gutter="0" w:footer="0" w:header="0"/>
        </w:sectPr>
      </w:pPr>
    </w:p>
    <w:bookmarkStart w:id="59" w:name="page60"/>
    <w:bookmarkEnd w:id="59"/>
    <w:p>
      <w:pPr>
        <w:spacing w:after="0" w:line="84"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Direction of Proceedings and Waiver of Defaults by Majority of Holders.</w:t>
      </w:r>
      <w:r>
        <w:rPr>
          <w:rFonts w:ascii="Arial" w:cs="Arial" w:eastAsia="Arial" w:hAnsi="Arial"/>
          <w:sz w:val="16"/>
          <w:szCs w:val="16"/>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direction shall not be in conflict with any rule of law or with this Indenture, and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a default in the payment of accrued and unpaid interest, if any, on, or the principal (including any Redemption Price and any Fundamental Change Repurchase Price) of, the Notes when due that has not been cured pursuant to the provisions of Section 6.01, a failure by the Company to pay or deliver, as the case may be, the consideration due upon conversion of the Notes or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6.08,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46"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Notice of Defaults.</w:t>
      </w:r>
      <w:r>
        <w:rPr>
          <w:rFonts w:ascii="Arial" w:cs="Arial" w:eastAsia="Arial" w:hAnsi="Arial"/>
          <w:sz w:val="17"/>
          <w:szCs w:val="17"/>
          <w:color w:val="auto"/>
        </w:rPr>
        <w:t xml:space="preserve"> The Trustee shall, within 90 days after the occurrence and continuance of a Default of which a Responsible Officer has actual knowledge, deliver to all Holders notice of all Defaults known to a Responsible Officer, unless such Defaults shall have been cured or waived before the giving of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a committee of Responsible Officers of the Trustee in good faith determines that the withholding of such notice is in the interests of the Holders.</w:t>
      </w:r>
    </w:p>
    <w:p>
      <w:pPr>
        <w:spacing w:after="0" w:line="14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Undertaking to Pay Costs.</w:t>
      </w:r>
      <w:r>
        <w:rPr>
          <w:rFonts w:ascii="Arial" w:cs="Arial" w:eastAsia="Arial" w:hAnsi="Arial"/>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80"/>
          </w:cols>
          <w:pgMar w:left="300" w:top="1440" w:right="319" w:bottom="1440" w:gutter="0" w:footer="0" w:header="0"/>
        </w:sectPr>
      </w:pPr>
    </w:p>
    <w:bookmarkStart w:id="60" w:name="page61"/>
    <w:bookmarkEnd w:id="60"/>
    <w:p>
      <w:pPr>
        <w:spacing w:after="0" w:line="8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expenses, against any party litigant in such suit, having due regard to the merits and good faith of the claims or defenses made by such party litigant;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of this Section 6.10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05" w:lineRule="exact"/>
        <w:rPr>
          <w:sz w:val="20"/>
          <w:szCs w:val="20"/>
          <w:color w:val="auto"/>
        </w:rPr>
      </w:pPr>
    </w:p>
    <w:p>
      <w:pPr>
        <w:ind w:left="4340"/>
        <w:spacing w:after="0"/>
        <w:tabs>
          <w:tab w:leader="none" w:pos="5340" w:val="left"/>
        </w:tabs>
        <w:rPr>
          <w:sz w:val="20"/>
          <w:szCs w:val="20"/>
          <w:color w:val="auto"/>
        </w:rPr>
      </w:pPr>
      <w:r>
        <w:rPr>
          <w:rFonts w:ascii="Arial" w:cs="Arial" w:eastAsia="Arial" w:hAnsi="Arial"/>
          <w:sz w:val="17"/>
          <w:szCs w:val="17"/>
          <w:color w:val="auto"/>
        </w:rPr>
        <w:t>Article 7.</w:t>
      </w:r>
      <w:r>
        <w:rPr>
          <w:sz w:val="20"/>
          <w:szCs w:val="20"/>
          <w:color w:val="auto"/>
        </w:rPr>
        <w:tab/>
      </w:r>
      <w:r>
        <w:rPr>
          <w:rFonts w:ascii="Arial" w:cs="Arial" w:eastAsia="Arial" w:hAnsi="Arial"/>
          <w:sz w:val="15"/>
          <w:szCs w:val="15"/>
          <w:color w:val="auto"/>
        </w:rPr>
        <w:t>Concerning the Trustee</w:t>
      </w:r>
    </w:p>
    <w:p>
      <w:pPr>
        <w:spacing w:after="0" w:line="176"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to the Trustee indemnity or security reasonably satisfactory to it against any loss, liability or expense that might be incurred by it in compliance with such request or direction.</w:t>
      </w:r>
    </w:p>
    <w:p>
      <w:pPr>
        <w:spacing w:after="0" w:line="13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No provision of this Indenture shall be construed to relieve the Trustee from liability for its own grossly negligent action, its own grossly negligent failure to act or its own willful misconduct, except that:</w:t>
      </w:r>
    </w:p>
    <w:p>
      <w:pPr>
        <w:spacing w:after="0" w:line="131" w:lineRule="exact"/>
        <w:rPr>
          <w:sz w:val="20"/>
          <w:szCs w:val="20"/>
          <w:color w:val="auto"/>
        </w:rPr>
      </w:pPr>
    </w:p>
    <w:p>
      <w:pPr>
        <w:ind w:left="1020" w:hanging="35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Events of Default that may have occurred:</w:t>
      </w:r>
    </w:p>
    <w:p>
      <w:pPr>
        <w:spacing w:after="0" w:line="175" w:lineRule="exact"/>
        <w:rPr>
          <w:rFonts w:ascii="Arial" w:cs="Arial" w:eastAsia="Arial" w:hAnsi="Arial"/>
          <w:sz w:val="17"/>
          <w:szCs w:val="17"/>
          <w:color w:val="auto"/>
        </w:rPr>
      </w:pPr>
    </w:p>
    <w:p>
      <w:pPr>
        <w:ind w:left="520" w:right="100" w:firstLine="758"/>
        <w:spacing w:after="0" w:line="259" w:lineRule="auto"/>
        <w:tabs>
          <w:tab w:leader="none" w:pos="15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41" w:lineRule="exact"/>
        <w:rPr>
          <w:rFonts w:ascii="Arial" w:cs="Arial" w:eastAsia="Arial" w:hAnsi="Arial"/>
          <w:sz w:val="17"/>
          <w:szCs w:val="17"/>
          <w:color w:val="auto"/>
        </w:rPr>
      </w:pPr>
    </w:p>
    <w:p>
      <w:pPr>
        <w:ind w:left="520" w:right="40" w:firstLine="758"/>
        <w:spacing w:after="0" w:line="283" w:lineRule="auto"/>
        <w:tabs>
          <w:tab w:leader="none" w:pos="1537"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80"/>
          </w:cols>
          <w:pgMar w:left="300" w:top="1440" w:right="319" w:bottom="1440" w:gutter="0" w:footer="0" w:header="0"/>
        </w:sectPr>
      </w:pPr>
    </w:p>
    <w:bookmarkStart w:id="61" w:name="page62"/>
    <w:bookmarkEnd w:id="61"/>
    <w:p>
      <w:pPr>
        <w:spacing w:after="0" w:line="84" w:lineRule="exact"/>
        <w:rPr>
          <w:sz w:val="20"/>
          <w:szCs w:val="20"/>
          <w:color w:val="auto"/>
        </w:rPr>
      </w:pPr>
    </w:p>
    <w:p>
      <w:pPr>
        <w:ind w:left="480" w:right="480"/>
        <w:spacing w:after="0" w:line="303" w:lineRule="auto"/>
        <w:rPr>
          <w:sz w:val="20"/>
          <w:szCs w:val="20"/>
          <w:color w:val="auto"/>
        </w:rPr>
      </w:pPr>
      <w:r>
        <w:rPr>
          <w:rFonts w:ascii="Arial" w:cs="Arial" w:eastAsia="Arial" w:hAnsi="Arial"/>
          <w:sz w:val="16"/>
          <w:szCs w:val="16"/>
          <w:color w:val="auto"/>
        </w:rPr>
        <w:t>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08" w:lineRule="exact"/>
        <w:rPr>
          <w:sz w:val="20"/>
          <w:szCs w:val="20"/>
          <w:color w:val="auto"/>
        </w:rPr>
      </w:pPr>
    </w:p>
    <w:p>
      <w:pPr>
        <w:ind w:left="-40" w:right="440" w:firstLine="667"/>
        <w:spacing w:after="0" w:line="271" w:lineRule="auto"/>
        <w:tabs>
          <w:tab w:leader="none" w:pos="9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31" w:lineRule="exact"/>
        <w:rPr>
          <w:rFonts w:ascii="Arial" w:cs="Arial" w:eastAsia="Arial" w:hAnsi="Arial"/>
          <w:sz w:val="17"/>
          <w:szCs w:val="17"/>
          <w:color w:val="auto"/>
        </w:rPr>
      </w:pPr>
    </w:p>
    <w:p>
      <w:pPr>
        <w:jc w:val="both"/>
        <w:ind w:left="-40" w:firstLine="667"/>
        <w:spacing w:after="0" w:line="310" w:lineRule="auto"/>
        <w:tabs>
          <w:tab w:leader="none" w:pos="9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06" w:lineRule="exact"/>
        <w:rPr>
          <w:rFonts w:ascii="Arial" w:cs="Arial" w:eastAsia="Arial" w:hAnsi="Arial"/>
          <w:sz w:val="15"/>
          <w:szCs w:val="15"/>
          <w:color w:val="auto"/>
        </w:rPr>
      </w:pPr>
    </w:p>
    <w:p>
      <w:pPr>
        <w:ind w:left="-40" w:right="280" w:firstLine="667"/>
        <w:spacing w:after="0" w:line="271" w:lineRule="auto"/>
        <w:tabs>
          <w:tab w:leader="none" w:pos="9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or not therein provided, every provision of this Indenture relating to the conduct or affecting the liability of, or affording protection to, the Trustee shall be subject to the provisions of this Section;</w:t>
      </w:r>
    </w:p>
    <w:p>
      <w:pPr>
        <w:spacing w:after="0" w:line="131" w:lineRule="exact"/>
        <w:rPr>
          <w:rFonts w:ascii="Arial" w:cs="Arial" w:eastAsia="Arial" w:hAnsi="Arial"/>
          <w:sz w:val="17"/>
          <w:szCs w:val="17"/>
          <w:color w:val="auto"/>
        </w:rPr>
      </w:pPr>
    </w:p>
    <w:p>
      <w:pPr>
        <w:ind w:left="-40" w:right="520" w:firstLine="667"/>
        <w:spacing w:after="0" w:line="340" w:lineRule="auto"/>
        <w:tabs>
          <w:tab w:leader="none" w:pos="9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84" w:lineRule="exact"/>
        <w:rPr>
          <w:rFonts w:ascii="Arial" w:cs="Arial" w:eastAsia="Arial" w:hAnsi="Arial"/>
          <w:sz w:val="15"/>
          <w:szCs w:val="15"/>
          <w:color w:val="auto"/>
        </w:rPr>
      </w:pPr>
    </w:p>
    <w:p>
      <w:pPr>
        <w:ind w:left="-40" w:firstLine="667"/>
        <w:spacing w:after="0" w:line="259" w:lineRule="auto"/>
        <w:tabs>
          <w:tab w:leader="none" w:pos="9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41" w:lineRule="exact"/>
        <w:rPr>
          <w:rFonts w:ascii="Arial" w:cs="Arial" w:eastAsia="Arial" w:hAnsi="Arial"/>
          <w:sz w:val="17"/>
          <w:szCs w:val="17"/>
          <w:color w:val="auto"/>
        </w:rPr>
      </w:pPr>
    </w:p>
    <w:p>
      <w:pPr>
        <w:ind w:left="-40" w:firstLine="667"/>
        <w:spacing w:after="0" w:line="253" w:lineRule="auto"/>
        <w:tabs>
          <w:tab w:leader="none" w:pos="9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47" w:lineRule="exact"/>
        <w:rPr>
          <w:rFonts w:ascii="Arial" w:cs="Arial" w:eastAsia="Arial" w:hAnsi="Arial"/>
          <w:sz w:val="17"/>
          <w:szCs w:val="17"/>
          <w:color w:val="auto"/>
        </w:rPr>
      </w:pPr>
    </w:p>
    <w:p>
      <w:pPr>
        <w:jc w:val="both"/>
        <w:ind w:left="-40" w:right="200" w:firstLine="667"/>
        <w:spacing w:after="0" w:line="259" w:lineRule="auto"/>
        <w:tabs>
          <w:tab w:leader="none" w:pos="9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that the Trustee is also acting as Custodian, Note Registrar, Paying Agent, Conversion Agent or transfer agent hereunder, the rights and protections afforded to the Trustee pursuant to this Article 7 shall also be afforded to such Custodian, Note Registrar, Paying Agent, Conversion Agent or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00"/>
          </w:cols>
          <w:pgMar w:left="340" w:top="1440" w:right="359" w:bottom="1440" w:gutter="0" w:footer="0" w:header="0"/>
        </w:sectPr>
      </w:pPr>
    </w:p>
    <w:bookmarkStart w:id="62" w:name="page63"/>
    <w:bookmarkEnd w:id="62"/>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31"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5"/>
          <w:szCs w:val="15"/>
          <w:i w:val="1"/>
          <w:iCs w:val="1"/>
          <w:color w:val="auto"/>
        </w:rPr>
        <w:t xml:space="preserve">Reliance on Documents, Opinions, Etc. </w:t>
      </w:r>
      <w:r>
        <w:rPr>
          <w:rFonts w:ascii="Arial" w:cs="Arial" w:eastAsia="Arial" w:hAnsi="Arial"/>
          <w:sz w:val="15"/>
          <w:szCs w:val="15"/>
          <w:color w:val="auto"/>
        </w:rPr>
        <w:t>Except as otherwise provided in Section 7.01:</w:t>
      </w:r>
    </w:p>
    <w:p>
      <w:pPr>
        <w:spacing w:after="0" w:line="176" w:lineRule="exact"/>
        <w:rPr>
          <w:sz w:val="20"/>
          <w:szCs w:val="20"/>
          <w:color w:val="auto"/>
        </w:rPr>
      </w:pPr>
    </w:p>
    <w:p>
      <w:pPr>
        <w:jc w:val="both"/>
        <w:ind w:right="100" w:firstLine="667"/>
        <w:spacing w:after="0" w:line="259" w:lineRule="auto"/>
        <w:tabs>
          <w:tab w:leader="none" w:pos="10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41" w:lineRule="exact"/>
        <w:rPr>
          <w:rFonts w:ascii="Arial" w:cs="Arial" w:eastAsia="Arial" w:hAnsi="Arial"/>
          <w:sz w:val="17"/>
          <w:szCs w:val="17"/>
          <w:color w:val="auto"/>
        </w:rPr>
      </w:pPr>
    </w:p>
    <w:p>
      <w:pPr>
        <w:ind w:right="80" w:firstLine="667"/>
        <w:spacing w:after="0" w:line="259" w:lineRule="auto"/>
        <w:tabs>
          <w:tab w:leader="none" w:pos="1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41" w:lineRule="exact"/>
        <w:rPr>
          <w:rFonts w:ascii="Arial" w:cs="Arial" w:eastAsia="Arial" w:hAnsi="Arial"/>
          <w:sz w:val="17"/>
          <w:szCs w:val="17"/>
          <w:color w:val="auto"/>
        </w:rPr>
      </w:pPr>
    </w:p>
    <w:p>
      <w:pPr>
        <w:jc w:val="both"/>
        <w:ind w:right="480" w:firstLine="667"/>
        <w:spacing w:after="0" w:line="259" w:lineRule="auto"/>
        <w:tabs>
          <w:tab w:leader="none" w:pos="10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41" w:lineRule="exact"/>
        <w:rPr>
          <w:rFonts w:ascii="Arial" w:cs="Arial" w:eastAsia="Arial" w:hAnsi="Arial"/>
          <w:sz w:val="17"/>
          <w:szCs w:val="17"/>
          <w:color w:val="auto"/>
        </w:rPr>
      </w:pPr>
    </w:p>
    <w:p>
      <w:pPr>
        <w:ind w:right="200" w:firstLine="667"/>
        <w:spacing w:after="0" w:line="253" w:lineRule="auto"/>
        <w:tabs>
          <w:tab w:leader="none" w:pos="1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47" w:lineRule="exact"/>
        <w:rPr>
          <w:rFonts w:ascii="Arial" w:cs="Arial" w:eastAsia="Arial" w:hAnsi="Arial"/>
          <w:sz w:val="17"/>
          <w:szCs w:val="17"/>
          <w:color w:val="auto"/>
        </w:rPr>
      </w:pPr>
    </w:p>
    <w:p>
      <w:pPr>
        <w:ind w:right="180" w:firstLine="667"/>
        <w:spacing w:after="0" w:line="259" w:lineRule="auto"/>
        <w:tabs>
          <w:tab w:leader="none" w:pos="10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and</w:t>
      </w:r>
    </w:p>
    <w:p>
      <w:pPr>
        <w:spacing w:after="0" w:line="141" w:lineRule="exact"/>
        <w:rPr>
          <w:rFonts w:ascii="Arial" w:cs="Arial" w:eastAsia="Arial" w:hAnsi="Arial"/>
          <w:sz w:val="17"/>
          <w:szCs w:val="17"/>
          <w:color w:val="auto"/>
        </w:rPr>
      </w:pPr>
    </w:p>
    <w:p>
      <w:pPr>
        <w:ind w:left="1020" w:hanging="35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permissive rights of the Trustee enumerated herein shall not be construed as duties.</w:t>
      </w:r>
    </w:p>
    <w:p>
      <w:pPr>
        <w:spacing w:after="0" w:line="176" w:lineRule="exact"/>
        <w:rPr>
          <w:sz w:val="20"/>
          <w:szCs w:val="20"/>
          <w:color w:val="auto"/>
        </w:rPr>
      </w:pPr>
    </w:p>
    <w:p>
      <w:pPr>
        <w:ind w:right="300" w:firstLine="509"/>
        <w:spacing w:after="0" w:line="310" w:lineRule="auto"/>
        <w:rPr>
          <w:sz w:val="20"/>
          <w:szCs w:val="20"/>
          <w:color w:val="auto"/>
        </w:rPr>
      </w:pPr>
      <w:r>
        <w:rPr>
          <w:rFonts w:ascii="Arial" w:cs="Arial" w:eastAsia="Arial" w:hAnsi="Arial"/>
          <w:sz w:val="15"/>
          <w:szCs w:val="15"/>
          <w:color w:val="auto"/>
        </w:rPr>
        <w:t>In no event shall the Trustee be liable for any consequential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80"/>
          </w:cols>
          <w:pgMar w:left="300" w:top="1440" w:right="319" w:bottom="1440" w:gutter="0" w:footer="0" w:header="0"/>
        </w:sectPr>
      </w:pPr>
    </w:p>
    <w:bookmarkStart w:id="63" w:name="page64"/>
    <w:bookmarkEnd w:id="63"/>
    <w:p>
      <w:pPr>
        <w:spacing w:after="0" w:line="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either (1) a Responsible Officer shall have actual knowledge of such Default or Event of Default or (2) written notice of such Default or Event of Default shall have been given to the Trustee by the Company or by any Holder of the Notes.</w:t>
      </w:r>
    </w:p>
    <w:p>
      <w:pPr>
        <w:spacing w:after="0" w:line="131" w:lineRule="exact"/>
        <w:rPr>
          <w:sz w:val="20"/>
          <w:szCs w:val="20"/>
          <w:color w:val="auto"/>
        </w:rPr>
      </w:pPr>
    </w:p>
    <w:p>
      <w:pPr>
        <w:jc w:val="both"/>
        <w:ind w:right="60" w:firstLine="509"/>
        <w:spacing w:after="0" w:line="27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30" w:lineRule="exact"/>
        <w:rPr>
          <w:sz w:val="20"/>
          <w:szCs w:val="20"/>
          <w:color w:val="auto"/>
        </w:rPr>
      </w:pPr>
    </w:p>
    <w:p>
      <w:pPr>
        <w:ind w:right="320" w:firstLine="509"/>
        <w:spacing w:after="0" w:line="259"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Trustee, Paying Agents, Conversion Agents or Note Registrar May Own Notes.</w:t>
      </w:r>
      <w:r>
        <w:rPr>
          <w:rFonts w:ascii="Arial" w:cs="Arial" w:eastAsia="Arial" w:hAnsi="Arial"/>
          <w:sz w:val="17"/>
          <w:szCs w:val="17"/>
          <w:color w:val="auto"/>
        </w:rPr>
        <w:t xml:space="preserve">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4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Monies and Shares of Common Stock to Be Held in Trust.</w:t>
      </w:r>
      <w:r>
        <w:rPr>
          <w:rFonts w:ascii="Arial" w:cs="Arial" w:eastAsia="Arial" w:hAnsi="Arial"/>
          <w:sz w:val="16"/>
          <w:szCs w:val="16"/>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130" w:lineRule="exact"/>
        <w:rPr>
          <w:sz w:val="20"/>
          <w:szCs w:val="20"/>
          <w:color w:val="auto"/>
        </w:rPr>
      </w:pPr>
    </w:p>
    <w:p>
      <w:pPr>
        <w:ind w:firstLine="509"/>
        <w:spacing w:after="0" w:line="286" w:lineRule="auto"/>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i w:val="1"/>
          <w:iCs w:val="1"/>
          <w:color w:val="auto"/>
        </w:rPr>
        <w:t>Compensation and Expenses of Trustee.</w:t>
      </w:r>
      <w:r>
        <w:rPr>
          <w:rFonts w:ascii="Arial" w:cs="Arial" w:eastAsia="Arial" w:hAnsi="Arial"/>
          <w:sz w:val="15"/>
          <w:szCs w:val="15"/>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willful misconduct or bad faith.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willful misconduct or bad faith on the part of the Trustee, its officers, directors, agents or employees, or such agent or authenticating agent, as the case may be,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00" w:top="1440" w:right="359" w:bottom="1440" w:gutter="0" w:footer="0" w:header="0"/>
        </w:sectPr>
      </w:pPr>
    </w:p>
    <w:bookmarkStart w:id="64" w:name="page65"/>
    <w:bookmarkEnd w:id="64"/>
    <w:p>
      <w:pPr>
        <w:spacing w:after="0" w:line="8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6.04,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2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4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Officer’s Certificate as Evidence.</w:t>
      </w:r>
      <w:r>
        <w:rPr>
          <w:rFonts w:ascii="Arial" w:cs="Arial" w:eastAsia="Arial" w:hAnsi="Arial"/>
          <w:sz w:val="17"/>
          <w:szCs w:val="17"/>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willful misconduct, recklessness and bad faith on the part of the Trustee, be deemed to be conclusively proved and established by an Officer’s Certificate delivered to the Trustee, and such Officer’s Certificate, in the absence of gross negligence, willful misconduct, recklessness and bad faith on the part of the Trustee, shall be full warrant to the Trustee for any action taken or omitted by it under the provisions of this Indenture upon the faith thereof.</w:t>
      </w:r>
    </w:p>
    <w:p>
      <w:pPr>
        <w:spacing w:after="0" w:line="148"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Eligibility of Trustee.</w:t>
      </w:r>
      <w:r>
        <w:rPr>
          <w:rFonts w:ascii="Arial" w:cs="Arial" w:eastAsia="Arial" w:hAnsi="Arial"/>
          <w:sz w:val="17"/>
          <w:szCs w:val="17"/>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48"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7.09.</w:t>
      </w:r>
      <w:r>
        <w:rPr>
          <w:sz w:val="20"/>
          <w:szCs w:val="20"/>
          <w:color w:val="auto"/>
        </w:rPr>
        <w:tab/>
      </w:r>
      <w:r>
        <w:rPr>
          <w:rFonts w:ascii="Arial" w:cs="Arial" w:eastAsia="Arial" w:hAnsi="Arial"/>
          <w:sz w:val="15"/>
          <w:szCs w:val="15"/>
          <w:i w:val="1"/>
          <w:iCs w:val="1"/>
          <w:color w:val="auto"/>
        </w:rPr>
        <w:t>Resignation or Removal of Trustee.</w:t>
      </w:r>
    </w:p>
    <w:p>
      <w:pPr>
        <w:spacing w:after="0" w:line="176" w:lineRule="exact"/>
        <w:rPr>
          <w:sz w:val="20"/>
          <w:szCs w:val="20"/>
          <w:color w:val="auto"/>
        </w:rPr>
      </w:pPr>
    </w:p>
    <w:p>
      <w:pPr>
        <w:ind w:right="20" w:firstLine="667"/>
        <w:spacing w:after="0" w:line="271" w:lineRule="auto"/>
        <w:tabs>
          <w:tab w:leader="none" w:pos="10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00" w:top="1440" w:right="359" w:bottom="1440" w:gutter="0" w:footer="0" w:header="0"/>
        </w:sectPr>
      </w:pPr>
    </w:p>
    <w:bookmarkStart w:id="65" w:name="page66"/>
    <w:bookmarkEnd w:id="65"/>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duplicate, executed by order of the Board of Directors, one copy of which instrument shall be delivered to the resigning Trustee and one copy to the successor trustee. If no successor trustee shall have been so appointed and have accepted appointment within 60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6.10,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54" w:lineRule="exact"/>
        <w:rPr>
          <w:sz w:val="20"/>
          <w:szCs w:val="20"/>
          <w:color w:val="auto"/>
        </w:rPr>
      </w:pPr>
    </w:p>
    <w:p>
      <w:pPr>
        <w:ind w:left="1020" w:hanging="35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case at any time any of the following shall occur:</w:t>
      </w:r>
    </w:p>
    <w:p>
      <w:pPr>
        <w:spacing w:after="0" w:line="175" w:lineRule="exact"/>
        <w:rPr>
          <w:rFonts w:ascii="Arial" w:cs="Arial" w:eastAsia="Arial" w:hAnsi="Arial"/>
          <w:sz w:val="17"/>
          <w:szCs w:val="17"/>
          <w:color w:val="auto"/>
        </w:rPr>
      </w:pPr>
    </w:p>
    <w:p>
      <w:pPr>
        <w:ind w:left="520" w:right="140" w:firstLine="758"/>
        <w:spacing w:after="0" w:line="271" w:lineRule="auto"/>
        <w:tabs>
          <w:tab w:leader="none" w:pos="1533"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Trustee shall cease to be eligible in accordance with the provisions of Section 7.08 and shall fail to resign after written request therefor by the Company or by any such Holder, or</w:t>
      </w:r>
    </w:p>
    <w:p>
      <w:pPr>
        <w:spacing w:after="0" w:line="131" w:lineRule="exact"/>
        <w:rPr>
          <w:rFonts w:ascii="Arial" w:cs="Arial" w:eastAsia="Arial" w:hAnsi="Arial"/>
          <w:sz w:val="17"/>
          <w:szCs w:val="17"/>
          <w:color w:val="auto"/>
        </w:rPr>
      </w:pPr>
    </w:p>
    <w:p>
      <w:pPr>
        <w:ind w:left="520" w:right="200" w:firstLine="758"/>
        <w:spacing w:after="0" w:line="259" w:lineRule="auto"/>
        <w:tabs>
          <w:tab w:leader="none" w:pos="15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42"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6.10,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18" w:lineRule="exact"/>
        <w:rPr>
          <w:sz w:val="20"/>
          <w:szCs w:val="20"/>
          <w:color w:val="auto"/>
        </w:rPr>
      </w:pPr>
    </w:p>
    <w:p>
      <w:pPr>
        <w:ind w:right="60" w:firstLine="667"/>
        <w:spacing w:after="0" w:line="276" w:lineRule="auto"/>
        <w:tabs>
          <w:tab w:leader="none" w:pos="10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29" w:lineRule="exact"/>
        <w:rPr>
          <w:rFonts w:ascii="Arial" w:cs="Arial" w:eastAsia="Arial" w:hAnsi="Arial"/>
          <w:sz w:val="16"/>
          <w:szCs w:val="16"/>
          <w:color w:val="auto"/>
        </w:rPr>
      </w:pPr>
    </w:p>
    <w:p>
      <w:pPr>
        <w:ind w:right="180" w:firstLine="667"/>
        <w:spacing w:after="0" w:line="271" w:lineRule="auto"/>
        <w:tabs>
          <w:tab w:leader="none" w:pos="10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80"/>
          </w:cols>
          <w:pgMar w:left="300" w:top="1440" w:right="319" w:bottom="1440" w:gutter="0" w:footer="0" w:header="0"/>
        </w:sectPr>
      </w:pPr>
    </w:p>
    <w:bookmarkStart w:id="66" w:name="page67"/>
    <w:bookmarkEnd w:id="66"/>
    <w:p>
      <w:pPr>
        <w:spacing w:after="0" w:line="84" w:lineRule="exact"/>
        <w:rPr>
          <w:sz w:val="20"/>
          <w:szCs w:val="20"/>
          <w:color w:val="auto"/>
        </w:rPr>
      </w:pPr>
    </w:p>
    <w:p>
      <w:pPr>
        <w:ind w:right="20" w:firstLine="509"/>
        <w:spacing w:after="0" w:line="287"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Acceptance by Successor Trustee.</w:t>
      </w:r>
      <w:r>
        <w:rPr>
          <w:rFonts w:ascii="Arial" w:cs="Arial" w:eastAsia="Arial" w:hAnsi="Arial"/>
          <w:sz w:val="15"/>
          <w:szCs w:val="15"/>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2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No successor trustee shall accept appointment as provided in this Section 7.10 unless at the time of such acceptance such successor trustee shall be eligible under the provisions of Section 7.08.</w:t>
      </w:r>
    </w:p>
    <w:p>
      <w:pPr>
        <w:spacing w:after="0" w:line="13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4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Succession by Merger, Etc.</w:t>
      </w:r>
      <w:r>
        <w:rPr>
          <w:rFonts w:ascii="Arial" w:cs="Arial" w:eastAsia="Arial" w:hAnsi="Arial"/>
          <w:sz w:val="17"/>
          <w:szCs w:val="17"/>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4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80"/>
          </w:cols>
          <w:pgMar w:left="300" w:top="1440" w:right="319" w:bottom="1440" w:gutter="0" w:footer="0" w:header="0"/>
        </w:sectPr>
      </w:pPr>
    </w:p>
    <w:bookmarkStart w:id="67" w:name="page68"/>
    <w:bookmarkEnd w:id="67"/>
    <w:p>
      <w:pPr>
        <w:spacing w:after="0" w:line="84" w:lineRule="exact"/>
        <w:rPr>
          <w:sz w:val="20"/>
          <w:szCs w:val="20"/>
          <w:color w:val="auto"/>
        </w:rPr>
      </w:pPr>
    </w:p>
    <w:p>
      <w:pPr>
        <w:jc w:val="both"/>
        <w:ind w:right="220"/>
        <w:spacing w:after="0" w:line="255" w:lineRule="auto"/>
        <w:rPr>
          <w:sz w:val="20"/>
          <w:szCs w:val="20"/>
          <w:color w:val="auto"/>
        </w:rPr>
      </w:pPr>
      <w:r>
        <w:rPr>
          <w:rFonts w:ascii="Arial" w:cs="Arial" w:eastAsia="Arial" w:hAnsi="Arial"/>
          <w:sz w:val="17"/>
          <w:szCs w:val="17"/>
          <w:color w:val="auto"/>
        </w:rPr>
        <w:t xml:space="preserve">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45" w:lineRule="exact"/>
        <w:rPr>
          <w:sz w:val="20"/>
          <w:szCs w:val="20"/>
          <w:color w:val="auto"/>
        </w:rPr>
      </w:pPr>
    </w:p>
    <w:p>
      <w:pPr>
        <w:ind w:firstLine="509"/>
        <w:spacing w:after="0" w:line="288" w:lineRule="auto"/>
        <w:rPr>
          <w:sz w:val="20"/>
          <w:szCs w:val="20"/>
          <w:color w:val="auto"/>
        </w:rPr>
      </w:pPr>
      <w:r>
        <w:rPr>
          <w:rFonts w:ascii="Arial" w:cs="Arial" w:eastAsia="Arial" w:hAnsi="Arial"/>
          <w:sz w:val="15"/>
          <w:szCs w:val="15"/>
          <w:color w:val="auto"/>
        </w:rPr>
        <w:t xml:space="preserve">Section 7.12. </w:t>
      </w:r>
      <w:r>
        <w:rPr>
          <w:rFonts w:ascii="Arial" w:cs="Arial" w:eastAsia="Arial" w:hAnsi="Arial"/>
          <w:sz w:val="15"/>
          <w:szCs w:val="15"/>
          <w:i w:val="1"/>
          <w:iCs w:val="1"/>
          <w:color w:val="auto"/>
        </w:rPr>
        <w:t>Trustee’s Application for Instructions from the Company.</w:t>
      </w:r>
      <w:r>
        <w:rPr>
          <w:rFonts w:ascii="Arial" w:cs="Arial" w:eastAsia="Arial" w:hAnsi="Arial"/>
          <w:sz w:val="15"/>
          <w:szCs w:val="15"/>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11" w:lineRule="exact"/>
        <w:rPr>
          <w:sz w:val="20"/>
          <w:szCs w:val="20"/>
          <w:color w:val="auto"/>
        </w:rPr>
      </w:pPr>
    </w:p>
    <w:p>
      <w:pPr>
        <w:jc w:val="center"/>
        <w:ind w:right="-279"/>
        <w:spacing w:after="0"/>
        <w:tabs>
          <w:tab w:leader="none" w:pos="140" w:val="left"/>
        </w:tabs>
        <w:rPr>
          <w:sz w:val="20"/>
          <w:szCs w:val="20"/>
          <w:color w:val="auto"/>
        </w:rPr>
      </w:pPr>
      <w:r>
        <w:rPr>
          <w:rFonts w:ascii="Arial" w:cs="Arial" w:eastAsia="Arial" w:hAnsi="Arial"/>
          <w:sz w:val="17"/>
          <w:szCs w:val="17"/>
          <w:color w:val="auto"/>
        </w:rPr>
        <w:t>Article 8.</w:t>
      </w:r>
      <w:r>
        <w:rPr>
          <w:sz w:val="20"/>
          <w:szCs w:val="20"/>
          <w:color w:val="auto"/>
        </w:rPr>
        <w:tab/>
      </w:r>
      <w:r>
        <w:rPr>
          <w:rFonts w:ascii="Arial" w:cs="Arial" w:eastAsia="Arial" w:hAnsi="Arial"/>
          <w:sz w:val="15"/>
          <w:szCs w:val="15"/>
          <w:color w:val="auto"/>
        </w:rPr>
        <w:t>Concerning the Holders</w:t>
      </w:r>
    </w:p>
    <w:p>
      <w:pPr>
        <w:spacing w:after="0" w:line="1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Action by Holders.</w:t>
      </w:r>
      <w:r>
        <w:rPr>
          <w:rFonts w:ascii="Arial" w:cs="Arial" w:eastAsia="Arial" w:hAnsi="Arial"/>
          <w:sz w:val="16"/>
          <w:szCs w:val="16"/>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or by the record of the Holders voting in favor thereof at any meeting of Holders duly called and held in accordance with the provisions of Article 9, or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39"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Proof of Execution by Holders.</w:t>
      </w:r>
      <w:r>
        <w:rPr>
          <w:rFonts w:ascii="Arial" w:cs="Arial" w:eastAsia="Arial" w:hAnsi="Arial"/>
          <w:sz w:val="17"/>
          <w:szCs w:val="17"/>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300" w:top="1440" w:right="339" w:bottom="1440" w:gutter="0" w:footer="0" w:header="0"/>
        </w:sectPr>
      </w:pPr>
    </w:p>
    <w:bookmarkStart w:id="68" w:name="page69"/>
    <w:bookmarkEnd w:id="68"/>
    <w:p>
      <w:pPr>
        <w:spacing w:after="0" w:line="84"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holding of Notes shall be proved by the Note Register or by a certificate of the Note Registrar. The record of any Holders’ meeting shall be proved in the manner provided in Section 9.06.</w:t>
      </w:r>
    </w:p>
    <w:p>
      <w:pPr>
        <w:spacing w:after="0" w:line="131" w:lineRule="exact"/>
        <w:rPr>
          <w:sz w:val="20"/>
          <w:szCs w:val="20"/>
          <w:color w:val="auto"/>
        </w:rPr>
      </w:pPr>
    </w:p>
    <w:p>
      <w:pPr>
        <w:ind w:right="100" w:firstLine="509"/>
        <w:spacing w:after="0" w:line="288"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Who Are Deemed Absolute Owners.</w:t>
      </w:r>
      <w:r>
        <w:rPr>
          <w:rFonts w:ascii="Arial" w:cs="Arial" w:eastAsia="Arial" w:hAnsi="Arial"/>
          <w:sz w:val="15"/>
          <w:szCs w:val="15"/>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w:t>
      </w:r>
    </w:p>
    <w:p>
      <w:pPr>
        <w:spacing w:after="0" w:line="127" w:lineRule="exact"/>
        <w:rPr>
          <w:sz w:val="20"/>
          <w:szCs w:val="20"/>
          <w:color w:val="auto"/>
        </w:rPr>
      </w:pPr>
    </w:p>
    <w:p>
      <w:pPr>
        <w:ind w:right="20" w:firstLine="509"/>
        <w:spacing w:after="0" w:line="287"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i w:val="1"/>
          <w:iCs w:val="1"/>
          <w:color w:val="auto"/>
        </w:rPr>
        <w:t>Company-Owned Notes Disregarded.</w:t>
      </w:r>
      <w:r>
        <w:rPr>
          <w:rFonts w:ascii="Arial" w:cs="Arial" w:eastAsia="Arial" w:hAnsi="Arial"/>
          <w:sz w:val="15"/>
          <w:szCs w:val="15"/>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23" w:lineRule="exact"/>
        <w:rPr>
          <w:sz w:val="20"/>
          <w:szCs w:val="20"/>
          <w:color w:val="auto"/>
        </w:rPr>
      </w:pPr>
    </w:p>
    <w:p>
      <w:pPr>
        <w:jc w:val="both"/>
        <w:ind w:firstLine="509"/>
        <w:spacing w:after="0" w:line="300" w:lineRule="auto"/>
        <w:rPr>
          <w:sz w:val="20"/>
          <w:szCs w:val="20"/>
          <w:color w:val="auto"/>
        </w:rPr>
      </w:pPr>
      <w:r>
        <w:rPr>
          <w:rFonts w:ascii="Arial" w:cs="Arial" w:eastAsia="Arial" w:hAnsi="Arial"/>
          <w:sz w:val="15"/>
          <w:szCs w:val="15"/>
          <w:color w:val="auto"/>
        </w:rPr>
        <w:t xml:space="preserve">Section 8.05. </w:t>
      </w:r>
      <w:r>
        <w:rPr>
          <w:rFonts w:ascii="Arial" w:cs="Arial" w:eastAsia="Arial" w:hAnsi="Arial"/>
          <w:sz w:val="15"/>
          <w:szCs w:val="15"/>
          <w:i w:val="1"/>
          <w:iCs w:val="1"/>
          <w:color w:val="auto"/>
        </w:rPr>
        <w:t>Revocation of Consents; Future Holders Bound.</w:t>
      </w:r>
      <w:r>
        <w:rPr>
          <w:rFonts w:ascii="Arial" w:cs="Arial" w:eastAsia="Arial" w:hAnsi="Arial"/>
          <w:sz w:val="15"/>
          <w:szCs w:val="15"/>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300" w:top="1440" w:right="339" w:bottom="1440" w:gutter="0" w:footer="0" w:header="0"/>
        </w:sectPr>
      </w:pPr>
    </w:p>
    <w:bookmarkStart w:id="69" w:name="page70"/>
    <w:bookmarkEnd w:id="69"/>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27" w:lineRule="exact"/>
        <w:rPr>
          <w:sz w:val="20"/>
          <w:szCs w:val="20"/>
          <w:color w:val="auto"/>
        </w:rPr>
      </w:pPr>
    </w:p>
    <w:p>
      <w:pPr>
        <w:jc w:val="center"/>
        <w:ind w:right="-299"/>
        <w:spacing w:after="0"/>
        <w:tabs>
          <w:tab w:leader="none" w:pos="140" w:val="left"/>
        </w:tabs>
        <w:rPr>
          <w:sz w:val="20"/>
          <w:szCs w:val="20"/>
          <w:color w:val="auto"/>
        </w:rPr>
      </w:pPr>
      <w:r>
        <w:rPr>
          <w:rFonts w:ascii="Arial" w:cs="Arial" w:eastAsia="Arial" w:hAnsi="Arial"/>
          <w:sz w:val="17"/>
          <w:szCs w:val="17"/>
          <w:color w:val="auto"/>
        </w:rPr>
        <w:t>Article 9.</w:t>
      </w:r>
      <w:r>
        <w:rPr>
          <w:sz w:val="20"/>
          <w:szCs w:val="20"/>
          <w:color w:val="auto"/>
        </w:rPr>
        <w:tab/>
      </w:r>
      <w:r>
        <w:rPr>
          <w:rFonts w:ascii="Arial" w:cs="Arial" w:eastAsia="Arial" w:hAnsi="Arial"/>
          <w:sz w:val="15"/>
          <w:szCs w:val="15"/>
          <w:color w:val="auto"/>
        </w:rPr>
        <w:t>Holders’ Meetings</w:t>
      </w:r>
    </w:p>
    <w:p>
      <w:pPr>
        <w:spacing w:after="0" w:line="176" w:lineRule="exact"/>
        <w:rPr>
          <w:sz w:val="20"/>
          <w:szCs w:val="20"/>
          <w:color w:val="auto"/>
        </w:rPr>
      </w:pPr>
    </w:p>
    <w:p>
      <w:pPr>
        <w:ind w:right="220" w:firstLine="509"/>
        <w:spacing w:after="0" w:line="271"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Purpose of Meetings.</w:t>
      </w:r>
      <w:r>
        <w:rPr>
          <w:rFonts w:ascii="Arial" w:cs="Arial" w:eastAsia="Arial" w:hAnsi="Arial"/>
          <w:sz w:val="17"/>
          <w:szCs w:val="17"/>
          <w:color w:val="auto"/>
        </w:rPr>
        <w:t xml:space="preserve"> A meeting of Holders may be called at any time and from time to time pursuant to the provisions of this Article 9 for any of the following purposes:</w:t>
      </w:r>
    </w:p>
    <w:p>
      <w:pPr>
        <w:spacing w:after="0" w:line="131" w:lineRule="exact"/>
        <w:rPr>
          <w:sz w:val="20"/>
          <w:szCs w:val="20"/>
          <w:color w:val="auto"/>
        </w:rPr>
      </w:pPr>
    </w:p>
    <w:p>
      <w:pPr>
        <w:jc w:val="both"/>
        <w:ind w:firstLine="667"/>
        <w:spacing w:after="0" w:line="259" w:lineRule="auto"/>
        <w:tabs>
          <w:tab w:leader="none" w:pos="101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41" w:lineRule="exact"/>
        <w:rPr>
          <w:rFonts w:ascii="Arial" w:cs="Arial" w:eastAsia="Arial" w:hAnsi="Arial"/>
          <w:sz w:val="17"/>
          <w:szCs w:val="17"/>
          <w:color w:val="auto"/>
        </w:rPr>
      </w:pPr>
    </w:p>
    <w:p>
      <w:pPr>
        <w:ind w:left="1020" w:hanging="35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remove the Trustee and nominate a successor trustee pursuant to the provisions of Article 7;</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consent to the execution of an indenture or indentures supplemental hereto pursuant to the provisions of Section 10.02; or</w:t>
      </w:r>
    </w:p>
    <w:p>
      <w:pPr>
        <w:spacing w:after="0" w:line="175" w:lineRule="exact"/>
        <w:rPr>
          <w:rFonts w:ascii="Arial" w:cs="Arial" w:eastAsia="Arial" w:hAnsi="Arial"/>
          <w:sz w:val="17"/>
          <w:szCs w:val="17"/>
          <w:color w:val="auto"/>
        </w:rPr>
      </w:pPr>
    </w:p>
    <w:p>
      <w:pPr>
        <w:ind w:firstLine="667"/>
        <w:spacing w:after="0" w:line="271" w:lineRule="auto"/>
        <w:tabs>
          <w:tab w:leader="none" w:pos="101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Notes under any other provision of this Indenture or under applicable law.</w:t>
      </w:r>
    </w:p>
    <w:p>
      <w:pPr>
        <w:spacing w:after="0" w:line="131" w:lineRule="exact"/>
        <w:rPr>
          <w:sz w:val="20"/>
          <w:szCs w:val="20"/>
          <w:color w:val="auto"/>
        </w:rPr>
      </w:pPr>
    </w:p>
    <w:p>
      <w:pPr>
        <w:jc w:val="both"/>
        <w:ind w:right="20" w:firstLine="509"/>
        <w:spacing w:after="0" w:line="300"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Call of Meetings by Trustee.</w:t>
      </w:r>
      <w:r>
        <w:rPr>
          <w:rFonts w:ascii="Arial" w:cs="Arial" w:eastAsia="Arial" w:hAnsi="Arial"/>
          <w:sz w:val="15"/>
          <w:szCs w:val="15"/>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1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4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Call of Meetings by Company or Holders.</w:t>
      </w:r>
      <w:r>
        <w:rPr>
          <w:rFonts w:ascii="Arial" w:cs="Arial" w:eastAsia="Arial" w:hAnsi="Arial"/>
          <w:sz w:val="17"/>
          <w:szCs w:val="17"/>
          <w:color w:val="auto"/>
        </w:rPr>
        <w:t xml:space="preserve"> In case at any time the Company, pursuant to a Board Resolution, or the Holders of at least 10% of the aggregate principal amount of the Notes then outstanding, shall have requested the Trustee to call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60"/>
          </w:cols>
          <w:pgMar w:left="300" w:top="1440" w:right="339" w:bottom="1440" w:gutter="0" w:footer="0" w:header="0"/>
        </w:sectPr>
      </w:pPr>
    </w:p>
    <w:bookmarkStart w:id="70" w:name="page71"/>
    <w:bookmarkEnd w:id="70"/>
    <w:p>
      <w:pPr>
        <w:spacing w:after="0" w:line="84" w:lineRule="exact"/>
        <w:rPr>
          <w:sz w:val="20"/>
          <w:szCs w:val="20"/>
          <w:color w:val="auto"/>
        </w:rPr>
      </w:pPr>
    </w:p>
    <w:p>
      <w:pPr>
        <w:jc w:val="both"/>
        <w:ind w:right="200"/>
        <w:spacing w:after="0" w:line="283" w:lineRule="auto"/>
        <w:rPr>
          <w:sz w:val="20"/>
          <w:szCs w:val="20"/>
          <w:color w:val="auto"/>
        </w:rPr>
      </w:pPr>
      <w:r>
        <w:rPr>
          <w:rFonts w:ascii="Arial" w:cs="Arial" w:eastAsia="Arial" w:hAnsi="Arial"/>
          <w:sz w:val="16"/>
          <w:szCs w:val="16"/>
          <w:color w:val="auto"/>
        </w:rPr>
        <w:t>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2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xml:space="preserve"> To be entitled to vote at any meeting of Holders a Person shall be a Holder of one or more Notes on the record date pertaining to such meeting or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3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Regulations.</w:t>
      </w:r>
      <w:r>
        <w:rPr>
          <w:rFonts w:ascii="Arial" w:cs="Arial" w:eastAsia="Arial" w:hAnsi="Arial"/>
          <w:sz w:val="17"/>
          <w:szCs w:val="17"/>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45"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45"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33" w:lineRule="exact"/>
        <w:rPr>
          <w:sz w:val="20"/>
          <w:szCs w:val="20"/>
          <w:color w:val="auto"/>
        </w:rPr>
      </w:pPr>
    </w:p>
    <w:p>
      <w:pPr>
        <w:jc w:val="both"/>
        <w:ind w:right="620" w:firstLine="509"/>
        <w:spacing w:after="0" w:line="310"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i w:val="1"/>
          <w:iCs w:val="1"/>
          <w:color w:val="auto"/>
        </w:rPr>
        <w:t>Voting.</w:t>
      </w:r>
      <w:r>
        <w:rPr>
          <w:rFonts w:ascii="Arial" w:cs="Arial" w:eastAsia="Arial" w:hAnsi="Arial"/>
          <w:sz w:val="15"/>
          <w:szCs w:val="15"/>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60"/>
          </w:cols>
          <w:pgMar w:left="300" w:top="1440" w:right="339" w:bottom="1440" w:gutter="0" w:footer="0" w:header="0"/>
        </w:sectPr>
      </w:pPr>
    </w:p>
    <w:bookmarkStart w:id="71" w:name="page72"/>
    <w:bookmarkEnd w:id="71"/>
    <w:p>
      <w:pPr>
        <w:spacing w:after="0" w:line="84"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record so signed and verified shall be conclusive evidence of the matters therein stated.</w:t>
      </w:r>
    </w:p>
    <w:p>
      <w:pPr>
        <w:spacing w:after="0" w:line="176"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209" w:lineRule="exact"/>
        <w:rPr>
          <w:sz w:val="20"/>
          <w:szCs w:val="20"/>
          <w:color w:val="auto"/>
        </w:rPr>
      </w:pPr>
    </w:p>
    <w:p>
      <w:pPr>
        <w:jc w:val="center"/>
        <w:ind w:right="-279"/>
        <w:spacing w:after="0"/>
        <w:tabs>
          <w:tab w:leader="none" w:pos="160" w:val="left"/>
        </w:tabs>
        <w:rPr>
          <w:sz w:val="20"/>
          <w:szCs w:val="20"/>
          <w:color w:val="auto"/>
        </w:rPr>
      </w:pPr>
      <w:r>
        <w:rPr>
          <w:rFonts w:ascii="Arial" w:cs="Arial" w:eastAsia="Arial" w:hAnsi="Arial"/>
          <w:sz w:val="17"/>
          <w:szCs w:val="17"/>
          <w:color w:val="auto"/>
        </w:rPr>
        <w:t>Article 10.</w:t>
      </w:r>
      <w:r>
        <w:rPr>
          <w:sz w:val="20"/>
          <w:szCs w:val="20"/>
          <w:color w:val="auto"/>
        </w:rPr>
        <w:tab/>
      </w:r>
      <w:r>
        <w:rPr>
          <w:rFonts w:ascii="Arial" w:cs="Arial" w:eastAsia="Arial" w:hAnsi="Arial"/>
          <w:sz w:val="15"/>
          <w:szCs w:val="15"/>
          <w:color w:val="auto"/>
        </w:rPr>
        <w:t>Supplemental Indentures</w:t>
      </w:r>
    </w:p>
    <w:p>
      <w:pPr>
        <w:spacing w:after="0" w:line="176"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xml:space="preserve"> The Company and the Trustee, at the Company’s expense, may from time to time and at any time amend the Notes or enter into an indenture or indentures supplemental hereto in each case for one or more of the following purposes:</w:t>
      </w:r>
    </w:p>
    <w:p>
      <w:pPr>
        <w:spacing w:after="0" w:line="108" w:lineRule="exact"/>
        <w:rPr>
          <w:sz w:val="20"/>
          <w:szCs w:val="20"/>
          <w:color w:val="auto"/>
        </w:rPr>
      </w:pPr>
    </w:p>
    <w:p>
      <w:pPr>
        <w:ind w:left="1020" w:hanging="35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cure any mistake, ambiguity, omission, defect or inconsistency;</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 provide for the assumption by a Successor Corporation of the obligations of the Company under the Notes and this Indenture pursuant to Article 11;</w:t>
      </w:r>
    </w:p>
    <w:p>
      <w:pPr>
        <w:spacing w:after="0" w:line="198" w:lineRule="exact"/>
        <w:rPr>
          <w:rFonts w:ascii="Arial" w:cs="Arial" w:eastAsia="Arial" w:hAnsi="Arial"/>
          <w:sz w:val="15"/>
          <w:szCs w:val="15"/>
          <w:color w:val="auto"/>
        </w:rPr>
      </w:pPr>
    </w:p>
    <w:p>
      <w:pPr>
        <w:ind w:left="1020" w:hanging="35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add guarantees with respect to the Notes;</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secure the Notes;</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add to the covenants or Events of Default of the Company for the benefit of the Holders or surrender any right or power conferred upon the</w:t>
      </w:r>
    </w:p>
    <w:p>
      <w:pPr>
        <w:spacing w:after="0" w:line="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162" w:lineRule="exact"/>
        <w:rPr>
          <w:rFonts w:ascii="Arial" w:cs="Arial" w:eastAsia="Arial" w:hAnsi="Arial"/>
          <w:sz w:val="16"/>
          <w:szCs w:val="16"/>
          <w:color w:val="auto"/>
        </w:rPr>
      </w:pPr>
    </w:p>
    <w:p>
      <w:pPr>
        <w:ind w:left="1020" w:hanging="353"/>
        <w:spacing w:after="0"/>
        <w:tabs>
          <w:tab w:leader="none" w:pos="1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 make any change that does not, individually or in the aggregate with all other such changes, materially adversely affect the rights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60"/>
          </w:cols>
          <w:pgMar w:left="300" w:top="1440" w:right="339" w:bottom="1440" w:gutter="0" w:footer="0" w:header="0"/>
        </w:sectPr>
      </w:pPr>
    </w:p>
    <w:bookmarkStart w:id="72" w:name="page73"/>
    <w:bookmarkEnd w:id="72"/>
    <w:p>
      <w:pPr>
        <w:spacing w:after="0" w:line="84" w:lineRule="exact"/>
        <w:rPr>
          <w:sz w:val="20"/>
          <w:szCs w:val="20"/>
          <w:color w:val="auto"/>
        </w:rPr>
      </w:pPr>
    </w:p>
    <w:p>
      <w:pPr>
        <w:ind w:right="40" w:firstLine="667"/>
        <w:spacing w:after="0" w:line="271"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connection with any Merger Event, to provide that the Notes are convertible into Reference Property, subject to the provisions of Section 14.02, and make such related changes to the terms of the Notes to the extent expressly required by Section 14.06;</w:t>
      </w:r>
    </w:p>
    <w:p>
      <w:pPr>
        <w:spacing w:after="0" w:line="131" w:lineRule="exact"/>
        <w:rPr>
          <w:rFonts w:ascii="Arial" w:cs="Arial" w:eastAsia="Arial" w:hAnsi="Arial"/>
          <w:sz w:val="17"/>
          <w:szCs w:val="17"/>
          <w:color w:val="auto"/>
        </w:rPr>
      </w:pPr>
    </w:p>
    <w:p>
      <w:pPr>
        <w:ind w:right="20" w:firstLine="667"/>
        <w:spacing w:after="0" w:line="271"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comply with the rules of any applicable Depositary, including The Depository Trust Company, so long as such amendment does not adversely affect the rights of any Holder in any material respect;</w:t>
      </w:r>
    </w:p>
    <w:p>
      <w:pPr>
        <w:spacing w:after="0" w:line="131" w:lineRule="exact"/>
        <w:rPr>
          <w:rFonts w:ascii="Arial" w:cs="Arial" w:eastAsia="Arial" w:hAnsi="Arial"/>
          <w:sz w:val="17"/>
          <w:szCs w:val="17"/>
          <w:color w:val="auto"/>
        </w:rPr>
      </w:pPr>
    </w:p>
    <w:p>
      <w:pPr>
        <w:ind w:left="1020" w:hanging="35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increase the Conversion Rate as provided in this Indenture;</w:t>
      </w:r>
    </w:p>
    <w:p>
      <w:pPr>
        <w:spacing w:after="0" w:line="175" w:lineRule="exact"/>
        <w:rPr>
          <w:rFonts w:ascii="Arial" w:cs="Arial" w:eastAsia="Arial" w:hAnsi="Arial"/>
          <w:sz w:val="17"/>
          <w:szCs w:val="17"/>
          <w:color w:val="auto"/>
        </w:rPr>
      </w:pPr>
    </w:p>
    <w:p>
      <w:pPr>
        <w:ind w:right="180" w:firstLine="667"/>
        <w:spacing w:after="0" w:line="271" w:lineRule="auto"/>
        <w:tabs>
          <w:tab w:leader="none" w:pos="101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provide for the acceptance of appointment by a Trustee or successor Trustee, security registrar, Paying Agent or Conversion Agent, or to facilitate the administration of the trusts under this Indenture by more than one trustee;</w:t>
      </w:r>
    </w:p>
    <w:p>
      <w:pPr>
        <w:spacing w:after="0" w:line="131" w:lineRule="exact"/>
        <w:rPr>
          <w:rFonts w:ascii="Arial" w:cs="Arial" w:eastAsia="Arial" w:hAnsi="Arial"/>
          <w:sz w:val="17"/>
          <w:szCs w:val="17"/>
          <w:color w:val="auto"/>
        </w:rPr>
      </w:pPr>
    </w:p>
    <w:p>
      <w:pPr>
        <w:jc w:val="both"/>
        <w:ind w:right="120" w:firstLine="667"/>
        <w:spacing w:after="0" w:line="259"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to irrevocably elect a Settlement Method or a Specified Dollar Amount, or eliminate the Company’s right to elect a Settlement Method;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election or elimination shall affect any Settlement Method theretofore elected (or deemed to be elected) with respect to any Note pursuant to the provisions of Article 14; or</w:t>
      </w:r>
    </w:p>
    <w:p>
      <w:pPr>
        <w:spacing w:after="0" w:line="141" w:lineRule="exact"/>
        <w:rPr>
          <w:rFonts w:ascii="Arial" w:cs="Arial" w:eastAsia="Arial" w:hAnsi="Arial"/>
          <w:sz w:val="17"/>
          <w:szCs w:val="17"/>
          <w:color w:val="auto"/>
        </w:rPr>
      </w:pPr>
    </w:p>
    <w:p>
      <w:pPr>
        <w:ind w:left="1020" w:hanging="35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make PIK Payments (including to issue PIK Notes) or facilitate the same.</w:t>
      </w:r>
    </w:p>
    <w:p>
      <w:pPr>
        <w:spacing w:after="0" w:line="176" w:lineRule="exact"/>
        <w:rPr>
          <w:sz w:val="20"/>
          <w:szCs w:val="20"/>
          <w:color w:val="auto"/>
        </w:rPr>
      </w:pPr>
    </w:p>
    <w:p>
      <w:pPr>
        <w:ind w:firstLine="509"/>
        <w:spacing w:after="0" w:line="310" w:lineRule="auto"/>
        <w:rPr>
          <w:sz w:val="20"/>
          <w:szCs w:val="20"/>
          <w:color w:val="auto"/>
        </w:rPr>
      </w:pPr>
      <w:r>
        <w:rPr>
          <w:rFonts w:ascii="Arial" w:cs="Arial" w:eastAsia="Arial" w:hAnsi="Arial"/>
          <w:sz w:val="15"/>
          <w:szCs w:val="15"/>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amendment or supplemental indenture that affects the Trustee’s own rights, duties or immunities under this Indenture or otherwise.</w:t>
      </w:r>
    </w:p>
    <w:p>
      <w:pPr>
        <w:spacing w:after="0" w:line="106"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Any amendment or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31" w:lineRule="exact"/>
        <w:rPr>
          <w:sz w:val="20"/>
          <w:szCs w:val="20"/>
          <w:color w:val="auto"/>
        </w:rPr>
      </w:pPr>
    </w:p>
    <w:p>
      <w:pPr>
        <w:ind w:right="20" w:firstLine="509"/>
        <w:spacing w:after="0" w:line="292"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i w:val="1"/>
          <w:iCs w:val="1"/>
          <w:color w:val="auto"/>
        </w:rPr>
        <w:t>Supplemental Indentures with Consent of Holders.</w:t>
      </w:r>
      <w:r>
        <w:rPr>
          <w:rFonts w:ascii="Arial" w:cs="Arial" w:eastAsia="Arial" w:hAnsi="Arial"/>
          <w:sz w:val="15"/>
          <w:szCs w:val="15"/>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amend the Notes and/or enter into an indenture or indentures supplemental hereto in each case for the purpose of adding any provisions to or changing in any manner or eliminating any of the provisions of this Indenture, the Notes or any supplemental indenture or of modifying in any manner the rights of the Holders;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without the consent of each Holder of an outstanding Note affected, no such amendment or supplemental indenture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80"/>
          </w:cols>
          <w:pgMar w:left="300" w:top="1440" w:right="319" w:bottom="1440" w:gutter="0" w:footer="0" w:header="0"/>
        </w:sectPr>
      </w:pPr>
    </w:p>
    <w:bookmarkStart w:id="73" w:name="page74"/>
    <w:bookmarkEnd w:id="73"/>
    <w:p>
      <w:pPr>
        <w:spacing w:after="0" w:line="84" w:lineRule="exact"/>
        <w:rPr>
          <w:sz w:val="20"/>
          <w:szCs w:val="20"/>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the amount of Notes whose Holders must consent to any amendment, supplement, waiver or other modification;</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the rate of or extend the stated time for payment of interest on any Note;</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the principal of or extend the Maturity Date of any Note;</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as expressly required by this Indenture, make any change that adversely affects the conversion rights of any Notes;</w:t>
      </w:r>
    </w:p>
    <w:p>
      <w:pPr>
        <w:spacing w:after="0" w:line="175" w:lineRule="exact"/>
        <w:rPr>
          <w:rFonts w:ascii="Arial" w:cs="Arial" w:eastAsia="Arial" w:hAnsi="Arial"/>
          <w:sz w:val="17"/>
          <w:szCs w:val="17"/>
          <w:color w:val="auto"/>
        </w:rPr>
      </w:pPr>
    </w:p>
    <w:p>
      <w:pPr>
        <w:ind w:right="400" w:firstLine="667"/>
        <w:spacing w:after="0" w:line="271" w:lineRule="auto"/>
        <w:tabs>
          <w:tab w:leader="none" w:pos="10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the Redemption Price or the Fundamental Change Repurchase Price of any Note or change the times at which, or the circumstances under which, the Notes will be redeemed or repurchased by the Company;</w:t>
      </w:r>
    </w:p>
    <w:p>
      <w:pPr>
        <w:spacing w:after="0" w:line="131"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make any Note payable in a currency, or at a place of payment, other than that stated in the Note;</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 the ranking of the Notes; or</w:t>
      </w:r>
    </w:p>
    <w:p>
      <w:pPr>
        <w:spacing w:after="0" w:line="175" w:lineRule="exact"/>
        <w:rPr>
          <w:rFonts w:ascii="Arial" w:cs="Arial" w:eastAsia="Arial" w:hAnsi="Arial"/>
          <w:sz w:val="17"/>
          <w:szCs w:val="17"/>
          <w:color w:val="auto"/>
        </w:rPr>
      </w:pPr>
    </w:p>
    <w:p>
      <w:pPr>
        <w:ind w:left="1020" w:hanging="353"/>
        <w:spacing w:after="0"/>
        <w:tabs>
          <w:tab w:leader="none" w:pos="10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make any direct or indirect change in this Article 10 that requires each Holder’s consent or in the waiver provisions in Section 6.02 or Section 6.08.</w:t>
      </w:r>
    </w:p>
    <w:p>
      <w:pPr>
        <w:spacing w:after="0" w:line="19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Upon the written request of the Company, and upon the filing with the Trustee of evidence of the consent of Holders as aforesaid and subject to Section 10.05, the Trustee shall join with the Company in the execution of such amendment or supplemental indenture unless such amendment or supplemental indenture affects the Trustee’s own rights, duties or immunities under this Indenture or otherwise, in which case the Trustee may in its discretion, but shall not be obligated to, enter into such amendment or supplemental indenture.</w:t>
      </w:r>
    </w:p>
    <w:p>
      <w:pPr>
        <w:spacing w:after="0" w:line="145"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Holders do not need under this Section 10.02 to approve the particular form of any proposed amendment or supplemental indenture. It shall be sufficient if such Holders approve the substance thereof. After any such amendment or supplemental indenture becomes effective, the Company shall deliver to the Holders a notice briefly describing such amendment or supplemental indenture. However, the failure to give such notice to all the Holders, or any defect in the notice, will not impair or affect the validity of the amendment or supplemental indenture.</w:t>
      </w:r>
    </w:p>
    <w:p>
      <w:pPr>
        <w:spacing w:after="0" w:line="145"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Effect of Supplemental Indentures.</w:t>
      </w:r>
      <w:r>
        <w:rPr>
          <w:rFonts w:ascii="Arial" w:cs="Arial" w:eastAsia="Arial" w:hAnsi="Arial"/>
          <w:sz w:val="16"/>
          <w:szCs w:val="16"/>
          <w:color w:val="auto"/>
        </w:rPr>
        <w:t xml:space="preserve"> Upon the execution of any amendment or supplemental indenture pursuant to the provisions of this Article 10, the Notes and/or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amendment or supplemental indenture shall be and be deemed to be part of the terms and conditions of the Notes and/or this Indenture for any and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80"/>
          </w:cols>
          <w:pgMar w:left="300" w:top="1440" w:right="319" w:bottom="1440" w:gutter="0" w:footer="0" w:header="0"/>
        </w:sectPr>
      </w:pPr>
    </w:p>
    <w:bookmarkStart w:id="74" w:name="page75"/>
    <w:bookmarkEnd w:id="74"/>
    <w:p>
      <w:pPr>
        <w:spacing w:after="0" w:line="8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Notation on Notes.</w:t>
      </w:r>
      <w:r>
        <w:rPr>
          <w:rFonts w:ascii="Arial" w:cs="Arial" w:eastAsia="Arial" w:hAnsi="Arial"/>
          <w:sz w:val="16"/>
          <w:szCs w:val="16"/>
          <w:color w:val="auto"/>
        </w:rPr>
        <w:t xml:space="preserve"> Notes authenticated and delivered after the execution of any amendment or supplemental indenture pursuant to the provisions of this Article 10 may, at the Company’s expense, bear a notation in form approved by the Trustee as to any matter provided for in such amendment or supplemental indenture. If the Company or the Trustee shall so determine, new Notes so modified as to conform, in the opinion of the Trustee and the Company, to any modification of the Notes or this Indenture contained in any such amendment or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33" w:lineRule="exact"/>
        <w:rPr>
          <w:sz w:val="20"/>
          <w:szCs w:val="20"/>
          <w:color w:val="auto"/>
        </w:rPr>
      </w:pPr>
    </w:p>
    <w:p>
      <w:pPr>
        <w:jc w:val="both"/>
        <w:ind w:right="280" w:firstLine="509"/>
        <w:spacing w:after="0" w:line="283"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Evidence of Compliance of Supplemental Indenture to Be Furnished Trustee.</w:t>
      </w:r>
      <w:r>
        <w:rPr>
          <w:rFonts w:ascii="Arial" w:cs="Arial" w:eastAsia="Arial" w:hAnsi="Arial"/>
          <w:sz w:val="16"/>
          <w:szCs w:val="16"/>
          <w:color w:val="auto"/>
        </w:rPr>
        <w:t xml:space="preserve"> In addition to the documents required by Section 17.05, the Trustee shall receive an Officer’s Certificate and an Opinion of Counsel as conclusive evidence that any amendment or supplemental indenture executed pursuant hereto complies with the requirements of this Article 10 and is permitted or authorized by this Indenture.</w:t>
      </w:r>
    </w:p>
    <w:p>
      <w:pPr>
        <w:spacing w:after="0" w:line="209" w:lineRule="exact"/>
        <w:rPr>
          <w:sz w:val="20"/>
          <w:szCs w:val="20"/>
          <w:color w:val="auto"/>
        </w:rPr>
      </w:pPr>
    </w:p>
    <w:p>
      <w:pPr>
        <w:jc w:val="center"/>
        <w:ind w:right="-259"/>
        <w:spacing w:after="0"/>
        <w:tabs>
          <w:tab w:leader="none" w:pos="160" w:val="left"/>
        </w:tabs>
        <w:rPr>
          <w:sz w:val="20"/>
          <w:szCs w:val="20"/>
          <w:color w:val="auto"/>
        </w:rPr>
      </w:pPr>
      <w:r>
        <w:rPr>
          <w:rFonts w:ascii="Arial" w:cs="Arial" w:eastAsia="Arial" w:hAnsi="Arial"/>
          <w:sz w:val="17"/>
          <w:szCs w:val="17"/>
          <w:color w:val="auto"/>
        </w:rPr>
        <w:t>Article 11.</w:t>
      </w:r>
      <w:r>
        <w:rPr>
          <w:sz w:val="20"/>
          <w:szCs w:val="20"/>
          <w:color w:val="auto"/>
        </w:rPr>
        <w:tab/>
      </w:r>
      <w:r>
        <w:rPr>
          <w:rFonts w:ascii="Arial" w:cs="Arial" w:eastAsia="Arial" w:hAnsi="Arial"/>
          <w:sz w:val="15"/>
          <w:szCs w:val="15"/>
          <w:color w:val="auto"/>
        </w:rPr>
        <w:t>Consolidation, Merger, Sale, Conveyance and Lease</w:t>
      </w:r>
    </w:p>
    <w:p>
      <w:pPr>
        <w:spacing w:after="0" w:line="176" w:lineRule="exact"/>
        <w:rPr>
          <w:sz w:val="20"/>
          <w:szCs w:val="20"/>
          <w:color w:val="auto"/>
        </w:rPr>
      </w:pPr>
    </w:p>
    <w:p>
      <w:pPr>
        <w:ind w:right="400" w:firstLine="509"/>
        <w:spacing w:after="0" w:line="259"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Company May Consolidate, Etc. on Certain Terms.</w:t>
      </w:r>
      <w:r>
        <w:rPr>
          <w:rFonts w:ascii="Arial" w:cs="Arial" w:eastAsia="Arial" w:hAnsi="Arial"/>
          <w:sz w:val="17"/>
          <w:szCs w:val="17"/>
          <w:color w:val="auto"/>
        </w:rPr>
        <w:t xml:space="preserve"> Subject to the provisions of Section 11.02, the Company shall not consolidate with, merge with or into, or sell, convey, transfer or lease all or substantially all of its properties and assets of the Company and its Subsidiaries, taken as a whole (a “</w:t>
      </w:r>
      <w:r>
        <w:rPr>
          <w:rFonts w:ascii="Arial" w:cs="Arial" w:eastAsia="Arial" w:hAnsi="Arial"/>
          <w:sz w:val="17"/>
          <w:szCs w:val="17"/>
          <w:b w:val="1"/>
          <w:bCs w:val="1"/>
          <w:color w:val="auto"/>
        </w:rPr>
        <w:t>Business Combination Event</w:t>
      </w:r>
      <w:r>
        <w:rPr>
          <w:rFonts w:ascii="Arial" w:cs="Arial" w:eastAsia="Arial" w:hAnsi="Arial"/>
          <w:sz w:val="17"/>
          <w:szCs w:val="17"/>
          <w:color w:val="auto"/>
        </w:rPr>
        <w:t>”), to another Person, unless:</w:t>
      </w:r>
    </w:p>
    <w:p>
      <w:pPr>
        <w:spacing w:after="0" w:line="138" w:lineRule="exact"/>
        <w:rPr>
          <w:sz w:val="20"/>
          <w:szCs w:val="20"/>
          <w:color w:val="auto"/>
        </w:rPr>
      </w:pPr>
    </w:p>
    <w:p>
      <w:pPr>
        <w:ind w:firstLine="667"/>
        <w:spacing w:after="0" w:line="302" w:lineRule="auto"/>
        <w:tabs>
          <w:tab w:leader="none" w:pos="1013"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resulting, surviving or transferee Person either (x) is the Company or (y) if not the Company, is a corporation (the “</w:t>
      </w:r>
      <w:r>
        <w:rPr>
          <w:rFonts w:ascii="Arial" w:cs="Arial" w:eastAsia="Arial" w:hAnsi="Arial"/>
          <w:sz w:val="15"/>
          <w:szCs w:val="15"/>
          <w:b w:val="1"/>
          <w:bCs w:val="1"/>
          <w:color w:val="auto"/>
        </w:rPr>
        <w:t>Successor Corporation</w:t>
      </w:r>
      <w:r>
        <w:rPr>
          <w:rFonts w:ascii="Arial" w:cs="Arial" w:eastAsia="Arial" w:hAnsi="Arial"/>
          <w:sz w:val="15"/>
          <w:szCs w:val="15"/>
          <w:color w:val="auto"/>
        </w:rPr>
        <w:t>”)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or amendment to the Notes, as the case may be (for purposes of this Article 11, a “</w:t>
      </w:r>
      <w:r>
        <w:rPr>
          <w:rFonts w:ascii="Arial" w:cs="Arial" w:eastAsia="Arial" w:hAnsi="Arial"/>
          <w:sz w:val="15"/>
          <w:szCs w:val="15"/>
          <w:b w:val="1"/>
          <w:bCs w:val="1"/>
          <w:color w:val="auto"/>
        </w:rPr>
        <w:t>supplemental indenture</w:t>
      </w:r>
      <w:r>
        <w:rPr>
          <w:rFonts w:ascii="Arial" w:cs="Arial" w:eastAsia="Arial" w:hAnsi="Arial"/>
          <w:sz w:val="15"/>
          <w:szCs w:val="15"/>
          <w:color w:val="auto"/>
        </w:rPr>
        <w:t>”), pursuant to Section 11.02) all of the Company’s obligations under this Indenture and the Notes; and</w:t>
      </w:r>
    </w:p>
    <w:p>
      <w:pPr>
        <w:spacing w:after="0" w:line="111" w:lineRule="exact"/>
        <w:rPr>
          <w:rFonts w:ascii="Arial" w:cs="Arial" w:eastAsia="Arial" w:hAnsi="Arial"/>
          <w:sz w:val="15"/>
          <w:szCs w:val="15"/>
          <w:color w:val="auto"/>
        </w:rPr>
      </w:pPr>
    </w:p>
    <w:p>
      <w:pPr>
        <w:ind w:left="1020" w:hanging="35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under this Indenture.</w:t>
      </w:r>
    </w:p>
    <w:p>
      <w:pPr>
        <w:spacing w:after="0" w:line="187"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Successor Corporation to Be Substituted.</w:t>
      </w:r>
      <w:r>
        <w:rPr>
          <w:rFonts w:ascii="Arial" w:cs="Arial" w:eastAsia="Arial" w:hAnsi="Arial"/>
          <w:sz w:val="17"/>
          <w:szCs w:val="17"/>
          <w:color w:val="auto"/>
        </w:rPr>
        <w:t xml:space="preserve"> In case of any such consolidation, merger, sale, conveyance, transfer or lease and upon the assumption by the Successor Corporation,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Corporation (if not the Company) shall succeed to and, except in the case of a lease of all or substantially all of the Company’s properties and assets,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80"/>
          </w:cols>
          <w:pgMar w:left="300" w:top="1440" w:right="319" w:bottom="1440" w:gutter="0" w:footer="0" w:header="0"/>
        </w:sectPr>
      </w:pPr>
    </w:p>
    <w:bookmarkStart w:id="75" w:name="page76"/>
    <w:bookmarkEnd w:id="75"/>
    <w:p>
      <w:pPr>
        <w:spacing w:after="0" w:line="8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substituted for the Company, with the same effect as if it had been named herein as the party of the first part. Such Successor Corporation thereupon may cause to be signed, and may issue either in its own name or in the name of the Company any or all of the Notes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Corporation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3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In case of any such consolidation, merger, sale, conveyance, transfer or lease, such changes in phraseology and form (but not in substance) may be made in the Notes thereafter to be issued as may be appropriate.</w:t>
      </w:r>
    </w:p>
    <w:p>
      <w:pPr>
        <w:spacing w:after="0" w:line="13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Delivery of Officer's Certificate and Opinion of Counsel to the Trustee.</w:t>
      </w:r>
      <w:r>
        <w:rPr>
          <w:rFonts w:ascii="Arial" w:cs="Arial" w:eastAsia="Arial" w:hAnsi="Arial"/>
          <w:sz w:val="17"/>
          <w:szCs w:val="17"/>
          <w:color w:val="auto"/>
        </w:rPr>
        <w:t xml:space="preserve"> Before the effective time of any Business Combination Event, if at such time there is a Trustee, the Company shall deliver to the Trustee an Officer’s Certificate and Opinion of Counsel, each stating that (i) such Business Combination Event (and, if applicable, the related supplemental indenture) complies with Section 11.01 and Section 11.02; and (ii) all conditions precedent to such Business Combination Event provided in this Indenture, if any, have been satisfied.</w:t>
      </w:r>
    </w:p>
    <w:p>
      <w:pPr>
        <w:spacing w:after="0" w:line="230" w:lineRule="exact"/>
        <w:rPr>
          <w:sz w:val="20"/>
          <w:szCs w:val="20"/>
          <w:color w:val="auto"/>
        </w:rPr>
      </w:pPr>
    </w:p>
    <w:p>
      <w:pPr>
        <w:jc w:val="center"/>
        <w:ind w:right="-299"/>
        <w:spacing w:after="0"/>
        <w:tabs>
          <w:tab w:leader="none" w:pos="140" w:val="left"/>
        </w:tabs>
        <w:rPr>
          <w:sz w:val="20"/>
          <w:szCs w:val="20"/>
          <w:color w:val="auto"/>
        </w:rPr>
      </w:pPr>
      <w:r>
        <w:rPr>
          <w:rFonts w:ascii="Arial" w:cs="Arial" w:eastAsia="Arial" w:hAnsi="Arial"/>
          <w:sz w:val="17"/>
          <w:szCs w:val="17"/>
          <w:color w:val="auto"/>
        </w:rPr>
        <w:t>Article 12.</w:t>
      </w:r>
      <w:r>
        <w:rPr>
          <w:sz w:val="20"/>
          <w:szCs w:val="20"/>
          <w:color w:val="auto"/>
        </w:rPr>
        <w:tab/>
      </w:r>
      <w:r>
        <w:rPr>
          <w:rFonts w:ascii="Arial" w:cs="Arial" w:eastAsia="Arial" w:hAnsi="Arial"/>
          <w:sz w:val="15"/>
          <w:szCs w:val="15"/>
          <w:color w:val="auto"/>
        </w:rPr>
        <w:t>Immunity of Incorporators, Stockholders, Officers and Directors</w:t>
      </w:r>
    </w:p>
    <w:p>
      <w:pPr>
        <w:spacing w:after="0" w:line="17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Indenture and Notes Solely Corporate Obligations.</w:t>
      </w:r>
      <w:r>
        <w:rPr>
          <w:rFonts w:ascii="Arial" w:cs="Arial" w:eastAsia="Arial" w:hAnsi="Arial"/>
          <w:sz w:val="17"/>
          <w:szCs w:val="17"/>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00" w:top="1440" w:right="359" w:bottom="1440" w:gutter="0" w:footer="0" w:header="0"/>
        </w:sectPr>
      </w:pPr>
    </w:p>
    <w:bookmarkStart w:id="76" w:name="page77"/>
    <w:bookmarkEnd w:id="76"/>
    <w:p>
      <w:pPr>
        <w:spacing w:after="0" w:line="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understood that all such liability is hereby expressly waived and released as a condition of, and as a consideration for, the execution of this Indenture and the issue of the Notes.</w:t>
      </w:r>
    </w:p>
    <w:p>
      <w:pPr>
        <w:spacing w:after="0" w:line="216" w:lineRule="exact"/>
        <w:rPr>
          <w:sz w:val="20"/>
          <w:szCs w:val="20"/>
          <w:color w:val="auto"/>
        </w:rPr>
      </w:pPr>
    </w:p>
    <w:p>
      <w:pPr>
        <w:jc w:val="center"/>
        <w:ind w:right="-279"/>
        <w:spacing w:after="0"/>
        <w:tabs>
          <w:tab w:leader="none" w:pos="200" w:val="left"/>
        </w:tabs>
        <w:rPr>
          <w:sz w:val="20"/>
          <w:szCs w:val="20"/>
          <w:color w:val="auto"/>
        </w:rPr>
      </w:pPr>
      <w:r>
        <w:rPr>
          <w:rFonts w:ascii="Arial" w:cs="Arial" w:eastAsia="Arial" w:hAnsi="Arial"/>
          <w:sz w:val="17"/>
          <w:szCs w:val="17"/>
          <w:color w:val="auto"/>
        </w:rPr>
        <w:t>Article 13.</w:t>
      </w:r>
      <w:r>
        <w:rPr>
          <w:sz w:val="20"/>
          <w:szCs w:val="20"/>
          <w:color w:val="auto"/>
        </w:rPr>
        <w:tab/>
      </w:r>
      <w:r>
        <w:rPr>
          <w:rFonts w:ascii="Arial" w:cs="Arial" w:eastAsia="Arial" w:hAnsi="Arial"/>
          <w:sz w:val="16"/>
          <w:szCs w:val="16"/>
          <w:color w:val="auto"/>
        </w:rPr>
        <w:t>[Intentionally Omitted]</w:t>
      </w:r>
    </w:p>
    <w:p>
      <w:pPr>
        <w:spacing w:after="0" w:line="261" w:lineRule="exact"/>
        <w:rPr>
          <w:sz w:val="20"/>
          <w:szCs w:val="20"/>
          <w:color w:val="auto"/>
        </w:rPr>
      </w:pPr>
    </w:p>
    <w:p>
      <w:pPr>
        <w:jc w:val="center"/>
        <w:ind w:right="-259"/>
        <w:spacing w:after="0"/>
        <w:tabs>
          <w:tab w:leader="none" w:pos="160" w:val="left"/>
        </w:tabs>
        <w:rPr>
          <w:sz w:val="20"/>
          <w:szCs w:val="20"/>
          <w:color w:val="auto"/>
        </w:rPr>
      </w:pPr>
      <w:r>
        <w:rPr>
          <w:rFonts w:ascii="Arial" w:cs="Arial" w:eastAsia="Arial" w:hAnsi="Arial"/>
          <w:sz w:val="17"/>
          <w:szCs w:val="17"/>
          <w:color w:val="auto"/>
        </w:rPr>
        <w:t>Article 14.</w:t>
      </w:r>
      <w:r>
        <w:rPr>
          <w:sz w:val="20"/>
          <w:szCs w:val="20"/>
          <w:color w:val="auto"/>
        </w:rPr>
        <w:tab/>
      </w:r>
      <w:r>
        <w:rPr>
          <w:rFonts w:ascii="Arial" w:cs="Arial" w:eastAsia="Arial" w:hAnsi="Arial"/>
          <w:sz w:val="15"/>
          <w:szCs w:val="15"/>
          <w:color w:val="auto"/>
        </w:rPr>
        <w:t>Conversion of Notes</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i w:val="1"/>
          <w:iCs w:val="1"/>
          <w:color w:val="auto"/>
        </w:rPr>
        <w:t>Conversion Privilege.</w:t>
      </w:r>
      <w:r>
        <w:rPr>
          <w:rFonts w:ascii="Arial" w:cs="Arial" w:eastAsia="Arial" w:hAnsi="Arial"/>
          <w:sz w:val="16"/>
          <w:szCs w:val="16"/>
          <w:color w:val="auto"/>
        </w:rPr>
        <w:t xml:space="preserve"> Subject to and upon compliance with the provisions of this Article 14, each Holder of a Note shall have the right, at such Holder’s option at any time and from time to time, to convert all or any portion (if the portion to be converted is $1,000 Capitalized Principal Amount or any integral multiple of $1.00 in excess thereof) of such Note prior to the close of business on the Business Day immediately preceding the Maturity Date, in each case, at an initial conversion rate of 49.9910 shares of Common Stock (subject to adjustment as provided in this Article 14, the “</w:t>
      </w:r>
      <w:r>
        <w:rPr>
          <w:rFonts w:ascii="Arial" w:cs="Arial" w:eastAsia="Arial" w:hAnsi="Arial"/>
          <w:sz w:val="16"/>
          <w:szCs w:val="16"/>
          <w:b w:val="1"/>
          <w:bCs w:val="1"/>
          <w:color w:val="auto"/>
        </w:rPr>
        <w:t>Conversion Rate</w:t>
      </w:r>
      <w:r>
        <w:rPr>
          <w:rFonts w:ascii="Arial" w:cs="Arial" w:eastAsia="Arial" w:hAnsi="Arial"/>
          <w:sz w:val="16"/>
          <w:szCs w:val="16"/>
          <w:color w:val="auto"/>
        </w:rPr>
        <w:t>”) per $1,000 Capitalized Principal Amount of Notes (subject to, and in accordance with, the settlement provisions of Section 14.02, the “</w:t>
      </w:r>
      <w:r>
        <w:rPr>
          <w:rFonts w:ascii="Arial" w:cs="Arial" w:eastAsia="Arial" w:hAnsi="Arial"/>
          <w:sz w:val="16"/>
          <w:szCs w:val="16"/>
          <w:b w:val="1"/>
          <w:bCs w:val="1"/>
          <w:color w:val="auto"/>
        </w:rPr>
        <w:t>Conversion Obligation</w:t>
      </w:r>
      <w:r>
        <w:rPr>
          <w:rFonts w:ascii="Arial" w:cs="Arial" w:eastAsia="Arial" w:hAnsi="Arial"/>
          <w:sz w:val="16"/>
          <w:szCs w:val="16"/>
          <w:color w:val="auto"/>
        </w:rPr>
        <w:t>”).</w:t>
      </w:r>
    </w:p>
    <w:p>
      <w:pPr>
        <w:spacing w:after="0" w:line="131"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14.02.</w:t>
      </w:r>
      <w:r>
        <w:rPr>
          <w:sz w:val="20"/>
          <w:szCs w:val="20"/>
          <w:color w:val="auto"/>
        </w:rPr>
        <w:tab/>
      </w:r>
      <w:r>
        <w:rPr>
          <w:rFonts w:ascii="Arial" w:cs="Arial" w:eastAsia="Arial" w:hAnsi="Arial"/>
          <w:sz w:val="15"/>
          <w:szCs w:val="15"/>
          <w:i w:val="1"/>
          <w:iCs w:val="1"/>
          <w:color w:val="auto"/>
        </w:rPr>
        <w:t>Conversion Procedure; Settlement Upon Conversion.</w:t>
      </w:r>
    </w:p>
    <w:p>
      <w:pPr>
        <w:spacing w:after="0" w:line="176" w:lineRule="exact"/>
        <w:rPr>
          <w:sz w:val="20"/>
          <w:szCs w:val="20"/>
          <w:color w:val="auto"/>
        </w:rPr>
      </w:pPr>
    </w:p>
    <w:p>
      <w:pPr>
        <w:ind w:right="120" w:firstLine="667"/>
        <w:spacing w:after="0" w:line="273" w:lineRule="auto"/>
        <w:tabs>
          <w:tab w:leader="none" w:pos="101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this Section 14.02 and Section 14.06(a), upon conversion of any Note, the Company shall pay or deliver, as the case may be, to the converting Holder, in respect of each $1,000 Capitalized Principal Amount of Notes being converted, cash (“</w:t>
      </w:r>
      <w:r>
        <w:rPr>
          <w:rFonts w:ascii="Arial" w:cs="Arial" w:eastAsia="Arial" w:hAnsi="Arial"/>
          <w:sz w:val="16"/>
          <w:szCs w:val="16"/>
          <w:b w:val="1"/>
          <w:bCs w:val="1"/>
          <w:color w:val="auto"/>
        </w:rPr>
        <w:t>Cash Settlement</w:t>
      </w:r>
      <w:r>
        <w:rPr>
          <w:rFonts w:ascii="Arial" w:cs="Arial" w:eastAsia="Arial" w:hAnsi="Arial"/>
          <w:sz w:val="16"/>
          <w:szCs w:val="16"/>
          <w:color w:val="auto"/>
        </w:rPr>
        <w:t>”), shares of Common Stock, together with cash, if applicable, in lieu of delivering any fractional share of Common Stock in accordance with subsection (j) of this Section 14.02 (“</w:t>
      </w:r>
      <w:r>
        <w:rPr>
          <w:rFonts w:ascii="Arial" w:cs="Arial" w:eastAsia="Arial" w:hAnsi="Arial"/>
          <w:sz w:val="16"/>
          <w:szCs w:val="16"/>
          <w:b w:val="1"/>
          <w:bCs w:val="1"/>
          <w:color w:val="auto"/>
        </w:rPr>
        <w:t>Physical Settlement</w:t>
      </w:r>
      <w:r>
        <w:rPr>
          <w:rFonts w:ascii="Arial" w:cs="Arial" w:eastAsia="Arial" w:hAnsi="Arial"/>
          <w:sz w:val="16"/>
          <w:szCs w:val="16"/>
          <w:color w:val="auto"/>
        </w:rPr>
        <w:t>”) or a combination of cash and shares of Common Stock, together with cash, if applicable, in lieu of delivering any fractional share of Common Stock in accordance with subsection (j) of this Section 14.02 (“</w:t>
      </w:r>
      <w:r>
        <w:rPr>
          <w:rFonts w:ascii="Arial" w:cs="Arial" w:eastAsia="Arial" w:hAnsi="Arial"/>
          <w:sz w:val="16"/>
          <w:szCs w:val="16"/>
          <w:b w:val="1"/>
          <w:bCs w:val="1"/>
          <w:color w:val="auto"/>
        </w:rPr>
        <w:t>Combination Settlement</w:t>
      </w:r>
      <w:r>
        <w:rPr>
          <w:rFonts w:ascii="Arial" w:cs="Arial" w:eastAsia="Arial" w:hAnsi="Arial"/>
          <w:sz w:val="16"/>
          <w:szCs w:val="16"/>
          <w:color w:val="auto"/>
        </w:rPr>
        <w:t>”), at its election, as set forth in this Section 14.02.</w:t>
      </w:r>
    </w:p>
    <w:p>
      <w:pPr>
        <w:spacing w:after="0" w:line="131" w:lineRule="exact"/>
        <w:rPr>
          <w:rFonts w:ascii="Arial" w:cs="Arial" w:eastAsia="Arial" w:hAnsi="Arial"/>
          <w:sz w:val="16"/>
          <w:szCs w:val="16"/>
          <w:color w:val="auto"/>
        </w:rPr>
      </w:pPr>
    </w:p>
    <w:p>
      <w:pPr>
        <w:ind w:left="520" w:right="40" w:firstLine="758"/>
        <w:spacing w:after="0" w:line="259" w:lineRule="auto"/>
        <w:tabs>
          <w:tab w:leader="none" w:pos="1533"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conversions for which the relevant Conversion Date occurs after the Company’s issuance of a Redemption Notice with respect to the Notes and prior to the related Redemption Date, and all conversions for which the relevant Conversion Date occurs on or after the Cut-off Date, shall be settled using the same Settlement Method.</w:t>
      </w:r>
    </w:p>
    <w:p>
      <w:pPr>
        <w:spacing w:after="0" w:line="141" w:lineRule="exact"/>
        <w:rPr>
          <w:rFonts w:ascii="Arial" w:cs="Arial" w:eastAsia="Arial" w:hAnsi="Arial"/>
          <w:sz w:val="17"/>
          <w:szCs w:val="17"/>
          <w:color w:val="auto"/>
        </w:rPr>
      </w:pPr>
    </w:p>
    <w:p>
      <w:pPr>
        <w:ind w:left="520" w:right="60" w:firstLine="758"/>
        <w:spacing w:after="0" w:line="255" w:lineRule="auto"/>
        <w:tabs>
          <w:tab w:leader="none" w:pos="15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Except for any conversions for which the relevant Conversion Date occurs after the Company’s issuance of a Redemption Notice with respect to the Notes but prior to the related Redemption Date, and any conversions for which the relevant Conversion Date occurs on or after the Cut-off Date, the Company shall use the same Settlement Method for all conversions with the same Conversion Date, but the Company shall not have any obligation to use the same Settlement Method with respect to conversions with different Conversion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80"/>
          </w:cols>
          <w:pgMar w:left="300" w:top="1440" w:right="319" w:bottom="1440" w:gutter="0" w:footer="0" w:header="0"/>
        </w:sectPr>
      </w:pPr>
    </w:p>
    <w:bookmarkStart w:id="77" w:name="page78"/>
    <w:bookmarkEnd w:id="77"/>
    <w:p>
      <w:pPr>
        <w:spacing w:after="0" w:line="84" w:lineRule="exact"/>
        <w:rPr>
          <w:sz w:val="20"/>
          <w:szCs w:val="20"/>
          <w:color w:val="auto"/>
        </w:rPr>
      </w:pPr>
    </w:p>
    <w:p>
      <w:pPr>
        <w:jc w:val="both"/>
        <w:ind w:left="520" w:right="140" w:firstLine="758"/>
        <w:spacing w:after="0" w:line="285" w:lineRule="auto"/>
        <w:tabs>
          <w:tab w:leader="none" w:pos="1531" w:val="left"/>
        </w:tabs>
        <w:numPr>
          <w:ilvl w:val="1"/>
          <w:numId w:val="36"/>
        </w:numPr>
        <w:rPr>
          <w:rFonts w:ascii="Arial" w:cs="Arial" w:eastAsia="Arial" w:hAnsi="Arial"/>
          <w:sz w:val="15"/>
          <w:szCs w:val="15"/>
          <w:color w:val="auto"/>
        </w:rPr>
      </w:pPr>
      <w:r>
        <w:rPr>
          <w:rFonts w:ascii="Arial" w:cs="Arial" w:eastAsia="Arial" w:hAnsi="Arial"/>
          <w:sz w:val="15"/>
          <w:szCs w:val="15"/>
          <w:color w:val="auto"/>
        </w:rPr>
        <w:t>If, in respect of any Conversion Date (or one of the periods described in the third immediately succeeding set of parentheses, as the case may be), the Company elects to deliver a notice (the “</w:t>
      </w:r>
      <w:r>
        <w:rPr>
          <w:rFonts w:ascii="Arial" w:cs="Arial" w:eastAsia="Arial" w:hAnsi="Arial"/>
          <w:sz w:val="15"/>
          <w:szCs w:val="15"/>
          <w:b w:val="1"/>
          <w:bCs w:val="1"/>
          <w:color w:val="auto"/>
        </w:rPr>
        <w:t>Settlement Notice</w:t>
      </w:r>
      <w:r>
        <w:rPr>
          <w:rFonts w:ascii="Arial" w:cs="Arial" w:eastAsia="Arial" w:hAnsi="Arial"/>
          <w:sz w:val="15"/>
          <w:szCs w:val="15"/>
          <w:color w:val="auto"/>
        </w:rPr>
        <w:t>”) of the relevant Settlement Method in respect of such Conversion Date (or such period, as the case may be), the Company, through the Trustee, shall deliver such Settlement Notice to converting Holders no later than the close of business on the second Trading Day immediately following the relevant Conversion Date (or, in the case of any conversions for which the relevant Conversion Date occurs</w:t>
      </w:r>
    </w:p>
    <w:p>
      <w:pPr>
        <w:ind w:left="520" w:hanging="6"/>
        <w:spacing w:after="0" w:line="265"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after the date of issuance of a Redemption Notice with respect to the Notes and prior to the related Redemption Date, in such Redemption Notice or (y) on or after the Cut-off Date, no later than the Cut-off Date).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Capitalized Principal Amount of Notes. If the Company delivers a Settlement Notice electing Combination Settlement (or is deemed to have elected Combination Settlement) in respect of its Conversion Obligation but does not indicate a Specified Dollar Amount per $1,000 Capitalized Principal Amount of Notes in such Settlement Notice, the Specified Dollar Amount per $1,000 Capitalized Principal Amount of Notes shall be deemed to be $1,000. For the avoidance of doubt, the Company’s failure to timely elect a Settlement Method or specify as applicable a Specified Dollar Amount shall not constitute a Default under this Indenture.</w:t>
      </w:r>
    </w:p>
    <w:p>
      <w:pPr>
        <w:spacing w:after="0" w:line="140"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By notice to Holders, the Trustee and the Conversion Agent (if other than the Trustee), the Company may, from time to time, change the Default Settlement Method. By notice to all Holders, the Company may, at its option, irrevocably elect to satisfy its Conversion Obligation with respect to the Notes through any Settlement Method that the Company is then permitted to elect, including Combination Settlement with a Specified Dollar Amount per $1,000 Capitalized Principal Amount of Notes of $1,000 or with an ability to continue to set the Specified Dollar Amount per $1,000 Capitalized Principal Amount of Notes at or above a specific amount set forth in such election notice. If the Company changes the Default Settlement Method or the Company irrevocably elects to fix the Settlement Method, in either case, to Combination Settlement with an ability to continue to set the Specified Dollar Amount per $1,000 Capitalized Principal Amount of Notes at or above a specific amount, the Company will, after the date of such change or election, as the case may be, inform Holders converting their Notes through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Capitalized Principal Amount of Notes. A change in the Default Settlement Method or an irrevocable election shall apply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80"/>
          </w:cols>
          <w:pgMar w:left="300" w:top="1440" w:right="319" w:bottom="1440" w:gutter="0" w:footer="0" w:header="0"/>
        </w:sectPr>
      </w:pPr>
    </w:p>
    <w:bookmarkStart w:id="78" w:name="page79"/>
    <w:bookmarkEnd w:id="78"/>
    <w:p>
      <w:pPr>
        <w:spacing w:after="0" w:line="84" w:lineRule="exact"/>
        <w:rPr>
          <w:sz w:val="20"/>
          <w:szCs w:val="20"/>
          <w:color w:val="auto"/>
        </w:rPr>
      </w:pPr>
    </w:p>
    <w:p>
      <w:pPr>
        <w:jc w:val="both"/>
        <w:ind w:right="220"/>
        <w:spacing w:after="0" w:line="255" w:lineRule="auto"/>
        <w:rPr>
          <w:sz w:val="20"/>
          <w:szCs w:val="20"/>
          <w:color w:val="auto"/>
        </w:rPr>
      </w:pPr>
      <w:r>
        <w:rPr>
          <w:rFonts w:ascii="Arial" w:cs="Arial" w:eastAsia="Arial" w:hAnsi="Arial"/>
          <w:sz w:val="17"/>
          <w:szCs w:val="17"/>
          <w:color w:val="auto"/>
        </w:rPr>
        <w:t xml:space="preserve">conversions of Notes with Conversion Dates occurring subsequent to delivery of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10.01(k). However, the Company may nonetheless choose to execute such an amendment at its option.</w:t>
      </w:r>
    </w:p>
    <w:p>
      <w:pPr>
        <w:spacing w:after="0" w:line="145" w:lineRule="exact"/>
        <w:rPr>
          <w:sz w:val="20"/>
          <w:szCs w:val="20"/>
          <w:color w:val="auto"/>
        </w:rPr>
      </w:pPr>
    </w:p>
    <w:p>
      <w:pPr>
        <w:ind w:left="520" w:right="820" w:firstLine="758"/>
        <w:spacing w:after="0" w:line="271" w:lineRule="auto"/>
        <w:tabs>
          <w:tab w:leader="none" w:pos="152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cash, shares of Common Stock or combination of cash and shares of Common Stock in respect of any conversion of Notes (the “</w:t>
      </w:r>
      <w:r>
        <w:rPr>
          <w:rFonts w:ascii="Arial" w:cs="Arial" w:eastAsia="Arial" w:hAnsi="Arial"/>
          <w:sz w:val="17"/>
          <w:szCs w:val="17"/>
          <w:b w:val="1"/>
          <w:bCs w:val="1"/>
          <w:color w:val="auto"/>
        </w:rPr>
        <w:t>Settlement Amount</w:t>
      </w:r>
      <w:r>
        <w:rPr>
          <w:rFonts w:ascii="Arial" w:cs="Arial" w:eastAsia="Arial" w:hAnsi="Arial"/>
          <w:sz w:val="17"/>
          <w:szCs w:val="17"/>
          <w:color w:val="auto"/>
        </w:rPr>
        <w:t>”) shall be computed as follows:</w:t>
      </w:r>
    </w:p>
    <w:p>
      <w:pPr>
        <w:spacing w:after="0" w:line="131" w:lineRule="exact"/>
        <w:rPr>
          <w:rFonts w:ascii="Arial" w:cs="Arial" w:eastAsia="Arial" w:hAnsi="Arial"/>
          <w:sz w:val="17"/>
          <w:szCs w:val="17"/>
          <w:color w:val="auto"/>
        </w:rPr>
      </w:pPr>
    </w:p>
    <w:p>
      <w:pPr>
        <w:ind w:left="560" w:right="60" w:firstLine="820"/>
        <w:spacing w:after="0" w:line="259" w:lineRule="auto"/>
        <w:tabs>
          <w:tab w:leader="none" w:pos="1523"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the Company elects (or is deemed to have elected) to satisfy its Conversion Obligation in respect of such conversion by Physical Settlement, the Company shall deliver to the converting Holder in respect of each $1,000 Capitalized Principal Amount of Notes being converted a number of shares of Common Stock equal to the Conversion Rate in effect on the Conversion Date;</w:t>
      </w:r>
    </w:p>
    <w:p>
      <w:pPr>
        <w:spacing w:after="0" w:line="141" w:lineRule="exact"/>
        <w:rPr>
          <w:rFonts w:ascii="Arial" w:cs="Arial" w:eastAsia="Arial" w:hAnsi="Arial"/>
          <w:sz w:val="17"/>
          <w:szCs w:val="17"/>
          <w:color w:val="auto"/>
        </w:rPr>
      </w:pPr>
    </w:p>
    <w:p>
      <w:pPr>
        <w:ind w:left="1080" w:right="40" w:firstLine="809"/>
        <w:spacing w:after="0" w:line="310" w:lineRule="auto"/>
        <w:tabs>
          <w:tab w:leader="none" w:pos="2044" w:val="left"/>
        </w:tabs>
        <w:numPr>
          <w:ilvl w:val="2"/>
          <w:numId w:val="38"/>
        </w:numPr>
        <w:rPr>
          <w:rFonts w:ascii="Arial" w:cs="Arial" w:eastAsia="Arial" w:hAnsi="Arial"/>
          <w:sz w:val="15"/>
          <w:szCs w:val="15"/>
          <w:color w:val="auto"/>
        </w:rPr>
      </w:pPr>
      <w:r>
        <w:rPr>
          <w:rFonts w:ascii="Arial" w:cs="Arial" w:eastAsia="Arial" w:hAnsi="Arial"/>
          <w:sz w:val="15"/>
          <w:szCs w:val="15"/>
          <w:color w:val="auto"/>
        </w:rPr>
        <w:t>if the Company elects (or is deemed to have elected) to satisfy its Conversion Obligation in respect of such conversion by Cash Settlement, the Company shall pay to the converting Holder in respect of each $1,000 Capitalized Principal Amount of Notes being converted cash in an amount equal to the sum of the Daily Conversion Values for each of the 40 consecutive Trading Days during the related Observation Period; and</w:t>
      </w:r>
    </w:p>
    <w:p>
      <w:pPr>
        <w:spacing w:after="0" w:line="106" w:lineRule="exact"/>
        <w:rPr>
          <w:rFonts w:ascii="Arial" w:cs="Arial" w:eastAsia="Arial" w:hAnsi="Arial"/>
          <w:sz w:val="15"/>
          <w:szCs w:val="15"/>
          <w:color w:val="auto"/>
        </w:rPr>
      </w:pPr>
    </w:p>
    <w:p>
      <w:pPr>
        <w:jc w:val="both"/>
        <w:ind w:left="1080" w:right="20" w:firstLine="809"/>
        <w:spacing w:after="0" w:line="255" w:lineRule="auto"/>
        <w:tabs>
          <w:tab w:leader="none" w:pos="2043" w:val="left"/>
        </w:tabs>
        <w:numPr>
          <w:ilvl w:val="2"/>
          <w:numId w:val="38"/>
        </w:numPr>
        <w:rPr>
          <w:rFonts w:ascii="Arial" w:cs="Arial" w:eastAsia="Arial" w:hAnsi="Arial"/>
          <w:sz w:val="17"/>
          <w:szCs w:val="17"/>
          <w:color w:val="auto"/>
        </w:rPr>
      </w:pPr>
      <w:r>
        <w:rPr>
          <w:rFonts w:ascii="Arial" w:cs="Arial" w:eastAsia="Arial" w:hAnsi="Arial"/>
          <w:sz w:val="17"/>
          <w:szCs w:val="17"/>
          <w:color w:val="auto"/>
        </w:rPr>
        <w:t>if the Company elects (or is deemed to have elected) to satisfy its Conversion Obligation in respect of such conversion by Combination Settlement, the Company shall pay or deliver, as the case may be, in respect of each $1,000 Capitalized Principal Amount of Notes being converted, a Settlement Amount equal to the sum of the Daily Settlement Amounts for each of the 40 consecutive Trading Days during the related Observation Period.</w:t>
      </w:r>
    </w:p>
    <w:p>
      <w:pPr>
        <w:spacing w:after="0" w:line="145" w:lineRule="exact"/>
        <w:rPr>
          <w:rFonts w:ascii="Arial" w:cs="Arial" w:eastAsia="Arial" w:hAnsi="Arial"/>
          <w:sz w:val="17"/>
          <w:szCs w:val="17"/>
          <w:color w:val="auto"/>
        </w:rPr>
      </w:pPr>
    </w:p>
    <w:p>
      <w:pPr>
        <w:ind w:left="520" w:firstLine="758"/>
        <w:spacing w:after="0" w:line="252" w:lineRule="auto"/>
        <w:tabs>
          <w:tab w:leader="none" w:pos="152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47" w:lineRule="exact"/>
        <w:rPr>
          <w:rFonts w:ascii="Arial" w:cs="Arial" w:eastAsia="Arial" w:hAnsi="Arial"/>
          <w:sz w:val="17"/>
          <w:szCs w:val="17"/>
          <w:color w:val="auto"/>
        </w:rPr>
      </w:pPr>
    </w:p>
    <w:p>
      <w:pPr>
        <w:ind w:left="520" w:right="440" w:firstLine="758"/>
        <w:spacing w:after="0" w:line="271" w:lineRule="auto"/>
        <w:tabs>
          <w:tab w:leader="none" w:pos="15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anything to the contrary in the Notes or this Indenture, to the extent that Physical Settlement or Combination Settlement would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80"/>
          </w:cols>
          <w:pgMar w:left="300" w:top="1440" w:right="319" w:bottom="1440" w:gutter="0" w:footer="0" w:header="0"/>
        </w:sectPr>
      </w:pPr>
    </w:p>
    <w:bookmarkStart w:id="79" w:name="page80"/>
    <w:bookmarkEnd w:id="79"/>
    <w:p>
      <w:pPr>
        <w:spacing w:after="0" w:line="8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Company or any Holder to obtain any regulatory approvals or consents from, or make any filing with, any Governmental Entity, then the Company, on the</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one hand, and the applicable Holder, on the other hand, shall, at the request of the Company or the Holder, as applicable, (a) as promptly as practicable, make,</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or cause to be made, all filings and submissions required under applicable law, and (b) use their commercially reasonable efforts to obtain, or cause to be</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obtained, approval of the transaction or relevant consent associated with the filing or the termination or expiration of the applicable waiting period</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Approval</w:t>
      </w:r>
      <w:r>
        <w:rPr>
          <w:rFonts w:ascii="Arial" w:cs="Arial" w:eastAsia="Arial" w:hAnsi="Arial"/>
          <w:sz w:val="16"/>
          <w:szCs w:val="16"/>
          <w:color w:val="auto"/>
        </w:rPr>
        <w:t>”), and notwithstanding anything to the contrary in the Notes or this Indenture, the right to convert the relevant Notes and the</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obligation of the Company to deliver (or cause to be delivered) any related shares of Common Stock upon such conversion shall be contingent upon, and</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subject to, the receipt of any required Governmental Approval (as determined by the Holder or the Company, as applicable) and any such delivery shall be</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delayed until such Governmental Approval is received;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avoidance of doubt, any filing or submission fees required under applicable laws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shall be paid by such Holder.</w:t>
      </w:r>
    </w:p>
    <w:p>
      <w:pPr>
        <w:spacing w:after="0" w:line="162" w:lineRule="exact"/>
        <w:rPr>
          <w:sz w:val="20"/>
          <w:szCs w:val="20"/>
          <w:color w:val="auto"/>
        </w:rPr>
      </w:pPr>
    </w:p>
    <w:p>
      <w:pPr>
        <w:ind w:firstLine="667"/>
        <w:spacing w:after="0" w:line="266" w:lineRule="auto"/>
        <w:tabs>
          <w:tab w:leader="none" w:pos="1012"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Section 14.02(e), before any Holder of a Note shall be entitled to convert a Note as set forth above, such Holder shall in the case of a Global Note, comply with the procedures of the Depositary in effect at that time and, if required, pay funds equal to any interest that has not been capitalized and is payable on the next Interest Payment Date to which such Holder is not entitled as set forth in Section 14.02(h) and in the case of a Physical Note (1) complete, manually sign and deliver an irrevocable notice to the Conversion Agent as set forth in the Form of Notice of Conversion (or a facsimile, PDF or other electronic transmission thereof)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accrued interest that has not been capitalized and is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15.03.</w:t>
      </w:r>
    </w:p>
    <w:p>
      <w:pPr>
        <w:spacing w:after="0" w:line="139" w:lineRule="exact"/>
        <w:rPr>
          <w:sz w:val="20"/>
          <w:szCs w:val="20"/>
          <w:color w:val="auto"/>
        </w:rPr>
      </w:pPr>
    </w:p>
    <w:p>
      <w:pPr>
        <w:ind w:right="360" w:firstLine="509"/>
        <w:spacing w:after="0" w:line="340" w:lineRule="auto"/>
        <w:rPr>
          <w:sz w:val="20"/>
          <w:szCs w:val="20"/>
          <w:color w:val="auto"/>
        </w:rPr>
      </w:pPr>
      <w:r>
        <w:rPr>
          <w:rFonts w:ascii="Arial" w:cs="Arial" w:eastAsia="Arial" w:hAnsi="Arial"/>
          <w:sz w:val="15"/>
          <w:szCs w:val="15"/>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60"/>
          </w:cols>
          <w:pgMar w:left="300" w:top="1440" w:right="339" w:bottom="1440" w:gutter="0" w:footer="0" w:header="0"/>
        </w:sectPr>
      </w:pPr>
    </w:p>
    <w:bookmarkStart w:id="80" w:name="page81"/>
    <w:bookmarkEnd w:id="80"/>
    <w:p>
      <w:pPr>
        <w:spacing w:after="0" w:line="80" w:lineRule="exact"/>
        <w:rPr>
          <w:sz w:val="20"/>
          <w:szCs w:val="20"/>
          <w:color w:val="auto"/>
        </w:rPr>
      </w:pPr>
    </w:p>
    <w:p>
      <w:pPr>
        <w:ind w:left="-20" w:right="40" w:firstLine="667"/>
        <w:spacing w:after="0" w:line="270" w:lineRule="auto"/>
        <w:tabs>
          <w:tab w:leader="none" w:pos="9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Note shall be deemed to have been converted immediately prior to the close of business on the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that the Holder has complied with the requirements set forth in subsection (b) above. Except as set forth in Section 14.06(a) and Section 14.02(a)(vi),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certificate form or in book-entry format, in satisfaction of the Company’s Conversion Obligation.</w:t>
      </w:r>
    </w:p>
    <w:p>
      <w:pPr>
        <w:spacing w:after="0" w:line="135" w:lineRule="exact"/>
        <w:rPr>
          <w:rFonts w:ascii="Arial" w:cs="Arial" w:eastAsia="Arial" w:hAnsi="Arial"/>
          <w:sz w:val="16"/>
          <w:szCs w:val="16"/>
          <w:color w:val="auto"/>
        </w:rPr>
      </w:pPr>
    </w:p>
    <w:p>
      <w:pPr>
        <w:ind w:left="-20" w:right="60" w:firstLine="667"/>
        <w:spacing w:after="0" w:line="252" w:lineRule="auto"/>
        <w:tabs>
          <w:tab w:leader="none" w:pos="9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47" w:lineRule="exact"/>
        <w:rPr>
          <w:rFonts w:ascii="Arial" w:cs="Arial" w:eastAsia="Arial" w:hAnsi="Arial"/>
          <w:sz w:val="17"/>
          <w:szCs w:val="17"/>
          <w:color w:val="auto"/>
        </w:rPr>
      </w:pPr>
    </w:p>
    <w:p>
      <w:pPr>
        <w:ind w:left="-20" w:firstLine="667"/>
        <w:spacing w:after="0" w:line="253" w:lineRule="auto"/>
        <w:tabs>
          <w:tab w:leader="none" w:pos="9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47" w:lineRule="exact"/>
        <w:rPr>
          <w:rFonts w:ascii="Arial" w:cs="Arial" w:eastAsia="Arial" w:hAnsi="Arial"/>
          <w:sz w:val="17"/>
          <w:szCs w:val="17"/>
          <w:color w:val="auto"/>
        </w:rPr>
      </w:pPr>
    </w:p>
    <w:p>
      <w:pPr>
        <w:ind w:left="-20" w:right="220" w:firstLine="667"/>
        <w:spacing w:after="0" w:line="271" w:lineRule="auto"/>
        <w:tabs>
          <w:tab w:leader="none" w:pos="9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provided in Section 14.03, no adjustment shall be made for dividends on any shares of Common Stock issued upon the conversion of any Note as provided in this Article 14.</w:t>
      </w:r>
    </w:p>
    <w:p>
      <w:pPr>
        <w:spacing w:after="0" w:line="131" w:lineRule="exact"/>
        <w:rPr>
          <w:rFonts w:ascii="Arial" w:cs="Arial" w:eastAsia="Arial" w:hAnsi="Arial"/>
          <w:sz w:val="17"/>
          <w:szCs w:val="17"/>
          <w:color w:val="auto"/>
        </w:rPr>
      </w:pPr>
    </w:p>
    <w:p>
      <w:pPr>
        <w:ind w:left="-20" w:right="40" w:firstLine="667"/>
        <w:spacing w:after="0" w:line="259" w:lineRule="auto"/>
        <w:tabs>
          <w:tab w:leader="none" w:pos="9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41" w:lineRule="exact"/>
        <w:rPr>
          <w:rFonts w:ascii="Arial" w:cs="Arial" w:eastAsia="Arial" w:hAnsi="Arial"/>
          <w:sz w:val="17"/>
          <w:szCs w:val="17"/>
          <w:color w:val="auto"/>
        </w:rPr>
      </w:pPr>
    </w:p>
    <w:p>
      <w:pPr>
        <w:ind w:left="-20" w:right="320" w:firstLine="667"/>
        <w:spacing w:after="0" w:line="271" w:lineRule="auto"/>
        <w:tabs>
          <w:tab w:leader="none" w:pos="9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conversion, a Holder shall not receive any separate cash payment for any accrued interest that has not been paid or capitalized, except as set forth below and in Section 14.02(k). The Company’s settlement of the full Conversion Obligation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8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 xml:space="preserve">satisfy in full its obligation to pay the Capitalized Principal Amount of the Note and any accrued interest that has not been paid or capitalized, to, but not including, the relevant Conversion Date. As a result, any accrued interest that has not been paid or capitalized to, but not including, the relevant Conversion Date shall be deemed to be paid in full rather than cancelled, extinguished or forfeited. Upon a conversion of Notes into a combination of cash and shares of Common Stock, accrued interest that has not been paid or capitalized will be deemed to be paid first out of the cash paid upon such conversion. Notwithstanding the foregoing, if Notes are converted after the close of business on a Regular Record Date, Holders of such Notes as of the close of business on such Regular Record Date will receive the full amount of interest payable on such Notes in cash at the Cash Interest Rate as if the Company had elected the Cash Method for all such interest (whether or not the Company actually elected the Cash Method) and the principal of such converted Notes shall not be increased by any Capitalization Amount (regardless of whether the Company elected or is deemed to have elected the Capitalization Method)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such interest payable on the Notes so converted;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shall receive the full interest payment due on the Maturity Date in cash at the Cash Interest Rate as if the Company had elected the Cash Method for all such interest (whether or not the Company actually elected the Cash Method) regardless of whether their Notes have been converted following such Regular Record Date.</w:t>
      </w:r>
    </w:p>
    <w:p>
      <w:pPr>
        <w:spacing w:after="0" w:line="127" w:lineRule="exact"/>
        <w:rPr>
          <w:sz w:val="20"/>
          <w:szCs w:val="20"/>
          <w:color w:val="auto"/>
        </w:rPr>
      </w:pPr>
    </w:p>
    <w:p>
      <w:pPr>
        <w:ind w:right="340" w:firstLine="667"/>
        <w:spacing w:after="0" w:line="300" w:lineRule="auto"/>
        <w:tabs>
          <w:tab w:leader="none" w:pos="1017"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Subject to Section 14.02(a)(vi), 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13" w:lineRule="exact"/>
        <w:rPr>
          <w:rFonts w:ascii="Arial" w:cs="Arial" w:eastAsia="Arial" w:hAnsi="Arial"/>
          <w:sz w:val="15"/>
          <w:szCs w:val="15"/>
          <w:color w:val="auto"/>
        </w:rPr>
      </w:pPr>
    </w:p>
    <w:p>
      <w:pPr>
        <w:ind w:firstLine="667"/>
        <w:spacing w:after="0" w:line="283" w:lineRule="auto"/>
        <w:tabs>
          <w:tab w:leader="none" w:pos="10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Trading Day of the relevant Observation Period (in the case of Combination Settlement). For each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60"/>
          </w:cols>
          <w:pgMar w:left="300" w:top="1440" w:right="339" w:bottom="1440" w:gutter="0" w:footer="0" w:header="0"/>
        </w:sectPr>
      </w:pPr>
    </w:p>
    <w:bookmarkStart w:id="82" w:name="page83"/>
    <w:bookmarkEnd w:id="82"/>
    <w:p>
      <w:pPr>
        <w:spacing w:after="0" w:line="8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42" w:lineRule="exact"/>
        <w:rPr>
          <w:sz w:val="20"/>
          <w:szCs w:val="20"/>
          <w:color w:val="auto"/>
        </w:rPr>
      </w:pPr>
    </w:p>
    <w:p>
      <w:pPr>
        <w:ind w:right="40" w:firstLine="667"/>
        <w:spacing w:after="0" w:line="250" w:lineRule="auto"/>
        <w:tabs>
          <w:tab w:leader="none" w:pos="1012"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Indenture, in respect of any conversion of Notes with a Conversion Date occurring from and after the Company’s delivery of a Redemption Notice and on or prior to the Scheduled Trading Day prior to the related Redemption Date, simultaneously with delivery of the related consideration in satisfaction of the Company’s Conversion Obligation in respect of such conversion, the Company shall also make a cash payment to the converting Holder equal to the present value, calculated using a discount rate equal to the Treasury Rate in respect of such Conversion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50 basis points (and discounted on a semi-annual basis (assuming a 360 day year consisting of twelve 30 day months)), of all interest payments on the Capitalized Principal Amount of the Notes being converted that the Holder of such Notes would have been entitled to receive had such Notes remained outstanding to the Maturity Date assuming the Company had elected entirely the Cash Method on each Interest Payment Date and without duplication of any interest such Holder is entitled to receive pursuant to Section 14.02(h).</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Adjustment of Conversion Rate.</w:t>
      </w:r>
      <w:r>
        <w:rPr>
          <w:rFonts w:ascii="Arial" w:cs="Arial" w:eastAsia="Arial" w:hAnsi="Arial"/>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14.03, without having to convert their Notes, as if they held a number of shares of Common Stock equal to the Conversion Rate for each $1,000 Capitalized Principal Amount of Notes held by such Holder.</w:t>
      </w:r>
    </w:p>
    <w:p>
      <w:pPr>
        <w:spacing w:after="0" w:line="131" w:lineRule="exact"/>
        <w:rPr>
          <w:sz w:val="20"/>
          <w:szCs w:val="20"/>
          <w:color w:val="auto"/>
        </w:rPr>
      </w:pPr>
    </w:p>
    <w:p>
      <w:pPr>
        <w:ind w:left="520" w:right="60" w:firstLine="249"/>
        <w:spacing w:after="0" w:line="271"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87630</wp:posOffset>
            </wp:positionV>
            <wp:extent cx="1078230" cy="255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8230" cy="2559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ectPr>
          <w:pgSz w:w="11900" w:h="16838" w:orient="portrait"/>
          <w:cols w:equalWidth="0" w:num="1">
            <w:col w:w="11260"/>
          </w:cols>
          <w:pgMar w:left="300" w:top="1440"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00" w:hanging="216"/>
        <w:spacing w:after="0" w:line="271" w:lineRule="auto"/>
        <w:rPr>
          <w:sz w:val="20"/>
          <w:szCs w:val="20"/>
          <w:color w:val="auto"/>
        </w:rPr>
      </w:pPr>
      <w:r>
        <w:rPr>
          <w:rFonts w:ascii="Arial" w:cs="Arial" w:eastAsia="Arial" w:hAnsi="Arial"/>
          <w:sz w:val="17"/>
          <w:szCs w:val="17"/>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31" w:lineRule="exact"/>
        <w:rPr>
          <w:sz w:val="20"/>
          <w:szCs w:val="20"/>
          <w:color w:val="auto"/>
        </w:rPr>
      </w:pPr>
    </w:p>
    <w:p>
      <w:pPr>
        <w:sectPr>
          <w:pgSz w:w="11900" w:h="16838" w:orient="portrait"/>
          <w:cols w:equalWidth="0" w:num="3">
            <w:col w:w="280" w:space="180"/>
            <w:col w:w="100" w:space="380"/>
            <w:col w:w="10320"/>
          </w:cols>
          <w:pgMar w:left="300" w:top="1440" w:right="339" w:bottom="1440" w:gutter="0" w:footer="0" w:header="0"/>
          <w:type w:val="continuous"/>
        </w:sectPr>
      </w:pPr>
    </w:p>
    <w:p>
      <w:pPr>
        <w:spacing w:after="0"/>
        <w:rPr>
          <w:sz w:val="20"/>
          <w:szCs w:val="20"/>
          <w:color w:val="auto"/>
        </w:rPr>
      </w:pPr>
      <w:r>
        <w:rPr>
          <w:rFonts w:ascii="Arial" w:cs="Arial" w:eastAsia="Arial" w:hAnsi="Arial"/>
          <w:sz w:val="15"/>
          <w:szCs w:val="15"/>
          <w:color w:val="auto"/>
        </w:rPr>
        <w:t>CR'</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Conversion Rate in effect immediately after the open of business on such Ex-Dividend Date or Effective Date;</w:t>
      </w:r>
    </w:p>
    <w:p>
      <w:pPr>
        <w:spacing w:after="0" w:line="200" w:lineRule="exact"/>
        <w:rPr>
          <w:sz w:val="20"/>
          <w:szCs w:val="20"/>
          <w:color w:val="auto"/>
        </w:rPr>
      </w:pPr>
    </w:p>
    <w:p>
      <w:pPr>
        <w:sectPr>
          <w:pgSz w:w="11900" w:h="16838" w:orient="portrait"/>
          <w:cols w:equalWidth="0" w:num="2">
            <w:col w:w="260" w:space="180"/>
            <w:col w:w="10820"/>
          </w:cols>
          <w:pgMar w:left="3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60"/>
          </w:cols>
          <w:pgMar w:left="300" w:top="1440" w:right="339" w:bottom="1440" w:gutter="0" w:footer="0" w:header="0"/>
          <w:type w:val="continuous"/>
        </w:sectPr>
      </w:pPr>
    </w:p>
    <w:bookmarkStart w:id="83" w:name="page84"/>
    <w:bookmarkEnd w:id="83"/>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00" w:hanging="225"/>
        <w:spacing w:after="0" w:line="271" w:lineRule="auto"/>
        <w:rPr>
          <w:sz w:val="20"/>
          <w:szCs w:val="20"/>
          <w:color w:val="auto"/>
        </w:rPr>
      </w:pPr>
      <w:r>
        <w:rPr>
          <w:rFonts w:ascii="Arial" w:cs="Arial" w:eastAsia="Arial" w:hAnsi="Arial"/>
          <w:sz w:val="17"/>
          <w:szCs w:val="17"/>
          <w:color w:val="auto"/>
        </w:rPr>
        <w:t>the number of shares of Common Stock outstanding immediately prior to the open of business on such Ex-Dividend Date or Effective Date (before giving effect to any such dividend, distribution, split or combination); and</w:t>
      </w:r>
    </w:p>
    <w:p>
      <w:pPr>
        <w:spacing w:after="0" w:line="131" w:lineRule="exact"/>
        <w:rPr>
          <w:sz w:val="20"/>
          <w:szCs w:val="20"/>
          <w:color w:val="auto"/>
        </w:rPr>
      </w:pPr>
    </w:p>
    <w:p>
      <w:pPr>
        <w:sectPr>
          <w:pgSz w:w="11900" w:h="16838" w:orient="portrait"/>
          <w:cols w:equalWidth="0" w:num="3">
            <w:col w:w="280" w:space="160"/>
            <w:col w:w="100" w:space="400"/>
            <w:col w:w="10340"/>
          </w:cols>
          <w:pgMar w:left="300" w:top="1440" w:right="319" w:bottom="1440" w:gutter="0" w:footer="0" w:header="0"/>
        </w:sectPr>
      </w:pPr>
    </w:p>
    <w:p>
      <w:pPr>
        <w:spacing w:after="0"/>
        <w:rPr>
          <w:sz w:val="20"/>
          <w:szCs w:val="20"/>
          <w:color w:val="auto"/>
        </w:rPr>
      </w:pPr>
      <w:r>
        <w:rPr>
          <w:rFonts w:ascii="Arial" w:cs="Arial" w:eastAsia="Arial" w:hAnsi="Arial"/>
          <w:sz w:val="15"/>
          <w:szCs w:val="15"/>
          <w:color w:val="auto"/>
        </w:rPr>
        <w:t>OS'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number of shares of Common Stock outstanding immediately after giving effect to such dividend, distribution, share split or share combination.</w:t>
      </w:r>
    </w:p>
    <w:p>
      <w:pPr>
        <w:spacing w:after="0" w:line="198" w:lineRule="exact"/>
        <w:rPr>
          <w:sz w:val="20"/>
          <w:szCs w:val="20"/>
          <w:color w:val="auto"/>
        </w:rPr>
      </w:pPr>
    </w:p>
    <w:p>
      <w:pPr>
        <w:sectPr>
          <w:pgSz w:w="11900" w:h="16838" w:orient="portrait"/>
          <w:cols w:equalWidth="0" w:num="3">
            <w:col w:w="260" w:space="160"/>
            <w:col w:w="100" w:space="160"/>
            <w:col w:w="10600"/>
          </w:cols>
          <w:pgMar w:left="300" w:top="1440" w:right="319" w:bottom="1440" w:gutter="0" w:footer="0" w:header="0"/>
          <w:type w:val="continuous"/>
        </w:sectPr>
      </w:pPr>
    </w:p>
    <w:p>
      <w:pPr>
        <w:spacing w:after="0" w:line="253" w:lineRule="auto"/>
        <w:rPr>
          <w:sz w:val="20"/>
          <w:szCs w:val="20"/>
          <w:color w:val="auto"/>
        </w:rPr>
      </w:pPr>
      <w:r>
        <w:rPr>
          <w:rFonts w:ascii="Arial" w:cs="Arial" w:eastAsia="Arial" w:hAnsi="Arial"/>
          <w:sz w:val="17"/>
          <w:szCs w:val="17"/>
          <w:color w:val="auto"/>
        </w:rPr>
        <w:t>Any adjustment made under this Section 14.03(a)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14.03(a)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47" w:lineRule="exact"/>
        <w:rPr>
          <w:sz w:val="20"/>
          <w:szCs w:val="20"/>
          <w:color w:val="auto"/>
        </w:rPr>
      </w:pPr>
    </w:p>
    <w:p>
      <w:pPr>
        <w:ind w:right="200" w:firstLine="667"/>
        <w:spacing w:after="0" w:line="253" w:lineRule="auto"/>
        <w:tabs>
          <w:tab w:leader="none" w:pos="10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 issues to all or substantially all holders of the Common Stock any rights, options or warrants (other than in connection with a stockholder rights plan) entitling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97790</wp:posOffset>
            </wp:positionV>
            <wp:extent cx="1482090" cy="276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090"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gridSpan w:val="2"/>
          </w:tcPr>
          <w:p>
            <w:pPr>
              <w:spacing w:after="0"/>
              <w:rPr>
                <w:sz w:val="20"/>
                <w:szCs w:val="20"/>
                <w:color w:val="auto"/>
              </w:rPr>
            </w:pPr>
            <w:r>
              <w:rPr>
                <w:rFonts w:ascii="Arial" w:cs="Arial" w:eastAsia="Arial" w:hAnsi="Arial"/>
                <w:sz w:val="17"/>
                <w:szCs w:val="17"/>
                <w:color w:val="auto"/>
              </w:rPr>
              <w:t>where,</w:t>
            </w:r>
          </w:p>
        </w:tc>
        <w:tc>
          <w:tcPr>
            <w:tcW w:w="8400" w:type="dxa"/>
            <w:vAlign w:val="bottom"/>
          </w:tcPr>
          <w:p>
            <w:pPr>
              <w:spacing w:after="0"/>
              <w:rPr>
                <w:sz w:val="18"/>
                <w:szCs w:val="18"/>
                <w:color w:val="auto"/>
              </w:rPr>
            </w:pPr>
          </w:p>
        </w:tc>
      </w:tr>
      <w:tr>
        <w:trPr>
          <w:trHeight w:val="385"/>
        </w:trPr>
        <w:tc>
          <w:tcPr>
            <w:tcW w:w="360" w:type="dxa"/>
            <w:vAlign w:val="bottom"/>
          </w:tcPr>
          <w:p>
            <w:pPr>
              <w:spacing w:after="0"/>
              <w:rPr>
                <w:sz w:val="20"/>
                <w:szCs w:val="20"/>
                <w:color w:val="auto"/>
              </w:rPr>
            </w:pPr>
            <w:r>
              <w:rPr>
                <w:rFonts w:ascii="Arial" w:cs="Arial" w:eastAsia="Arial" w:hAnsi="Arial"/>
                <w:sz w:val="17"/>
                <w:szCs w:val="17"/>
                <w:color w:val="auto"/>
              </w:rPr>
              <w:t>CR</w:t>
            </w:r>
            <w:r>
              <w:rPr>
                <w:rFonts w:ascii="Arial" w:cs="Arial" w:eastAsia="Arial" w:hAnsi="Arial"/>
                <w:sz w:val="22"/>
                <w:szCs w:val="22"/>
                <w:color w:val="auto"/>
                <w:vertAlign w:val="subscript"/>
              </w:rPr>
              <w:t>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0" w:type="dxa"/>
            <w:vAlign w:val="bottom"/>
          </w:tcPr>
          <w:p>
            <w:pPr>
              <w:ind w:left="100"/>
              <w:spacing w:after="0"/>
              <w:rPr>
                <w:sz w:val="20"/>
                <w:szCs w:val="20"/>
                <w:color w:val="auto"/>
              </w:rPr>
            </w:pPr>
            <w:r>
              <w:rPr>
                <w:rFonts w:ascii="Arial" w:cs="Arial" w:eastAsia="Arial" w:hAnsi="Arial"/>
                <w:sz w:val="17"/>
                <w:szCs w:val="17"/>
                <w:color w:val="auto"/>
                <w:w w:val="95"/>
              </w:rPr>
              <w:t>the Conversion Rate in effect immediately prior to the open of business on the Ex-Dividend Date for such issuance;</w:t>
            </w:r>
          </w:p>
        </w:tc>
      </w:tr>
      <w:tr>
        <w:trPr>
          <w:trHeight w:val="358"/>
        </w:trPr>
        <w:tc>
          <w:tcPr>
            <w:tcW w:w="360" w:type="dxa"/>
            <w:vAlign w:val="bottom"/>
          </w:tcPr>
          <w:p>
            <w:pPr>
              <w:spacing w:after="0"/>
              <w:rPr>
                <w:sz w:val="20"/>
                <w:szCs w:val="20"/>
                <w:color w:val="auto"/>
              </w:rPr>
            </w:pPr>
            <w:r>
              <w:rPr>
                <w:rFonts w:ascii="Arial" w:cs="Arial" w:eastAsia="Arial" w:hAnsi="Arial"/>
                <w:sz w:val="17"/>
                <w:szCs w:val="17"/>
                <w:color w:val="auto"/>
              </w:rPr>
              <w:t>CR'</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0" w:type="dxa"/>
            <w:vAlign w:val="bottom"/>
          </w:tcPr>
          <w:p>
            <w:pPr>
              <w:ind w:left="80"/>
              <w:spacing w:after="0"/>
              <w:rPr>
                <w:sz w:val="20"/>
                <w:szCs w:val="20"/>
                <w:color w:val="auto"/>
              </w:rPr>
            </w:pPr>
            <w:r>
              <w:rPr>
                <w:rFonts w:ascii="Arial" w:cs="Arial" w:eastAsia="Arial" w:hAnsi="Arial"/>
                <w:sz w:val="17"/>
                <w:szCs w:val="17"/>
                <w:color w:val="auto"/>
              </w:rPr>
              <w:t>the Conversion Rate in effect immediately after the open of business on such Ex-Dividend Date;</w:t>
            </w:r>
          </w:p>
        </w:tc>
      </w:tr>
      <w:tr>
        <w:trPr>
          <w:trHeight w:val="385"/>
        </w:trPr>
        <w:tc>
          <w:tcPr>
            <w:tcW w:w="360" w:type="dxa"/>
            <w:vAlign w:val="bottom"/>
          </w:tcPr>
          <w:p>
            <w:pPr>
              <w:spacing w:after="0"/>
              <w:rPr>
                <w:sz w:val="20"/>
                <w:szCs w:val="20"/>
                <w:color w:val="auto"/>
              </w:rPr>
            </w:pPr>
            <w:r>
              <w:rPr>
                <w:rFonts w:ascii="Arial" w:cs="Arial" w:eastAsia="Arial" w:hAnsi="Arial"/>
                <w:sz w:val="17"/>
                <w:szCs w:val="17"/>
                <w:color w:val="auto"/>
              </w:rPr>
              <w:t>OS</w:t>
            </w:r>
            <w:r>
              <w:rPr>
                <w:rFonts w:ascii="Arial" w:cs="Arial" w:eastAsia="Arial" w:hAnsi="Arial"/>
                <w:sz w:val="22"/>
                <w:szCs w:val="22"/>
                <w:color w:val="auto"/>
                <w:vertAlign w:val="subscript"/>
              </w:rPr>
              <w:t>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0" w:type="dxa"/>
            <w:vAlign w:val="bottom"/>
          </w:tcPr>
          <w:p>
            <w:pPr>
              <w:ind w:left="100"/>
              <w:spacing w:after="0"/>
              <w:rPr>
                <w:sz w:val="20"/>
                <w:szCs w:val="20"/>
                <w:color w:val="auto"/>
              </w:rPr>
            </w:pPr>
            <w:r>
              <w:rPr>
                <w:rFonts w:ascii="Arial" w:cs="Arial" w:eastAsia="Arial" w:hAnsi="Arial"/>
                <w:sz w:val="17"/>
                <w:szCs w:val="17"/>
                <w:color w:val="auto"/>
                <w:w w:val="90"/>
              </w:rPr>
              <w:t>the number of shares of Common Stock outstanding immediately prior to the open of business on such Ex-Dividend Date;</w:t>
            </w:r>
          </w:p>
        </w:tc>
      </w:tr>
    </w:tbl>
    <w:p>
      <w:pPr>
        <w:spacing w:after="0" w:line="142" w:lineRule="exact"/>
        <w:rPr>
          <w:sz w:val="20"/>
          <w:szCs w:val="20"/>
          <w:color w:val="auto"/>
        </w:rPr>
      </w:pPr>
    </w:p>
    <w:p>
      <w:pPr>
        <w:ind w:left="300" w:hanging="295"/>
        <w:spacing w:after="0"/>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the total number of shares of Common Stock issuable pursuant to such rights, options or warrants; and</w:t>
      </w:r>
    </w:p>
    <w:p>
      <w:pPr>
        <w:spacing w:after="0" w:line="176" w:lineRule="exact"/>
        <w:rPr>
          <w:sz w:val="20"/>
          <w:szCs w:val="20"/>
          <w:color w:val="auto"/>
        </w:rPr>
      </w:pPr>
    </w:p>
    <w:p>
      <w:pPr>
        <w:ind w:left="300" w:hanging="295"/>
        <w:spacing w:after="0"/>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  the number of shares of Common Stock equal to the aggregate price payable to exercise such rights, options or warrants,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the average of the Last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5560"/>
        <w:spacing w:after="0"/>
        <w:rPr>
          <w:rFonts w:ascii="Arial" w:cs="Arial" w:eastAsia="Arial" w:hAnsi="Arial"/>
          <w:sz w:val="15"/>
          <w:szCs w:val="15"/>
          <w:color w:val="auto"/>
        </w:rPr>
      </w:pPr>
      <w:r>
        <w:rPr>
          <w:rFonts w:ascii="Arial" w:cs="Arial" w:eastAsia="Arial" w:hAnsi="Arial"/>
          <w:sz w:val="17"/>
          <w:szCs w:val="17"/>
          <w:color w:val="auto"/>
        </w:rPr>
        <w:t>61</w:t>
      </w:r>
    </w:p>
    <w:p>
      <w:pPr>
        <w:sectPr>
          <w:pgSz w:w="11900" w:h="16838" w:orient="portrait"/>
          <w:cols w:equalWidth="0" w:num="1">
            <w:col w:w="11280"/>
          </w:cols>
          <w:pgMar w:left="300" w:top="1440" w:right="319" w:bottom="1440" w:gutter="0" w:footer="0" w:header="0"/>
          <w:type w:val="continuous"/>
        </w:sectPr>
      </w:pPr>
    </w:p>
    <w:bookmarkStart w:id="84" w:name="page85"/>
    <w:bookmarkEnd w:id="84"/>
    <w:p>
      <w:pPr>
        <w:spacing w:after="0" w:line="84" w:lineRule="exact"/>
        <w:rPr>
          <w:sz w:val="20"/>
          <w:szCs w:val="20"/>
          <w:color w:val="auto"/>
        </w:rPr>
      </w:pPr>
    </w:p>
    <w:p>
      <w:pPr>
        <w:ind w:left="940" w:right="520"/>
        <w:spacing w:after="0" w:line="271" w:lineRule="auto"/>
        <w:rPr>
          <w:sz w:val="20"/>
          <w:szCs w:val="20"/>
          <w:color w:val="auto"/>
        </w:rPr>
      </w:pPr>
      <w:r>
        <w:rPr>
          <w:rFonts w:ascii="Arial" w:cs="Arial" w:eastAsia="Arial" w:hAnsi="Arial"/>
          <w:sz w:val="17"/>
          <w:szCs w:val="17"/>
          <w:color w:val="auto"/>
        </w:rPr>
        <w:t>Reported Sale Prices of the Common Stock over the 10 consecutive Trading Day period ending on, and including, the Trading Day immediately preceding the date of announcement of the issuance of such rights, options or warrants.</w:t>
      </w:r>
    </w:p>
    <w:p>
      <w:pPr>
        <w:spacing w:after="0" w:line="1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Any increase made under this Section 14.03(b)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48"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For purposes of this Section 14.03(b),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w:t>
      </w:r>
    </w:p>
    <w:p>
      <w:pPr>
        <w:spacing w:after="0" w:line="131" w:lineRule="exact"/>
        <w:rPr>
          <w:sz w:val="20"/>
          <w:szCs w:val="20"/>
          <w:color w:val="auto"/>
        </w:rPr>
      </w:pPr>
    </w:p>
    <w:p>
      <w:pPr>
        <w:ind w:firstLine="667"/>
        <w:spacing w:after="0" w:line="290" w:lineRule="auto"/>
        <w:tabs>
          <w:tab w:leader="none" w:pos="1013" w:val="left"/>
        </w:tabs>
        <w:numPr>
          <w:ilvl w:val="0"/>
          <w:numId w:val="47"/>
        </w:numPr>
        <w:rPr>
          <w:rFonts w:ascii="Arial" w:cs="Arial" w:eastAsia="Arial" w:hAnsi="Arial"/>
          <w:sz w:val="15"/>
          <w:szCs w:val="15"/>
          <w:color w:val="auto"/>
        </w:rPr>
      </w:pPr>
      <w:r>
        <w:rPr>
          <w:rFonts w:ascii="Arial" w:cs="Arial" w:eastAsia="Arial" w:hAnsi="Arial"/>
          <w:sz w:val="15"/>
          <w:szCs w:val="15"/>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dividends, distributions or issuances as to which an adjustment was effected pursuant to Section 14.03(a) or Section 14.03(b), except as otherwise provided in Section 14.09, rights issued pursuant to any stockholder rights plan of the Company then in effect, distributions of Reference Property in exchange for, or upon conversion of, Common Stock in a Merger Event, dividends or distributions paid exclusively in cash as to which the provisions set forth in Section 14.03(d) shall apply, and Spin-Offs as to which the provisions set forth below in this Section 14.03(c) shall apply (any of such shares of Capital Stock, evidences of indebtedness, other assets or property or rights, options or warrants to acquire Capital Stock or other securities, the “</w:t>
      </w:r>
      <w:r>
        <w:rPr>
          <w:rFonts w:ascii="Arial" w:cs="Arial" w:eastAsia="Arial" w:hAnsi="Arial"/>
          <w:sz w:val="15"/>
          <w:szCs w:val="15"/>
          <w:b w:val="1"/>
          <w:bCs w:val="1"/>
          <w:color w:val="auto"/>
        </w:rPr>
        <w:t>Distributed Property</w:t>
      </w:r>
      <w:r>
        <w:rPr>
          <w:rFonts w:ascii="Arial" w:cs="Arial" w:eastAsia="Arial" w:hAnsi="Arial"/>
          <w:sz w:val="15"/>
          <w:szCs w:val="15"/>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81280</wp:posOffset>
            </wp:positionV>
            <wp:extent cx="1461770" cy="255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1770" cy="255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19" w:lineRule="exact"/>
        <w:rPr>
          <w:sz w:val="20"/>
          <w:szCs w:val="20"/>
          <w:color w:val="auto"/>
        </w:rPr>
      </w:pPr>
    </w:p>
    <w:p>
      <w:pPr>
        <w:spacing w:after="0"/>
        <w:tabs>
          <w:tab w:leader="none" w:pos="440" w:val="left"/>
          <w:tab w:leader="none" w:pos="700" w:val="left"/>
        </w:tabs>
        <w:rPr>
          <w:sz w:val="20"/>
          <w:szCs w:val="20"/>
          <w:color w:val="auto"/>
        </w:rPr>
      </w:pPr>
      <w:r>
        <w:rPr>
          <w:rFonts w:ascii="Arial" w:cs="Arial" w:eastAsia="Arial" w:hAnsi="Arial"/>
          <w:sz w:val="17"/>
          <w:szCs w:val="17"/>
          <w:color w:val="auto"/>
        </w:rPr>
        <w:t>CR</w:t>
      </w:r>
      <w:r>
        <w:rPr>
          <w:rFonts w:ascii="Arial" w:cs="Arial" w:eastAsia="Arial" w:hAnsi="Arial"/>
          <w:sz w:val="22"/>
          <w:szCs w:val="22"/>
          <w:color w:val="auto"/>
          <w:vertAlign w:val="subscript"/>
        </w:rPr>
        <w:t>0</w:t>
      </w:r>
      <w:r>
        <w:rPr>
          <w:rFonts w:ascii="Arial" w:cs="Arial" w:eastAsia="Arial" w:hAnsi="Arial"/>
          <w:sz w:val="17"/>
          <w:szCs w:val="17"/>
          <w:color w:val="auto"/>
        </w:rPr>
        <w:tab/>
        <w:t>=</w:t>
      </w:r>
      <w:r>
        <w:rPr>
          <w:sz w:val="20"/>
          <w:szCs w:val="20"/>
          <w:color w:val="auto"/>
        </w:rPr>
        <w:tab/>
      </w:r>
      <w:r>
        <w:rPr>
          <w:rFonts w:ascii="Arial" w:cs="Arial" w:eastAsia="Arial" w:hAnsi="Arial"/>
          <w:sz w:val="15"/>
          <w:szCs w:val="15"/>
          <w:color w:val="auto"/>
        </w:rPr>
        <w:t>the Conversion Rate in effect immediately prior to the open of business on the Ex-Dividend Date for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00" w:top="1440" w:right="359" w:bottom="1440" w:gutter="0" w:footer="0" w:header="0"/>
        </w:sectPr>
      </w:pPr>
    </w:p>
    <w:bookmarkStart w:id="85" w:name="page86"/>
    <w:bookmarkEnd w:id="85"/>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Conversion Rate in effect immediately after the open of business on such Ex-Dividend Date;</w:t>
      </w:r>
    </w:p>
    <w:p>
      <w:pPr>
        <w:spacing w:after="0" w:line="176" w:lineRule="exact"/>
        <w:rPr>
          <w:sz w:val="20"/>
          <w:szCs w:val="20"/>
          <w:color w:val="auto"/>
        </w:rPr>
      </w:pPr>
    </w:p>
    <w:p>
      <w:pPr>
        <w:sectPr>
          <w:pgSz w:w="11900" w:h="16838" w:orient="portrait"/>
          <w:cols w:equalWidth="0" w:num="2">
            <w:col w:w="260" w:space="180"/>
            <w:col w:w="10840"/>
          </w:cols>
          <w:pgMar w:left="300" w:top="1440" w:right="319" w:bottom="1440" w:gutter="0" w:footer="0" w:header="0"/>
        </w:sectPr>
      </w:pPr>
    </w:p>
    <w:p>
      <w:pPr>
        <w:spacing w:after="0"/>
        <w:rPr>
          <w:sz w:val="20"/>
          <w:szCs w:val="20"/>
          <w:color w:val="auto"/>
        </w:rPr>
      </w:pPr>
      <w:r>
        <w:rPr>
          <w:rFonts w:ascii="Arial" w:cs="Arial" w:eastAsia="Arial" w:hAnsi="Arial"/>
          <w:sz w:val="14"/>
          <w:szCs w:val="14"/>
          <w:color w:val="auto"/>
        </w:rPr>
        <w:t>SP</w:t>
      </w:r>
      <w:r>
        <w:rPr>
          <w:rFonts w:ascii="Arial" w:cs="Arial" w:eastAsia="Arial" w:hAnsi="Arial"/>
          <w:sz w:val="9"/>
          <w:szCs w:val="9"/>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hanging="254"/>
        <w:spacing w:after="0" w:line="271" w:lineRule="auto"/>
        <w:rPr>
          <w:sz w:val="20"/>
          <w:szCs w:val="20"/>
          <w:color w:val="auto"/>
        </w:rPr>
      </w:pPr>
      <w:r>
        <w:rPr>
          <w:rFonts w:ascii="Arial" w:cs="Arial" w:eastAsia="Arial" w:hAnsi="Arial"/>
          <w:sz w:val="17"/>
          <w:szCs w:val="17"/>
          <w:color w:val="auto"/>
        </w:rPr>
        <w:t>the average of the Last Reported Sale Prices of the Common Stock over the 10 consecutive Trading Day period ending on, and including, the Trading Day immediately preceding the Ex-Dividend Date for such distribution; and</w:t>
      </w:r>
    </w:p>
    <w:p>
      <w:pPr>
        <w:spacing w:after="0" w:line="131" w:lineRule="exact"/>
        <w:rPr>
          <w:sz w:val="20"/>
          <w:szCs w:val="20"/>
          <w:color w:val="auto"/>
        </w:rPr>
      </w:pPr>
    </w:p>
    <w:p>
      <w:pPr>
        <w:sectPr>
          <w:pgSz w:w="11900" w:h="16838" w:orient="portrait"/>
          <w:cols w:equalWidth="0" w:num="3">
            <w:col w:w="240" w:space="180"/>
            <w:col w:w="100" w:space="420"/>
            <w:col w:w="10340"/>
          </w:cols>
          <w:pgMar w:left="300" w:top="1440" w:right="319" w:bottom="1440" w:gutter="0" w:footer="0" w:header="0"/>
          <w:type w:val="continuous"/>
        </w:sectPr>
      </w:pPr>
    </w:p>
    <w:p>
      <w:pPr>
        <w:spacing w:after="0"/>
        <w:rPr>
          <w:sz w:val="20"/>
          <w:szCs w:val="20"/>
          <w:color w:val="auto"/>
        </w:rPr>
      </w:pPr>
      <w:r>
        <w:rPr>
          <w:rFonts w:ascii="Arial" w:cs="Arial" w:eastAsia="Arial" w:hAnsi="Arial"/>
          <w:sz w:val="17"/>
          <w:szCs w:val="17"/>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133"/>
        <w:spacing w:after="0" w:line="271" w:lineRule="auto"/>
        <w:rPr>
          <w:sz w:val="20"/>
          <w:szCs w:val="20"/>
          <w:color w:val="auto"/>
        </w:rPr>
      </w:pPr>
      <w:r>
        <w:rPr>
          <w:rFonts w:ascii="Arial" w:cs="Arial" w:eastAsia="Arial" w:hAnsi="Arial"/>
          <w:sz w:val="17"/>
          <w:szCs w:val="17"/>
          <w:color w:val="auto"/>
        </w:rPr>
        <w:t>the fair market value (as determined by the Company) of the Distributed Property with respect to each outstanding share of the Common Stock on the Ex-Dividend Date for such distribution.</w:t>
      </w:r>
    </w:p>
    <w:p>
      <w:pPr>
        <w:spacing w:after="0" w:line="131" w:lineRule="exact"/>
        <w:rPr>
          <w:sz w:val="20"/>
          <w:szCs w:val="20"/>
          <w:color w:val="auto"/>
        </w:rPr>
      </w:pPr>
    </w:p>
    <w:p>
      <w:pPr>
        <w:sectPr>
          <w:pgSz w:w="11900" w:h="16838" w:orient="portrait"/>
          <w:cols w:equalWidth="0" w:num="3">
            <w:col w:w="380" w:space="160"/>
            <w:col w:w="100" w:space="300"/>
            <w:col w:w="10340"/>
          </w:cols>
          <w:pgMar w:left="300" w:top="1440" w:right="319" w:bottom="1440" w:gutter="0" w:footer="0" w:header="0"/>
          <w:type w:val="continuous"/>
        </w:sectPr>
      </w:pPr>
    </w:p>
    <w:p>
      <w:pPr>
        <w:spacing w:after="0" w:line="257" w:lineRule="auto"/>
        <w:rPr>
          <w:sz w:val="20"/>
          <w:szCs w:val="20"/>
          <w:color w:val="auto"/>
        </w:rPr>
      </w:pPr>
      <w:r>
        <w:rPr>
          <w:rFonts w:ascii="Arial" w:cs="Arial" w:eastAsia="Arial" w:hAnsi="Arial"/>
          <w:sz w:val="16"/>
          <w:szCs w:val="16"/>
          <w:color w:val="auto"/>
        </w:rPr>
        <w:t>Any increase made under the portion of this Section 14.03(c)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Arial" w:cs="Arial" w:eastAsia="Arial" w:hAnsi="Arial"/>
          <w:sz w:val="21"/>
          <w:szCs w:val="21"/>
          <w:color w:val="auto"/>
          <w:vertAlign w:val="subscript"/>
        </w:rPr>
        <w:t>0</w:t>
      </w:r>
      <w:r>
        <w:rPr>
          <w:rFonts w:ascii="Arial" w:cs="Arial" w:eastAsia="Arial" w:hAnsi="Arial"/>
          <w:sz w:val="16"/>
          <w:szCs w:val="16"/>
          <w:color w:val="auto"/>
        </w:rPr>
        <w:t>” (as defined above), in lieu of the foregoing increase, each Holder of a Note shall receive, in respect of each $1,000 Capitalized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Section 14.03(c)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49" w:lineRule="exact"/>
        <w:rPr>
          <w:sz w:val="20"/>
          <w:szCs w:val="20"/>
          <w:color w:val="auto"/>
        </w:rPr>
      </w:pPr>
    </w:p>
    <w:p>
      <w:pPr>
        <w:ind w:right="80" w:firstLine="509"/>
        <w:spacing w:after="0" w:line="310" w:lineRule="auto"/>
        <w:rPr>
          <w:sz w:val="20"/>
          <w:szCs w:val="20"/>
          <w:color w:val="auto"/>
        </w:rPr>
      </w:pPr>
      <w:r>
        <w:rPr>
          <w:rFonts w:ascii="Arial" w:cs="Arial" w:eastAsia="Arial" w:hAnsi="Arial"/>
          <w:sz w:val="15"/>
          <w:szCs w:val="15"/>
          <w:color w:val="auto"/>
        </w:rPr>
        <w:t>With respect to an adjustment pursuant to this Section 14.03(c)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5"/>
          <w:szCs w:val="15"/>
          <w:b w:val="1"/>
          <w:bCs w:val="1"/>
          <w:color w:val="auto"/>
        </w:rPr>
        <w:t>Spin-Off</w:t>
      </w:r>
      <w:r>
        <w:rPr>
          <w:rFonts w:ascii="Arial" w:cs="Arial" w:eastAsia="Arial" w:hAnsi="Arial"/>
          <w:sz w:val="15"/>
          <w:szCs w:val="15"/>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71120</wp:posOffset>
            </wp:positionV>
            <wp:extent cx="1664335" cy="25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4335"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gridSpan w:val="2"/>
          </w:tcPr>
          <w:p>
            <w:pPr>
              <w:spacing w:after="0"/>
              <w:rPr>
                <w:sz w:val="20"/>
                <w:szCs w:val="20"/>
                <w:color w:val="auto"/>
              </w:rPr>
            </w:pPr>
            <w:r>
              <w:rPr>
                <w:rFonts w:ascii="Arial" w:cs="Arial" w:eastAsia="Arial" w:hAnsi="Arial"/>
                <w:sz w:val="17"/>
                <w:szCs w:val="17"/>
                <w:color w:val="auto"/>
              </w:rPr>
              <w:t>where,</w:t>
            </w:r>
          </w:p>
        </w:tc>
        <w:tc>
          <w:tcPr>
            <w:tcW w:w="5720" w:type="dxa"/>
            <w:vAlign w:val="bottom"/>
          </w:tcPr>
          <w:p>
            <w:pPr>
              <w:spacing w:after="0"/>
              <w:rPr>
                <w:sz w:val="18"/>
                <w:szCs w:val="18"/>
                <w:color w:val="auto"/>
              </w:rPr>
            </w:pPr>
          </w:p>
        </w:tc>
      </w:tr>
      <w:tr>
        <w:trPr>
          <w:trHeight w:val="385"/>
        </w:trPr>
        <w:tc>
          <w:tcPr>
            <w:tcW w:w="360" w:type="dxa"/>
            <w:vAlign w:val="bottom"/>
          </w:tcPr>
          <w:p>
            <w:pPr>
              <w:spacing w:after="0"/>
              <w:rPr>
                <w:sz w:val="20"/>
                <w:szCs w:val="20"/>
                <w:color w:val="auto"/>
              </w:rPr>
            </w:pPr>
            <w:r>
              <w:rPr>
                <w:rFonts w:ascii="Arial" w:cs="Arial" w:eastAsia="Arial" w:hAnsi="Arial"/>
                <w:sz w:val="17"/>
                <w:szCs w:val="17"/>
                <w:color w:val="auto"/>
              </w:rPr>
              <w:t>CR</w:t>
            </w:r>
            <w:r>
              <w:rPr>
                <w:rFonts w:ascii="Arial" w:cs="Arial" w:eastAsia="Arial" w:hAnsi="Arial"/>
                <w:sz w:val="22"/>
                <w:szCs w:val="22"/>
                <w:color w:val="auto"/>
                <w:vertAlign w:val="subscript"/>
              </w:rPr>
              <w:t>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720" w:type="dxa"/>
            <w:vAlign w:val="bottom"/>
          </w:tcPr>
          <w:p>
            <w:pPr>
              <w:ind w:left="100"/>
              <w:spacing w:after="0"/>
              <w:rPr>
                <w:sz w:val="20"/>
                <w:szCs w:val="20"/>
                <w:color w:val="auto"/>
              </w:rPr>
            </w:pPr>
            <w:r>
              <w:rPr>
                <w:rFonts w:ascii="Arial" w:cs="Arial" w:eastAsia="Arial" w:hAnsi="Arial"/>
                <w:sz w:val="17"/>
                <w:szCs w:val="17"/>
                <w:color w:val="auto"/>
                <w:w w:val="91"/>
              </w:rPr>
              <w:t>the Conversion Rate in effect immediately prior to the end of the Valuation Period;</w:t>
            </w:r>
          </w:p>
        </w:tc>
      </w:tr>
      <w:tr>
        <w:trPr>
          <w:trHeight w:val="358"/>
        </w:trPr>
        <w:tc>
          <w:tcPr>
            <w:tcW w:w="360" w:type="dxa"/>
            <w:vAlign w:val="bottom"/>
          </w:tcPr>
          <w:p>
            <w:pPr>
              <w:spacing w:after="0"/>
              <w:rPr>
                <w:sz w:val="20"/>
                <w:szCs w:val="20"/>
                <w:color w:val="auto"/>
              </w:rPr>
            </w:pPr>
            <w:r>
              <w:rPr>
                <w:rFonts w:ascii="Arial" w:cs="Arial" w:eastAsia="Arial" w:hAnsi="Arial"/>
                <w:sz w:val="17"/>
                <w:szCs w:val="17"/>
                <w:color w:val="auto"/>
              </w:rPr>
              <w:t>CR'</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w w:val="94"/>
              </w:rPr>
              <w:t>the Conversion Rate in effect immediately after the end of the Valuation Period;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80"/>
          </w:cols>
          <w:pgMar w:left="300" w:top="1440" w:right="319" w:bottom="1440" w:gutter="0" w:footer="0" w:header="0"/>
          <w:type w:val="continuous"/>
        </w:sectPr>
      </w:pPr>
    </w:p>
    <w:bookmarkStart w:id="86" w:name="page87"/>
    <w:bookmarkEnd w:id="86"/>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FMV</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0" w:hanging="75"/>
        <w:spacing w:after="0" w:line="255" w:lineRule="auto"/>
        <w:rPr>
          <w:sz w:val="20"/>
          <w:szCs w:val="20"/>
          <w:color w:val="auto"/>
        </w:rPr>
      </w:pPr>
      <w:r>
        <w:rPr>
          <w:rFonts w:ascii="Arial" w:cs="Arial" w:eastAsia="Arial" w:hAnsi="Arial"/>
          <w:sz w:val="17"/>
          <w:szCs w:val="17"/>
          <w:color w:val="auto"/>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Arial" w:cs="Arial" w:eastAsia="Arial" w:hAnsi="Arial"/>
          <w:sz w:val="17"/>
          <w:szCs w:val="17"/>
          <w:b w:val="1"/>
          <w:bCs w:val="1"/>
          <w:color w:val="auto"/>
        </w:rPr>
        <w:t>Valuation Period</w:t>
      </w:r>
      <w:r>
        <w:rPr>
          <w:rFonts w:ascii="Arial" w:cs="Arial" w:eastAsia="Arial" w:hAnsi="Arial"/>
          <w:sz w:val="17"/>
          <w:szCs w:val="17"/>
          <w:color w:val="auto"/>
        </w:rPr>
        <w:t>”); and</w:t>
      </w:r>
    </w:p>
    <w:p>
      <w:pPr>
        <w:spacing w:after="0" w:line="145" w:lineRule="exact"/>
        <w:rPr>
          <w:sz w:val="20"/>
          <w:szCs w:val="20"/>
          <w:color w:val="auto"/>
        </w:rPr>
      </w:pPr>
    </w:p>
    <w:p>
      <w:pPr>
        <w:sectPr>
          <w:pgSz w:w="11900" w:h="16838" w:orient="portrait"/>
          <w:cols w:equalWidth="0" w:num="3">
            <w:col w:w="420" w:space="180"/>
            <w:col w:w="100" w:space="240"/>
            <w:col w:w="10340"/>
          </w:cols>
          <w:pgMar w:left="300" w:top="1440" w:right="319" w:bottom="1440" w:gutter="0" w:footer="0" w:header="0"/>
        </w:sectPr>
      </w:pPr>
    </w:p>
    <w:p>
      <w:pPr>
        <w:spacing w:after="0"/>
        <w:rPr>
          <w:sz w:val="20"/>
          <w:szCs w:val="20"/>
          <w:color w:val="auto"/>
        </w:rPr>
      </w:pPr>
      <w:r>
        <w:rPr>
          <w:rFonts w:ascii="Arial" w:cs="Arial" w:eastAsia="Arial" w:hAnsi="Arial"/>
          <w:sz w:val="16"/>
          <w:szCs w:val="16"/>
          <w:color w:val="auto"/>
        </w:rPr>
        <w:t>MP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average of the Last Reported Sale Prices of the Common Stock over the Valuation Period.</w:t>
      </w:r>
    </w:p>
    <w:p>
      <w:pPr>
        <w:spacing w:after="0" w:line="198" w:lineRule="exact"/>
        <w:rPr>
          <w:sz w:val="20"/>
          <w:szCs w:val="20"/>
          <w:color w:val="auto"/>
        </w:rPr>
      </w:pPr>
    </w:p>
    <w:p>
      <w:pPr>
        <w:sectPr>
          <w:pgSz w:w="11900" w:h="16838" w:orient="portrait"/>
          <w:cols w:equalWidth="0" w:num="3">
            <w:col w:w="300" w:space="180"/>
            <w:col w:w="100" w:space="160"/>
            <w:col w:w="10540"/>
          </w:cols>
          <w:pgMar w:left="300" w:top="1440" w:right="319" w:bottom="1440" w:gutter="0" w:footer="0" w:header="0"/>
          <w:type w:val="continuous"/>
        </w:sectPr>
      </w:pPr>
    </w:p>
    <w:p>
      <w:pPr>
        <w:ind w:right="20" w:firstLine="509"/>
        <w:spacing w:after="0" w:line="290" w:lineRule="auto"/>
        <w:rPr>
          <w:sz w:val="20"/>
          <w:szCs w:val="20"/>
          <w:color w:val="auto"/>
        </w:rPr>
      </w:pPr>
      <w:r>
        <w:rPr>
          <w:rFonts w:ascii="Arial" w:cs="Arial" w:eastAsia="Arial" w:hAnsi="Arial"/>
          <w:sz w:val="15"/>
          <w:szCs w:val="15"/>
          <w:color w:val="auto"/>
        </w:rPr>
        <w:t xml:space="preserve">The increase to the Conversion Rate under the preceding paragraph shall occur at the close of business on the last Trading Day of the Valuation Period;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(x) in respect of any conversion of Notes for which Physical Settlement is applicable, if the relevant Conversion Date occurs during the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Period, references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Trading Day in determining the Conversion Rate as of such Trading Day.</w:t>
      </w:r>
    </w:p>
    <w:p>
      <w:pPr>
        <w:spacing w:after="0" w:line="122"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For purposes of this Section 14.03(c) (and subject in all respect to Section 14.09),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14.03(c) (and no adjustment to the Conversion Rate under this Section 14.03(c) will be required) until the occurrence of the earliest Trigger Event, whereupon such rights, options or warrants shall be deemed to have been distributed and an appropriate adjustment (if any is required) to the Conversion Rate shall be made under this Section 14.03(c).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80"/>
          </w:cols>
          <w:pgMar w:left="300" w:top="1440" w:right="319" w:bottom="1440" w:gutter="0" w:footer="0" w:header="0"/>
          <w:type w:val="continuous"/>
        </w:sectPr>
      </w:pPr>
    </w:p>
    <w:bookmarkStart w:id="87" w:name="page88"/>
    <w:bookmarkEnd w:id="87"/>
    <w:p>
      <w:pPr>
        <w:spacing w:after="0" w:line="84"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Trigger Event or other event (of the type described in the immediately preceding sentence) with respect thereto that was counted for purposes of calculating a distribution amount for which an adjustment to the Conversion Rate under this Section 14.03(c)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2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For purposes of Section 14.03(a), Section 14.03(b) and this Section 14.03(c), if any dividend or distribution to which this Section 14.03(c) is applicable also includes one or both of:</w:t>
      </w:r>
    </w:p>
    <w:p>
      <w:pPr>
        <w:spacing w:after="0" w:line="127" w:lineRule="exact"/>
        <w:rPr>
          <w:sz w:val="20"/>
          <w:szCs w:val="20"/>
          <w:color w:val="auto"/>
        </w:rPr>
      </w:pPr>
    </w:p>
    <w:p>
      <w:pPr>
        <w:ind w:left="920" w:hanging="406"/>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dividend or distribution of shares of Common Stock to which Section 14.03(a) is applicable (the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175" w:lineRule="exact"/>
        <w:rPr>
          <w:rFonts w:ascii="Arial" w:cs="Arial" w:eastAsia="Arial" w:hAnsi="Arial"/>
          <w:sz w:val="17"/>
          <w:szCs w:val="17"/>
          <w:color w:val="auto"/>
        </w:rPr>
      </w:pPr>
    </w:p>
    <w:p>
      <w:pPr>
        <w:ind w:left="920" w:hanging="406"/>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dividend or distribution of rights, options or warrants to which Section 14.03(b) is applicable (the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then, in either case, (1) such dividend or distribution, other than the Clause A Distribution and the Clause B Distribution, shall be deemed to be a dividend or distribution to which this Section 14.03(c)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14.03(c) with respect to such Clause C Distribution shall then be made, and (2) the Clause A Distribution and Clause B Distribution shall be deemed to immediately follow the Clause C Distribution and any Conversion Rate adjustment required by Section 14.03(a) and Section 14.03(b)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14.03(a) or “outstanding immediately prior to the open of business on such Ex-Dividend Date” within the meaning of Section 14.03(b).</w:t>
      </w:r>
    </w:p>
    <w:p>
      <w:pPr>
        <w:spacing w:after="0" w:line="139" w:lineRule="exact"/>
        <w:rPr>
          <w:sz w:val="20"/>
          <w:szCs w:val="20"/>
          <w:color w:val="auto"/>
        </w:rPr>
      </w:pPr>
    </w:p>
    <w:p>
      <w:pPr>
        <w:ind w:firstLine="667"/>
        <w:spacing w:after="0" w:line="271" w:lineRule="auto"/>
        <w:tabs>
          <w:tab w:leader="none" w:pos="10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any cash dividend or distribution is made to all or substantially all holders of the Common Stock, the Conversion Rate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80"/>
          </w:cols>
          <w:pgMar w:left="300" w:top="1440" w:right="31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3110865</wp:posOffset>
            </wp:positionH>
            <wp:positionV relativeFrom="page">
              <wp:posOffset>971550</wp:posOffset>
            </wp:positionV>
            <wp:extent cx="1327150" cy="25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27150" cy="2559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gridSpan w:val="2"/>
          </w:tcPr>
          <w:p>
            <w:pPr>
              <w:spacing w:after="0"/>
              <w:rPr>
                <w:sz w:val="20"/>
                <w:szCs w:val="20"/>
                <w:color w:val="auto"/>
              </w:rPr>
            </w:pPr>
            <w:r>
              <w:rPr>
                <w:rFonts w:ascii="Arial" w:cs="Arial" w:eastAsia="Arial" w:hAnsi="Arial"/>
                <w:sz w:val="17"/>
                <w:szCs w:val="17"/>
                <w:color w:val="auto"/>
              </w:rPr>
              <w:t>where,</w:t>
            </w:r>
          </w:p>
        </w:tc>
        <w:tc>
          <w:tcPr>
            <w:tcW w:w="10660" w:type="dxa"/>
            <w:vAlign w:val="bottom"/>
          </w:tcPr>
          <w:p>
            <w:pPr>
              <w:spacing w:after="0"/>
              <w:rPr>
                <w:sz w:val="18"/>
                <w:szCs w:val="18"/>
                <w:color w:val="auto"/>
              </w:rPr>
            </w:pPr>
          </w:p>
        </w:tc>
      </w:tr>
      <w:tr>
        <w:trPr>
          <w:trHeight w:val="385"/>
        </w:trPr>
        <w:tc>
          <w:tcPr>
            <w:tcW w:w="280" w:type="dxa"/>
            <w:vAlign w:val="bottom"/>
          </w:tcPr>
          <w:p>
            <w:pPr>
              <w:spacing w:after="0"/>
              <w:rPr>
                <w:sz w:val="20"/>
                <w:szCs w:val="20"/>
                <w:color w:val="auto"/>
              </w:rPr>
            </w:pPr>
            <w:r>
              <w:rPr>
                <w:rFonts w:ascii="Arial" w:cs="Arial" w:eastAsia="Arial" w:hAnsi="Arial"/>
                <w:sz w:val="17"/>
                <w:szCs w:val="17"/>
                <w:color w:val="auto"/>
                <w:w w:val="79"/>
              </w:rPr>
              <w:t>CR</w:t>
            </w:r>
            <w:r>
              <w:rPr>
                <w:rFonts w:ascii="Arial" w:cs="Arial" w:eastAsia="Arial" w:hAnsi="Arial"/>
                <w:sz w:val="22"/>
                <w:szCs w:val="22"/>
                <w:color w:val="auto"/>
                <w:w w:val="79"/>
                <w:vertAlign w:val="subscript"/>
              </w:rPr>
              <w:t>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ind w:left="160"/>
              <w:spacing w:after="0"/>
              <w:rPr>
                <w:sz w:val="20"/>
                <w:szCs w:val="20"/>
                <w:color w:val="auto"/>
              </w:rPr>
            </w:pPr>
            <w:r>
              <w:rPr>
                <w:rFonts w:ascii="Arial" w:cs="Arial" w:eastAsia="Arial" w:hAnsi="Arial"/>
                <w:sz w:val="17"/>
                <w:szCs w:val="17"/>
                <w:color w:val="auto"/>
              </w:rPr>
              <w:t>the Conversion Rate in effect immediately prior to the open of business on the Ex-Dividend Date for such dividend or distribution;</w:t>
            </w:r>
          </w:p>
        </w:tc>
      </w:tr>
      <w:tr>
        <w:trPr>
          <w:trHeight w:val="358"/>
        </w:trPr>
        <w:tc>
          <w:tcPr>
            <w:tcW w:w="280" w:type="dxa"/>
            <w:vAlign w:val="bottom"/>
          </w:tcPr>
          <w:p>
            <w:pPr>
              <w:spacing w:after="0"/>
              <w:rPr>
                <w:sz w:val="20"/>
                <w:szCs w:val="20"/>
                <w:color w:val="auto"/>
              </w:rPr>
            </w:pPr>
            <w:r>
              <w:rPr>
                <w:rFonts w:ascii="Arial" w:cs="Arial" w:eastAsia="Arial" w:hAnsi="Arial"/>
                <w:sz w:val="17"/>
                <w:szCs w:val="17"/>
                <w:color w:val="auto"/>
                <w:w w:val="93"/>
              </w:rPr>
              <w:t>CR'</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ind w:left="140"/>
              <w:spacing w:after="0"/>
              <w:rPr>
                <w:sz w:val="20"/>
                <w:szCs w:val="20"/>
                <w:color w:val="auto"/>
              </w:rPr>
            </w:pPr>
            <w:r>
              <w:rPr>
                <w:rFonts w:ascii="Arial" w:cs="Arial" w:eastAsia="Arial" w:hAnsi="Arial"/>
                <w:sz w:val="17"/>
                <w:szCs w:val="17"/>
                <w:color w:val="auto"/>
              </w:rPr>
              <w:t>the Conversion Rate in effect immediately after the open of business on the Ex-Dividend Date for such dividend or distribution;</w:t>
            </w:r>
          </w:p>
        </w:tc>
      </w:tr>
      <w:tr>
        <w:trPr>
          <w:trHeight w:val="385"/>
        </w:trPr>
        <w:tc>
          <w:tcPr>
            <w:tcW w:w="280" w:type="dxa"/>
            <w:vAlign w:val="bottom"/>
          </w:tcPr>
          <w:p>
            <w:pPr>
              <w:spacing w:after="0"/>
              <w:rPr>
                <w:sz w:val="20"/>
                <w:szCs w:val="20"/>
                <w:color w:val="auto"/>
              </w:rPr>
            </w:pPr>
            <w:r>
              <w:rPr>
                <w:rFonts w:ascii="Arial" w:cs="Arial" w:eastAsia="Arial" w:hAnsi="Arial"/>
                <w:sz w:val="17"/>
                <w:szCs w:val="17"/>
                <w:color w:val="auto"/>
                <w:w w:val="84"/>
              </w:rPr>
              <w:t>SP</w:t>
            </w:r>
            <w:r>
              <w:rPr>
                <w:rFonts w:ascii="Arial" w:cs="Arial" w:eastAsia="Arial" w:hAnsi="Arial"/>
                <w:sz w:val="22"/>
                <w:szCs w:val="22"/>
                <w:color w:val="auto"/>
                <w:w w:val="84"/>
                <w:vertAlign w:val="subscript"/>
              </w:rPr>
              <w:t>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ind w:left="120"/>
              <w:spacing w:after="0"/>
              <w:rPr>
                <w:sz w:val="20"/>
                <w:szCs w:val="20"/>
                <w:color w:val="auto"/>
              </w:rPr>
            </w:pPr>
            <w:r>
              <w:rPr>
                <w:rFonts w:ascii="Arial" w:cs="Arial" w:eastAsia="Arial" w:hAnsi="Arial"/>
                <w:sz w:val="17"/>
                <w:szCs w:val="17"/>
                <w:color w:val="auto"/>
                <w:w w:val="91"/>
              </w:rPr>
              <w:t>the Last Reported Sale Price of the Common Stock on the Trading Day immediately preceding the Ex-Dividend Date for such dividend or distribution; and</w:t>
            </w:r>
          </w:p>
        </w:tc>
      </w:tr>
      <w:tr>
        <w:trPr>
          <w:trHeight w:val="358"/>
        </w:trPr>
        <w:tc>
          <w:tcPr>
            <w:tcW w:w="280" w:type="dxa"/>
            <w:vAlign w:val="bottom"/>
          </w:tcPr>
          <w:p>
            <w:pPr>
              <w:spacing w:after="0"/>
              <w:rPr>
                <w:sz w:val="20"/>
                <w:szCs w:val="20"/>
                <w:color w:val="auto"/>
              </w:rPr>
            </w:pPr>
            <w:r>
              <w:rPr>
                <w:rFonts w:ascii="Arial" w:cs="Arial" w:eastAsia="Arial" w:hAnsi="Arial"/>
                <w:sz w:val="17"/>
                <w:szCs w:val="17"/>
                <w:color w:val="auto"/>
              </w:rPr>
              <w:t>C</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0"/>
              </w:rPr>
              <w:t>=</w:t>
            </w:r>
          </w:p>
        </w:tc>
        <w:tc>
          <w:tcPr>
            <w:tcW w:w="10660" w:type="dxa"/>
            <w:vAlign w:val="bottom"/>
          </w:tcPr>
          <w:p>
            <w:pPr>
              <w:spacing w:after="0"/>
              <w:rPr>
                <w:sz w:val="20"/>
                <w:szCs w:val="20"/>
                <w:color w:val="auto"/>
              </w:rPr>
            </w:pPr>
            <w:r>
              <w:rPr>
                <w:rFonts w:ascii="Arial" w:cs="Arial" w:eastAsia="Arial" w:hAnsi="Arial"/>
                <w:sz w:val="17"/>
                <w:szCs w:val="17"/>
                <w:color w:val="auto"/>
              </w:rPr>
              <w:t>the amount in cash per share the Company distributes to all or substantially all holders of the Common Stock.</w:t>
            </w:r>
          </w:p>
        </w:tc>
      </w:tr>
    </w:tbl>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Any increase pursuant to this Section 14.03(d)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22"/>
          <w:szCs w:val="22"/>
          <w:color w:val="auto"/>
          <w:vertAlign w:val="subscript"/>
        </w:rPr>
        <w:t>0</w:t>
      </w:r>
      <w:r>
        <w:rPr>
          <w:rFonts w:ascii="Arial" w:cs="Arial" w:eastAsia="Arial" w:hAnsi="Arial"/>
          <w:sz w:val="17"/>
          <w:szCs w:val="17"/>
          <w:color w:val="auto"/>
        </w:rPr>
        <w:t>” (as defined above), in lieu of the foregoing increase, each Holder of a Note shall receive, for each $1,000 Capitalized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61" w:lineRule="exact"/>
        <w:rPr>
          <w:sz w:val="20"/>
          <w:szCs w:val="20"/>
          <w:color w:val="auto"/>
        </w:rPr>
      </w:pPr>
    </w:p>
    <w:p>
      <w:pPr>
        <w:ind w:firstLine="667"/>
        <w:spacing w:after="0" w:line="253" w:lineRule="auto"/>
        <w:tabs>
          <w:tab w:leader="none" w:pos="1013"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97790</wp:posOffset>
            </wp:positionV>
            <wp:extent cx="1946910" cy="276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27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60"/>
          </w:cols>
          <w:pgMar w:left="300" w:top="1440" w:right="339" w:bottom="1440" w:gutter="0" w:footer="0" w:header="0"/>
        </w:sectPr>
      </w:pPr>
    </w:p>
    <w:bookmarkStart w:id="89" w:name="page90"/>
    <w:bookmarkEnd w:id="89"/>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40" w:type="dxa"/>
            <w:vAlign w:val="bottom"/>
          </w:tcPr>
          <w:p>
            <w:pPr>
              <w:spacing w:after="0"/>
              <w:rPr>
                <w:sz w:val="20"/>
                <w:szCs w:val="20"/>
                <w:color w:val="auto"/>
              </w:rPr>
            </w:pPr>
            <w:r>
              <w:rPr>
                <w:rFonts w:ascii="Arial" w:cs="Arial" w:eastAsia="Arial" w:hAnsi="Arial"/>
                <w:sz w:val="17"/>
                <w:szCs w:val="17"/>
                <w:color w:val="auto"/>
                <w:w w:val="97"/>
              </w:rPr>
              <w:t>CR</w:t>
            </w:r>
            <w:r>
              <w:rPr>
                <w:rFonts w:ascii="Arial" w:cs="Arial" w:eastAsia="Arial" w:hAnsi="Arial"/>
                <w:sz w:val="22"/>
                <w:szCs w:val="22"/>
                <w:color w:val="auto"/>
                <w:w w:val="97"/>
                <w:vertAlign w:val="subscript"/>
              </w:rPr>
              <w:t>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ind w:left="120"/>
              <w:spacing w:after="0"/>
              <w:rPr>
                <w:sz w:val="20"/>
                <w:szCs w:val="20"/>
                <w:color w:val="auto"/>
              </w:rPr>
            </w:pPr>
            <w:r>
              <w:rPr>
                <w:rFonts w:ascii="Arial" w:cs="Arial" w:eastAsia="Arial" w:hAnsi="Arial"/>
                <w:sz w:val="17"/>
                <w:szCs w:val="17"/>
                <w:color w:val="auto"/>
                <w:w w:val="93"/>
              </w:rPr>
              <w:t>the Conversion Rate in effect immediately prior to the close of business on the 10th Trading Day immediately following, and including, the Trading Day</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next succeeding the date such tender or exchange offer expires;</w:t>
            </w:r>
          </w:p>
        </w:tc>
      </w:tr>
      <w:tr>
        <w:trPr>
          <w:trHeight w:val="358"/>
        </w:trPr>
        <w:tc>
          <w:tcPr>
            <w:tcW w:w="340" w:type="dxa"/>
            <w:vAlign w:val="bottom"/>
          </w:tcPr>
          <w:p>
            <w:pPr>
              <w:spacing w:after="0"/>
              <w:rPr>
                <w:sz w:val="20"/>
                <w:szCs w:val="20"/>
                <w:color w:val="auto"/>
              </w:rPr>
            </w:pPr>
            <w:r>
              <w:rPr>
                <w:rFonts w:ascii="Arial" w:cs="Arial" w:eastAsia="Arial" w:hAnsi="Arial"/>
                <w:sz w:val="17"/>
                <w:szCs w:val="17"/>
                <w:color w:val="auto"/>
              </w:rPr>
              <w:t>CR'</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jc w:val="center"/>
              <w:spacing w:after="0"/>
              <w:rPr>
                <w:sz w:val="20"/>
                <w:szCs w:val="20"/>
                <w:color w:val="auto"/>
              </w:rPr>
            </w:pPr>
            <w:r>
              <w:rPr>
                <w:rFonts w:ascii="Arial" w:cs="Arial" w:eastAsia="Arial" w:hAnsi="Arial"/>
                <w:sz w:val="17"/>
                <w:szCs w:val="17"/>
                <w:color w:val="auto"/>
                <w:w w:val="91"/>
              </w:rPr>
              <w:t>the Conversion Rate in effect immediately after the close of business on the 10th Trading Day immediately following, and including, the Trading Day next</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succeeding the date such tender or exchange offer expires;</w:t>
            </w:r>
          </w:p>
        </w:tc>
      </w:tr>
      <w:tr>
        <w:trPr>
          <w:trHeight w:val="358"/>
        </w:trPr>
        <w:tc>
          <w:tcPr>
            <w:tcW w:w="340" w:type="dxa"/>
            <w:vAlign w:val="bottom"/>
          </w:tcPr>
          <w:p>
            <w:pPr>
              <w:spacing w:after="0"/>
              <w:rPr>
                <w:sz w:val="20"/>
                <w:szCs w:val="20"/>
                <w:color w:val="auto"/>
              </w:rPr>
            </w:pPr>
            <w:r>
              <w:rPr>
                <w:rFonts w:ascii="Arial" w:cs="Arial" w:eastAsia="Arial" w:hAnsi="Arial"/>
                <w:sz w:val="17"/>
                <w:szCs w:val="17"/>
                <w:color w:val="auto"/>
              </w:rPr>
              <w:t>AC</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660" w:type="dxa"/>
            <w:vAlign w:val="bottom"/>
          </w:tcPr>
          <w:p>
            <w:pPr>
              <w:jc w:val="center"/>
              <w:spacing w:after="0"/>
              <w:rPr>
                <w:sz w:val="20"/>
                <w:szCs w:val="20"/>
                <w:color w:val="auto"/>
              </w:rPr>
            </w:pPr>
            <w:r>
              <w:rPr>
                <w:rFonts w:ascii="Arial" w:cs="Arial" w:eastAsia="Arial" w:hAnsi="Arial"/>
                <w:sz w:val="17"/>
                <w:szCs w:val="17"/>
                <w:color w:val="auto"/>
                <w:w w:val="89"/>
              </w:rPr>
              <w:t>the aggregate value of all cash and any other consideration (as determined by the Company) paid or payable for shares of Common Stock purchased in such</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tender or exchange offer;</w:t>
            </w:r>
          </w:p>
        </w:tc>
      </w:tr>
      <w:tr>
        <w:trPr>
          <w:trHeight w:val="358"/>
        </w:trPr>
        <w:tc>
          <w:tcPr>
            <w:tcW w:w="340" w:type="dxa"/>
            <w:vAlign w:val="bottom"/>
          </w:tcPr>
          <w:p>
            <w:pPr>
              <w:spacing w:after="0"/>
              <w:rPr>
                <w:sz w:val="20"/>
                <w:szCs w:val="20"/>
                <w:color w:val="auto"/>
              </w:rPr>
            </w:pPr>
            <w:r>
              <w:rPr>
                <w:rFonts w:ascii="Arial" w:cs="Arial" w:eastAsia="Arial" w:hAnsi="Arial"/>
                <w:sz w:val="17"/>
                <w:szCs w:val="17"/>
                <w:color w:val="auto"/>
                <w:w w:val="97"/>
              </w:rPr>
              <w:t>OS</w:t>
            </w:r>
            <w:r>
              <w:rPr>
                <w:rFonts w:ascii="Arial" w:cs="Arial" w:eastAsia="Arial" w:hAnsi="Arial"/>
                <w:sz w:val="22"/>
                <w:szCs w:val="22"/>
                <w:color w:val="auto"/>
                <w:w w:val="97"/>
                <w:vertAlign w:val="subscript"/>
              </w:rPr>
              <w:t>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ind w:left="120"/>
              <w:spacing w:after="0"/>
              <w:rPr>
                <w:sz w:val="20"/>
                <w:szCs w:val="20"/>
                <w:color w:val="auto"/>
              </w:rPr>
            </w:pPr>
            <w:r>
              <w:rPr>
                <w:rFonts w:ascii="Arial" w:cs="Arial" w:eastAsia="Arial" w:hAnsi="Arial"/>
                <w:sz w:val="17"/>
                <w:szCs w:val="17"/>
                <w:color w:val="auto"/>
                <w:w w:val="94"/>
              </w:rPr>
              <w:t>the number of shares of Common Stock outstanding immediately prior to the date such tender or exchange offer expires (prior to giving effect to the</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purchase of all shares of Common Stock accepted for purchase or exchange in such tender or exchange offer);</w:t>
            </w:r>
          </w:p>
        </w:tc>
      </w:tr>
      <w:tr>
        <w:trPr>
          <w:trHeight w:val="358"/>
        </w:trPr>
        <w:tc>
          <w:tcPr>
            <w:tcW w:w="340" w:type="dxa"/>
            <w:vAlign w:val="bottom"/>
          </w:tcPr>
          <w:p>
            <w:pPr>
              <w:spacing w:after="0"/>
              <w:rPr>
                <w:sz w:val="20"/>
                <w:szCs w:val="20"/>
                <w:color w:val="auto"/>
              </w:rPr>
            </w:pPr>
            <w:r>
              <w:rPr>
                <w:rFonts w:ascii="Arial" w:cs="Arial" w:eastAsia="Arial" w:hAnsi="Arial"/>
                <w:sz w:val="17"/>
                <w:szCs w:val="17"/>
                <w:color w:val="auto"/>
              </w:rPr>
              <w:t>OS'</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60" w:type="dxa"/>
            <w:vAlign w:val="bottom"/>
          </w:tcPr>
          <w:p>
            <w:pPr>
              <w:jc w:val="center"/>
              <w:spacing w:after="0"/>
              <w:rPr>
                <w:sz w:val="20"/>
                <w:szCs w:val="20"/>
                <w:color w:val="auto"/>
              </w:rPr>
            </w:pPr>
            <w:r>
              <w:rPr>
                <w:rFonts w:ascii="Arial" w:cs="Arial" w:eastAsia="Arial" w:hAnsi="Arial"/>
                <w:sz w:val="17"/>
                <w:szCs w:val="17"/>
                <w:color w:val="auto"/>
                <w:w w:val="90"/>
              </w:rPr>
              <w:t>the number of shares of Common Stock outstanding immediately after the date such tender or exchange offer expires (after giving effect to the purchase of</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all shares of Common Stock accepted for purchase or exchange in such tender or exchange offer); and</w:t>
            </w:r>
          </w:p>
        </w:tc>
      </w:tr>
      <w:tr>
        <w:trPr>
          <w:trHeight w:val="358"/>
        </w:trPr>
        <w:tc>
          <w:tcPr>
            <w:tcW w:w="340" w:type="dxa"/>
            <w:vAlign w:val="bottom"/>
          </w:tcPr>
          <w:p>
            <w:pPr>
              <w:spacing w:after="0"/>
              <w:rPr>
                <w:sz w:val="20"/>
                <w:szCs w:val="20"/>
                <w:color w:val="auto"/>
              </w:rPr>
            </w:pPr>
            <w:r>
              <w:rPr>
                <w:rFonts w:ascii="Arial" w:cs="Arial" w:eastAsia="Arial" w:hAnsi="Arial"/>
                <w:sz w:val="17"/>
                <w:szCs w:val="17"/>
                <w:color w:val="auto"/>
              </w:rPr>
              <w:t>SP'</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60" w:type="dxa"/>
            <w:vAlign w:val="bottom"/>
          </w:tcPr>
          <w:p>
            <w:pPr>
              <w:jc w:val="center"/>
              <w:spacing w:after="0"/>
              <w:rPr>
                <w:sz w:val="20"/>
                <w:szCs w:val="20"/>
                <w:color w:val="auto"/>
              </w:rPr>
            </w:pPr>
            <w:r>
              <w:rPr>
                <w:rFonts w:ascii="Arial" w:cs="Arial" w:eastAsia="Arial" w:hAnsi="Arial"/>
                <w:sz w:val="17"/>
                <w:szCs w:val="17"/>
                <w:color w:val="auto"/>
                <w:w w:val="90"/>
              </w:rPr>
              <w:t>the average of the Last Reported Sale Prices of the Common Stock over the 10 consecutive Trading Day period commencing on, and including, the Trading</w:t>
            </w:r>
          </w:p>
        </w:tc>
      </w:tr>
      <w:tr>
        <w:trPr>
          <w:trHeight w:val="215"/>
        </w:trPr>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60" w:type="dxa"/>
            <w:vAlign w:val="bottom"/>
          </w:tcPr>
          <w:p>
            <w:pPr>
              <w:ind w:left="340"/>
              <w:spacing w:after="0"/>
              <w:rPr>
                <w:sz w:val="20"/>
                <w:szCs w:val="20"/>
                <w:color w:val="auto"/>
              </w:rPr>
            </w:pPr>
            <w:r>
              <w:rPr>
                <w:rFonts w:ascii="Arial" w:cs="Arial" w:eastAsia="Arial" w:hAnsi="Arial"/>
                <w:sz w:val="17"/>
                <w:szCs w:val="17"/>
                <w:color w:val="auto"/>
              </w:rPr>
              <w:t>Day next succeeding the date such tender or exchange offer expires.</w:t>
            </w:r>
          </w:p>
        </w:tc>
      </w:tr>
    </w:tbl>
    <w:p>
      <w:pPr>
        <w:spacing w:after="0" w:line="156" w:lineRule="exact"/>
        <w:rPr>
          <w:sz w:val="20"/>
          <w:szCs w:val="20"/>
          <w:color w:val="auto"/>
        </w:rPr>
      </w:pPr>
    </w:p>
    <w:p>
      <w:pPr>
        <w:ind w:firstLine="509"/>
        <w:spacing w:after="0" w:line="287" w:lineRule="auto"/>
        <w:rPr>
          <w:sz w:val="20"/>
          <w:szCs w:val="20"/>
          <w:color w:val="auto"/>
        </w:rPr>
      </w:pPr>
      <w:r>
        <w:rPr>
          <w:rFonts w:ascii="Arial" w:cs="Arial" w:eastAsia="Arial" w:hAnsi="Arial"/>
          <w:sz w:val="15"/>
          <w:szCs w:val="15"/>
          <w:color w:val="auto"/>
        </w:rPr>
        <w:t xml:space="preserve">The increase to the Conversion Rate under this Section 14.03(e) shall occur at the close of business on the 10th Trading Day immediately following, and including, the Trading Day next succeeding the date such tender or exchange offer expires;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60"/>
          </w:cols>
          <w:pgMar w:left="300" w:top="1440" w:right="339" w:bottom="1440" w:gutter="0" w:footer="0" w:header="0"/>
        </w:sectPr>
      </w:pPr>
    </w:p>
    <w:bookmarkStart w:id="90" w:name="page91"/>
    <w:bookmarkEnd w:id="90"/>
    <w:p>
      <w:pPr>
        <w:spacing w:after="0" w:line="8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If the Company or one of its Subsidiaries is obligated to purchase shares of Common Stock pursuant to any such tender or exchange offer described in this Section 14.03(e)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45" w:lineRule="exact"/>
        <w:rPr>
          <w:sz w:val="20"/>
          <w:szCs w:val="20"/>
          <w:color w:val="auto"/>
        </w:rPr>
      </w:pPr>
    </w:p>
    <w:p>
      <w:pPr>
        <w:ind w:right="100" w:firstLine="667"/>
        <w:spacing w:after="0" w:line="292" w:lineRule="auto"/>
        <w:tabs>
          <w:tab w:leader="none" w:pos="1016" w:val="left"/>
        </w:tabs>
        <w:numPr>
          <w:ilvl w:val="0"/>
          <w:numId w:val="51"/>
        </w:numPr>
        <w:rPr>
          <w:rFonts w:ascii="Arial" w:cs="Arial" w:eastAsia="Arial" w:hAnsi="Arial"/>
          <w:sz w:val="15"/>
          <w:szCs w:val="15"/>
          <w:color w:val="auto"/>
        </w:rPr>
      </w:pPr>
      <w:r>
        <w:rPr>
          <w:rFonts w:ascii="Arial" w:cs="Arial" w:eastAsia="Arial" w:hAnsi="Arial"/>
          <w:sz w:val="15"/>
          <w:szCs w:val="15"/>
          <w:color w:val="auto"/>
        </w:rPr>
        <w:t>Notwithstanding this Section 14.03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14.03,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20" w:lineRule="exact"/>
        <w:rPr>
          <w:rFonts w:ascii="Arial" w:cs="Arial" w:eastAsia="Arial" w:hAnsi="Arial"/>
          <w:sz w:val="15"/>
          <w:szCs w:val="15"/>
          <w:color w:val="auto"/>
        </w:rPr>
      </w:pPr>
    </w:p>
    <w:p>
      <w:pPr>
        <w:ind w:right="700" w:firstLine="667"/>
        <w:spacing w:after="0" w:line="259" w:lineRule="auto"/>
        <w:tabs>
          <w:tab w:leader="none" w:pos="10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41" w:lineRule="exact"/>
        <w:rPr>
          <w:rFonts w:ascii="Arial" w:cs="Arial" w:eastAsia="Arial" w:hAnsi="Arial"/>
          <w:sz w:val="17"/>
          <w:szCs w:val="17"/>
          <w:color w:val="auto"/>
        </w:rPr>
      </w:pPr>
    </w:p>
    <w:p>
      <w:pPr>
        <w:ind w:right="80" w:firstLine="667"/>
        <w:spacing w:after="0" w:line="250" w:lineRule="auto"/>
        <w:tabs>
          <w:tab w:leader="none" w:pos="10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addition to those adjustments required by clauses (a), (b), (c), (d) and (e) of this Section 14.03,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Company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a notice of the increase at least 15 days prior to the date the increased Conversion Rate takes effect, and such notice shall state the increased Conversion Rate and the period during which it will be in effect.</w:t>
      </w:r>
    </w:p>
    <w:p>
      <w:pPr>
        <w:spacing w:after="0" w:line="151" w:lineRule="exact"/>
        <w:rPr>
          <w:rFonts w:ascii="Arial" w:cs="Arial" w:eastAsia="Arial" w:hAnsi="Arial"/>
          <w:sz w:val="17"/>
          <w:szCs w:val="17"/>
          <w:color w:val="auto"/>
        </w:rPr>
      </w:pPr>
    </w:p>
    <w:p>
      <w:pPr>
        <w:ind w:left="1020" w:hanging="35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14, the Conversion Rate shall not be adjusted:</w:t>
      </w:r>
    </w:p>
    <w:p>
      <w:pPr>
        <w:spacing w:after="0" w:line="175" w:lineRule="exact"/>
        <w:rPr>
          <w:rFonts w:ascii="Arial" w:cs="Arial" w:eastAsia="Arial" w:hAnsi="Arial"/>
          <w:sz w:val="17"/>
          <w:szCs w:val="17"/>
          <w:color w:val="auto"/>
        </w:rPr>
      </w:pPr>
    </w:p>
    <w:p>
      <w:pPr>
        <w:ind w:left="520" w:firstLine="764"/>
        <w:spacing w:after="0" w:line="271" w:lineRule="auto"/>
        <w:rPr>
          <w:rFonts w:ascii="Arial" w:cs="Arial" w:eastAsia="Arial" w:hAnsi="Arial"/>
          <w:sz w:val="17"/>
          <w:szCs w:val="17"/>
          <w:color w:val="auto"/>
        </w:rPr>
      </w:pPr>
      <w:r>
        <w:rPr>
          <w:rFonts w:ascii="Arial" w:cs="Arial" w:eastAsia="Arial" w:hAnsi="Arial"/>
          <w:sz w:val="17"/>
          <w:szCs w:val="17"/>
          <w:color w:val="auto"/>
        </w:rPr>
        <w:t>ii. upon the issuance of any shares of Common Stock pursuant to any present or future plan providing for the reinvestment of dividends or interest payable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80"/>
          </w:cols>
          <w:pgMar w:left="300" w:top="1440" w:right="319" w:bottom="1440" w:gutter="0" w:footer="0" w:header="0"/>
        </w:sectPr>
      </w:pPr>
    </w:p>
    <w:bookmarkStart w:id="91" w:name="page92"/>
    <w:bookmarkEnd w:id="91"/>
    <w:p>
      <w:pPr>
        <w:spacing w:after="0" w:line="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Company’s securities and the investment of additional optional amounts in shares of Common Stock under any plan;</w:t>
      </w:r>
    </w:p>
    <w:p>
      <w:pPr>
        <w:spacing w:after="0" w:line="176" w:lineRule="exact"/>
        <w:rPr>
          <w:sz w:val="20"/>
          <w:szCs w:val="20"/>
          <w:color w:val="auto"/>
        </w:rPr>
      </w:pPr>
    </w:p>
    <w:p>
      <w:pPr>
        <w:ind w:left="480" w:right="260" w:firstLine="758"/>
        <w:spacing w:after="0" w:line="303" w:lineRule="auto"/>
        <w:tabs>
          <w:tab w:leader="none" w:pos="1491" w:val="left"/>
        </w:tabs>
        <w:numPr>
          <w:ilvl w:val="1"/>
          <w:numId w:val="52"/>
        </w:numPr>
        <w:rPr>
          <w:rFonts w:ascii="Arial" w:cs="Arial" w:eastAsia="Arial" w:hAnsi="Arial"/>
          <w:sz w:val="16"/>
          <w:szCs w:val="16"/>
          <w:color w:val="auto"/>
        </w:rPr>
      </w:pPr>
      <w:r>
        <w:rPr>
          <w:rFonts w:ascii="Arial" w:cs="Arial" w:eastAsia="Arial" w:hAnsi="Arial"/>
          <w:sz w:val="16"/>
          <w:szCs w:val="16"/>
          <w:color w:val="auto"/>
        </w:rPr>
        <w:t>upon the issuance of any shares of Common Stock or options or rights to purchase those shares pursuant to any present or future employee, director or consultant benefit or incentive plan or program of or assumed by the Company or any of the Company’s Subsidiaries;</w:t>
      </w:r>
    </w:p>
    <w:p>
      <w:pPr>
        <w:spacing w:after="0" w:line="108" w:lineRule="exact"/>
        <w:rPr>
          <w:rFonts w:ascii="Arial" w:cs="Arial" w:eastAsia="Arial" w:hAnsi="Arial"/>
          <w:sz w:val="16"/>
          <w:szCs w:val="16"/>
          <w:color w:val="auto"/>
        </w:rPr>
      </w:pPr>
    </w:p>
    <w:p>
      <w:pPr>
        <w:ind w:left="480" w:right="480" w:firstLine="758"/>
        <w:spacing w:after="0" w:line="271" w:lineRule="auto"/>
        <w:tabs>
          <w:tab w:leader="none" w:pos="1482" w:val="left"/>
        </w:tabs>
        <w:numPr>
          <w:ilvl w:val="1"/>
          <w:numId w:val="52"/>
        </w:numPr>
        <w:rPr>
          <w:rFonts w:ascii="Arial" w:cs="Arial" w:eastAsia="Arial" w:hAnsi="Arial"/>
          <w:sz w:val="17"/>
          <w:szCs w:val="17"/>
          <w:color w:val="auto"/>
        </w:rPr>
      </w:pPr>
      <w:r>
        <w:rPr>
          <w:rFonts w:ascii="Arial" w:cs="Arial" w:eastAsia="Arial" w:hAnsi="Arial"/>
          <w:sz w:val="17"/>
          <w:szCs w:val="17"/>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31" w:lineRule="exact"/>
        <w:rPr>
          <w:rFonts w:ascii="Arial" w:cs="Arial" w:eastAsia="Arial" w:hAnsi="Arial"/>
          <w:sz w:val="17"/>
          <w:szCs w:val="17"/>
          <w:color w:val="auto"/>
        </w:rPr>
      </w:pPr>
    </w:p>
    <w:p>
      <w:pPr>
        <w:ind w:left="480" w:right="100" w:firstLine="758"/>
        <w:spacing w:after="0" w:line="271" w:lineRule="auto"/>
        <w:tabs>
          <w:tab w:leader="none" w:pos="1487" w:val="left"/>
        </w:tabs>
        <w:numPr>
          <w:ilvl w:val="1"/>
          <w:numId w:val="52"/>
        </w:numPr>
        <w:rPr>
          <w:rFonts w:ascii="Arial" w:cs="Arial" w:eastAsia="Arial" w:hAnsi="Arial"/>
          <w:sz w:val="17"/>
          <w:szCs w:val="17"/>
          <w:color w:val="auto"/>
        </w:rPr>
      </w:pPr>
      <w:r>
        <w:rPr>
          <w:rFonts w:ascii="Arial" w:cs="Arial" w:eastAsia="Arial" w:hAnsi="Arial"/>
          <w:sz w:val="17"/>
          <w:szCs w:val="17"/>
          <w:color w:val="auto"/>
        </w:rPr>
        <w:t>for a third-party tender offer by any party other than a tender offer by one or more of the Company’s Subsidiaries as described in clause (e) of this Section 14.03;</w:t>
      </w:r>
    </w:p>
    <w:p>
      <w:pPr>
        <w:spacing w:after="0" w:line="131" w:lineRule="exact"/>
        <w:rPr>
          <w:rFonts w:ascii="Arial" w:cs="Arial" w:eastAsia="Arial" w:hAnsi="Arial"/>
          <w:sz w:val="17"/>
          <w:szCs w:val="17"/>
          <w:color w:val="auto"/>
        </w:rPr>
      </w:pPr>
    </w:p>
    <w:p>
      <w:pPr>
        <w:ind w:left="480" w:right="40" w:firstLine="758"/>
        <w:spacing w:after="0" w:line="259" w:lineRule="auto"/>
        <w:tabs>
          <w:tab w:leader="none" w:pos="1493" w:val="left"/>
        </w:tabs>
        <w:numPr>
          <w:ilvl w:val="1"/>
          <w:numId w:val="52"/>
        </w:numPr>
        <w:rPr>
          <w:rFonts w:ascii="Arial" w:cs="Arial" w:eastAsia="Arial" w:hAnsi="Arial"/>
          <w:sz w:val="17"/>
          <w:szCs w:val="17"/>
          <w:color w:val="auto"/>
        </w:rPr>
      </w:pPr>
      <w:r>
        <w:rPr>
          <w:rFonts w:ascii="Arial" w:cs="Arial" w:eastAsia="Arial" w:hAnsi="Arial"/>
          <w:sz w:val="17"/>
          <w:szCs w:val="17"/>
          <w:color w:val="auto"/>
        </w:rPr>
        <w:t>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14.03;</w:t>
      </w:r>
    </w:p>
    <w:p>
      <w:pPr>
        <w:spacing w:after="0" w:line="141" w:lineRule="exact"/>
        <w:rPr>
          <w:rFonts w:ascii="Arial" w:cs="Arial" w:eastAsia="Arial" w:hAnsi="Arial"/>
          <w:sz w:val="17"/>
          <w:szCs w:val="17"/>
          <w:color w:val="auto"/>
        </w:rPr>
      </w:pPr>
    </w:p>
    <w:p>
      <w:pPr>
        <w:ind w:left="1500" w:hanging="262"/>
        <w:spacing w:after="0"/>
        <w:tabs>
          <w:tab w:leader="none" w:pos="15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solely for a change in the par value of the Common Stock; or</w:t>
      </w:r>
    </w:p>
    <w:p>
      <w:pPr>
        <w:spacing w:after="0" w:line="175" w:lineRule="exact"/>
        <w:rPr>
          <w:rFonts w:ascii="Arial" w:cs="Arial" w:eastAsia="Arial" w:hAnsi="Arial"/>
          <w:sz w:val="17"/>
          <w:szCs w:val="17"/>
          <w:color w:val="auto"/>
        </w:rPr>
      </w:pPr>
    </w:p>
    <w:p>
      <w:pPr>
        <w:ind w:left="2000" w:hanging="762"/>
        <w:spacing w:after="0"/>
        <w:tabs>
          <w:tab w:leader="none" w:pos="20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for accrued and unpaid interest, if any.</w:t>
      </w:r>
    </w:p>
    <w:p>
      <w:pPr>
        <w:spacing w:after="0" w:line="175" w:lineRule="exact"/>
        <w:rPr>
          <w:rFonts w:ascii="Arial" w:cs="Arial" w:eastAsia="Arial" w:hAnsi="Arial"/>
          <w:sz w:val="17"/>
          <w:szCs w:val="17"/>
          <w:color w:val="auto"/>
        </w:rPr>
      </w:pPr>
    </w:p>
    <w:p>
      <w:pPr>
        <w:ind w:left="-40" w:right="280" w:firstLine="667"/>
        <w:spacing w:after="0" w:line="271" w:lineRule="auto"/>
        <w:tabs>
          <w:tab w:leader="none" w:pos="9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calculations and other determinations under this Article 14 shall be made by the Company and shall be made to the nearest one-ten thousandth (1/10,000th) of a share.</w:t>
      </w:r>
    </w:p>
    <w:p>
      <w:pPr>
        <w:spacing w:after="0" w:line="131" w:lineRule="exact"/>
        <w:rPr>
          <w:rFonts w:ascii="Arial" w:cs="Arial" w:eastAsia="Arial" w:hAnsi="Arial"/>
          <w:sz w:val="17"/>
          <w:szCs w:val="17"/>
          <w:color w:val="auto"/>
        </w:rPr>
      </w:pPr>
    </w:p>
    <w:p>
      <w:pPr>
        <w:ind w:left="-40" w:firstLine="667"/>
        <w:spacing w:after="0" w:line="292" w:lineRule="auto"/>
        <w:tabs>
          <w:tab w:leader="none" w:pos="972" w:val="left"/>
        </w:tabs>
        <w:numPr>
          <w:ilvl w:val="0"/>
          <w:numId w:val="53"/>
        </w:numPr>
        <w:rPr>
          <w:rFonts w:ascii="Arial" w:cs="Arial" w:eastAsia="Arial" w:hAnsi="Arial"/>
          <w:sz w:val="15"/>
          <w:szCs w:val="15"/>
          <w:color w:val="auto"/>
        </w:rPr>
      </w:pPr>
      <w:r>
        <w:rPr>
          <w:rFonts w:ascii="Arial" w:cs="Arial" w:eastAsia="Arial" w:hAnsi="Arial"/>
          <w:sz w:val="15"/>
          <w:szCs w:val="15"/>
          <w:color w:val="auto"/>
        </w:rPr>
        <w:t>If an adjustment to the Conversion Rate otherwise required by this Section 14.03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the Cut-off Date, (v) on any date on which the Company delivers a Redemption Notice and (vi) on the effective date of any Fundamental Change, in each case, unless the adjustment has already been made.</w:t>
      </w:r>
    </w:p>
    <w:p>
      <w:pPr>
        <w:spacing w:after="0" w:line="120" w:lineRule="exact"/>
        <w:rPr>
          <w:rFonts w:ascii="Arial" w:cs="Arial" w:eastAsia="Arial" w:hAnsi="Arial"/>
          <w:sz w:val="15"/>
          <w:szCs w:val="15"/>
          <w:color w:val="auto"/>
        </w:rPr>
      </w:pPr>
    </w:p>
    <w:p>
      <w:pPr>
        <w:ind w:left="-40" w:right="60" w:firstLine="667"/>
        <w:spacing w:after="0" w:line="259" w:lineRule="auto"/>
        <w:tabs>
          <w:tab w:leader="none" w:pos="9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00"/>
          </w:cols>
          <w:pgMar w:left="340" w:top="1440" w:right="359" w:bottom="1440" w:gutter="0" w:footer="0" w:header="0"/>
        </w:sectPr>
      </w:pPr>
    </w:p>
    <w:bookmarkStart w:id="92" w:name="page93"/>
    <w:bookmarkEnd w:id="92"/>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47" w:lineRule="exact"/>
        <w:rPr>
          <w:sz w:val="20"/>
          <w:szCs w:val="20"/>
          <w:color w:val="auto"/>
        </w:rPr>
      </w:pPr>
    </w:p>
    <w:p>
      <w:pPr>
        <w:ind w:right="20" w:firstLine="667"/>
        <w:spacing w:after="0" w:line="310" w:lineRule="auto"/>
        <w:tabs>
          <w:tab w:leader="none" w:pos="1017" w:val="left"/>
        </w:tabs>
        <w:numPr>
          <w:ilvl w:val="0"/>
          <w:numId w:val="54"/>
        </w:numPr>
        <w:rPr>
          <w:rFonts w:ascii="Arial" w:cs="Arial" w:eastAsia="Arial" w:hAnsi="Arial"/>
          <w:sz w:val="15"/>
          <w:szCs w:val="15"/>
          <w:color w:val="auto"/>
        </w:rPr>
      </w:pPr>
      <w:r>
        <w:rPr>
          <w:rFonts w:ascii="Arial" w:cs="Arial" w:eastAsia="Arial" w:hAnsi="Arial"/>
          <w:sz w:val="15"/>
          <w:szCs w:val="15"/>
          <w:color w:val="auto"/>
        </w:rPr>
        <w:t>For purposes of this Section 14.03,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0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i w:val="1"/>
          <w:iCs w:val="1"/>
          <w:color w:val="auto"/>
        </w:rPr>
        <w:t>Adjustments of Prices.</w:t>
      </w:r>
      <w:r>
        <w:rPr>
          <w:rFonts w:ascii="Arial" w:cs="Arial" w:eastAsia="Arial" w:hAnsi="Arial"/>
          <w:sz w:val="17"/>
          <w:szCs w:val="17"/>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the Company shall make any adjustments to each that the Company reasonably determines to be appropriate to account for any adjustment to the Conversion Rate that becomes effective, or any event requiring an adjustment to the Conversion Rate where the Record Date,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48" w:lineRule="exact"/>
        <w:rPr>
          <w:sz w:val="20"/>
          <w:szCs w:val="20"/>
          <w:color w:val="auto"/>
        </w:rPr>
      </w:pPr>
    </w:p>
    <w:p>
      <w:pPr>
        <w:ind w:firstLine="509"/>
        <w:spacing w:after="0" w:line="310" w:lineRule="auto"/>
        <w:rPr>
          <w:sz w:val="20"/>
          <w:szCs w:val="20"/>
          <w:color w:val="auto"/>
        </w:rPr>
      </w:pPr>
      <w:r>
        <w:rPr>
          <w:rFonts w:ascii="Arial" w:cs="Arial" w:eastAsia="Arial" w:hAnsi="Arial"/>
          <w:sz w:val="15"/>
          <w:szCs w:val="15"/>
          <w:color w:val="auto"/>
        </w:rPr>
        <w:t xml:space="preserve">Section 14.05. </w:t>
      </w:r>
      <w:r>
        <w:rPr>
          <w:rFonts w:ascii="Arial" w:cs="Arial" w:eastAsia="Arial" w:hAnsi="Arial"/>
          <w:sz w:val="15"/>
          <w:szCs w:val="15"/>
          <w:i w:val="1"/>
          <w:iCs w:val="1"/>
          <w:color w:val="auto"/>
        </w:rPr>
        <w:t>Shares to Be Fully Paid.</w:t>
      </w:r>
      <w:r>
        <w:rPr>
          <w:rFonts w:ascii="Arial" w:cs="Arial" w:eastAsia="Arial" w:hAnsi="Arial"/>
          <w:sz w:val="15"/>
          <w:szCs w:val="15"/>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that at the time of computation of such number of shares, all such Notes would be converted by a single Holder and that Physical Settlement were applicable).</w:t>
      </w:r>
    </w:p>
    <w:p>
      <w:pPr>
        <w:spacing w:after="0" w:line="106"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14.06.</w:t>
      </w:r>
      <w:r>
        <w:rPr>
          <w:sz w:val="20"/>
          <w:szCs w:val="20"/>
          <w:color w:val="auto"/>
        </w:rPr>
        <w:tab/>
      </w:r>
      <w:r>
        <w:rPr>
          <w:rFonts w:ascii="Arial" w:cs="Arial" w:eastAsia="Arial" w:hAnsi="Arial"/>
          <w:sz w:val="15"/>
          <w:szCs w:val="15"/>
          <w:i w:val="1"/>
          <w:iCs w:val="1"/>
          <w:color w:val="auto"/>
        </w:rPr>
        <w:t>Effect of Recapitalizations, Reclassifications and Changes of the Common Stock.</w:t>
      </w:r>
    </w:p>
    <w:p>
      <w:pPr>
        <w:spacing w:after="0" w:line="176" w:lineRule="exact"/>
        <w:rPr>
          <w:sz w:val="20"/>
          <w:szCs w:val="20"/>
          <w:color w:val="auto"/>
        </w:rPr>
      </w:pPr>
    </w:p>
    <w:p>
      <w:pPr>
        <w:ind w:left="1020" w:hanging="35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w:t>
      </w:r>
    </w:p>
    <w:p>
      <w:pPr>
        <w:spacing w:after="0" w:line="175" w:lineRule="exact"/>
        <w:rPr>
          <w:rFonts w:ascii="Arial" w:cs="Arial" w:eastAsia="Arial" w:hAnsi="Arial"/>
          <w:sz w:val="17"/>
          <w:szCs w:val="17"/>
          <w:color w:val="auto"/>
        </w:rPr>
      </w:pPr>
    </w:p>
    <w:p>
      <w:pPr>
        <w:ind w:left="1520" w:hanging="242"/>
        <w:spacing w:after="0"/>
        <w:tabs>
          <w:tab w:leader="none" w:pos="15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recapitalization, reclassification or change of the Common Stock (other than changes resulting from a subdivision or combination),</w:t>
      </w:r>
    </w:p>
    <w:p>
      <w:pPr>
        <w:spacing w:after="0" w:line="187" w:lineRule="exact"/>
        <w:rPr>
          <w:rFonts w:ascii="Arial" w:cs="Arial" w:eastAsia="Arial" w:hAnsi="Arial"/>
          <w:sz w:val="16"/>
          <w:szCs w:val="16"/>
          <w:color w:val="auto"/>
        </w:rPr>
      </w:pPr>
    </w:p>
    <w:p>
      <w:pPr>
        <w:ind w:left="1540" w:hanging="262"/>
        <w:spacing w:after="0"/>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consolidation, merger, combination or similar transaction involving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20"/>
          </w:cols>
          <w:pgMar w:left="300" w:top="1440" w:right="379" w:bottom="1440" w:gutter="0" w:footer="0" w:header="0"/>
        </w:sectPr>
      </w:pPr>
    </w:p>
    <w:bookmarkStart w:id="93" w:name="page94"/>
    <w:bookmarkEnd w:id="93"/>
    <w:p>
      <w:pPr>
        <w:spacing w:after="0" w:line="8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iii. any sale, lease or other transfer to a third party of the consolidated assets of the Company and the Company’s Subsidiaries substantially as an</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entirety or</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iv. any statutory share exchange,</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 at and after the effective time of such Merger Event, the right to convert each $1,000 Capitalized Principal Amount of Notes shall be changed into a right to convert such Capitalized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amend the Notes and/or execute with the Trustee a supplemental indenture (in each case permitted under Section 10.01(g)) providing for such change in the right to convert each $1,000 Capitalized Principal Amount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been entitled to receive in such Merger Event and (III) the Daily VWAP shall be calculated based on the value of a unit of Reference Property.</w:t>
      </w:r>
    </w:p>
    <w:p>
      <w:pPr>
        <w:spacing w:after="0" w:line="137" w:lineRule="exact"/>
        <w:rPr>
          <w:sz w:val="20"/>
          <w:szCs w:val="20"/>
          <w:color w:val="auto"/>
        </w:rPr>
      </w:pPr>
    </w:p>
    <w:p>
      <w:pPr>
        <w:ind w:right="200" w:firstLine="170"/>
        <w:spacing w:after="0" w:line="284" w:lineRule="auto"/>
        <w:rPr>
          <w:sz w:val="20"/>
          <w:szCs w:val="20"/>
          <w:color w:val="auto"/>
        </w:rPr>
      </w:pPr>
      <w:r>
        <w:rPr>
          <w:rFonts w:ascii="Arial" w:cs="Arial" w:eastAsia="Arial" w:hAnsi="Arial"/>
          <w:sz w:val="15"/>
          <w:szCs w:val="15"/>
          <w:color w:val="auto"/>
        </w:rPr>
        <w:t>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w:t>
      </w:r>
    </w:p>
    <w:p>
      <w:pPr>
        <w:spacing w:after="0" w:line="1" w:lineRule="exact"/>
        <w:rPr>
          <w:sz w:val="20"/>
          <w:szCs w:val="20"/>
          <w:color w:val="auto"/>
        </w:rPr>
      </w:pPr>
    </w:p>
    <w:p>
      <w:pPr>
        <w:ind w:right="160" w:firstLine="5"/>
        <w:spacing w:after="0" w:line="250" w:lineRule="auto"/>
        <w:tabs>
          <w:tab w:leader="none" w:pos="27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consideration due upon conversion of each $1,000 Capitalized Principal Amount of Notes shall be solely cash in an amount equal to the Conversion Rate in effect on the Conversion Date,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price paid per share of Common Stock in such Merger Event and (B) the Company shall satisfy the Conversion Obligation by paying cash to converting Holders on or prior to the tenth Business Day immediately following the relevant Conversion Date. The Company shall notify Holders,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80"/>
          </w:cols>
          <w:pgMar w:left="300" w:top="1440" w:right="319" w:bottom="1440" w:gutter="0" w:footer="0" w:header="0"/>
        </w:sectPr>
      </w:pPr>
    </w:p>
    <w:bookmarkStart w:id="94" w:name="page95"/>
    <w:bookmarkEnd w:id="94"/>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Trustee and the Conversion Agent (if other than the Trustee) of such weighted average as soon as practicable after such determination is made.</w:t>
      </w:r>
    </w:p>
    <w:p>
      <w:pPr>
        <w:spacing w:after="0" w:line="176" w:lineRule="exact"/>
        <w:rPr>
          <w:sz w:val="20"/>
          <w:szCs w:val="20"/>
          <w:color w:val="auto"/>
        </w:rPr>
      </w:pPr>
    </w:p>
    <w:p>
      <w:pPr>
        <w:ind w:right="20" w:firstLine="667"/>
        <w:spacing w:after="0" w:line="273" w:lineRule="auto"/>
        <w:tabs>
          <w:tab w:leader="none" w:pos="10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When the Company executes a supplemental indenture pursuant to subsection (a) of this Section 14.06,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31" w:lineRule="exact"/>
        <w:rPr>
          <w:rFonts w:ascii="Arial" w:cs="Arial" w:eastAsia="Arial" w:hAnsi="Arial"/>
          <w:sz w:val="16"/>
          <w:szCs w:val="16"/>
          <w:color w:val="auto"/>
        </w:rPr>
      </w:pPr>
    </w:p>
    <w:p>
      <w:pPr>
        <w:ind w:right="80" w:firstLine="667"/>
        <w:spacing w:after="0" w:line="259" w:lineRule="auto"/>
        <w:tabs>
          <w:tab w:leader="none" w:pos="101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shall not become a party to any Merger Event unless its terms are consistent with this Section 14.06.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41" w:lineRule="exact"/>
        <w:rPr>
          <w:rFonts w:ascii="Arial" w:cs="Arial" w:eastAsia="Arial" w:hAnsi="Arial"/>
          <w:sz w:val="17"/>
          <w:szCs w:val="17"/>
          <w:color w:val="auto"/>
        </w:rPr>
      </w:pPr>
    </w:p>
    <w:p>
      <w:pPr>
        <w:ind w:left="1020" w:hanging="353"/>
        <w:spacing w:after="0"/>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above provisions of this Section shall similarly apply to successive Merger Events.</w:t>
      </w:r>
    </w:p>
    <w:p>
      <w:pPr>
        <w:spacing w:after="0" w:line="176"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14.07.</w:t>
      </w:r>
      <w:r>
        <w:rPr>
          <w:sz w:val="20"/>
          <w:szCs w:val="20"/>
          <w:color w:val="auto"/>
        </w:rPr>
        <w:tab/>
      </w:r>
      <w:r>
        <w:rPr>
          <w:rFonts w:ascii="Arial" w:cs="Arial" w:eastAsia="Arial" w:hAnsi="Arial"/>
          <w:sz w:val="15"/>
          <w:szCs w:val="15"/>
          <w:i w:val="1"/>
          <w:iCs w:val="1"/>
          <w:color w:val="auto"/>
        </w:rPr>
        <w:t>Certain Covenants.</w:t>
      </w:r>
    </w:p>
    <w:p>
      <w:pPr>
        <w:spacing w:after="0" w:line="176" w:lineRule="exact"/>
        <w:rPr>
          <w:sz w:val="20"/>
          <w:szCs w:val="20"/>
          <w:color w:val="auto"/>
        </w:rPr>
      </w:pPr>
    </w:p>
    <w:p>
      <w:pPr>
        <w:jc w:val="both"/>
        <w:ind w:firstLine="667"/>
        <w:spacing w:after="0" w:line="259" w:lineRule="auto"/>
        <w:tabs>
          <w:tab w:leader="none" w:pos="10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covenants that all shares of Common Stock issued upon conversion of Notes will be fully paid and non-assessable by the Company and free from all taxes, liens and charges with respect to the issue thereof, subject to the satisfaction of any obligation of any Applicable Withholding Agent in respect of withholding taxes in accordance with Section 17.17.</w:t>
      </w:r>
    </w:p>
    <w:p>
      <w:pPr>
        <w:spacing w:after="0" w:line="162" w:lineRule="exact"/>
        <w:rPr>
          <w:rFonts w:ascii="Arial" w:cs="Arial" w:eastAsia="Arial" w:hAnsi="Arial"/>
          <w:sz w:val="17"/>
          <w:szCs w:val="17"/>
          <w:color w:val="auto"/>
        </w:rPr>
      </w:pPr>
    </w:p>
    <w:p>
      <w:pPr>
        <w:ind w:right="240" w:firstLine="667"/>
        <w:spacing w:after="0" w:line="310" w:lineRule="auto"/>
        <w:tabs>
          <w:tab w:leader="none" w:pos="1012"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06" w:lineRule="exact"/>
        <w:rPr>
          <w:rFonts w:ascii="Arial" w:cs="Arial" w:eastAsia="Arial" w:hAnsi="Arial"/>
          <w:sz w:val="15"/>
          <w:szCs w:val="15"/>
          <w:color w:val="auto"/>
        </w:rPr>
      </w:pPr>
    </w:p>
    <w:p>
      <w:pPr>
        <w:ind w:right="360" w:firstLine="667"/>
        <w:spacing w:after="0" w:line="259" w:lineRule="auto"/>
        <w:tabs>
          <w:tab w:leader="none" w:pos="10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further covenants that if at any time the Common Stock shall be listed on any national securities exchange or automated quotation system the Company will use its commercially reasonable efforts to list and keep listed, so long as the Common Stock shall be so listed on such exchange or automated quotation system, any Common Stock issuable upon conversion of the Notes.</w:t>
      </w:r>
    </w:p>
    <w:p>
      <w:pPr>
        <w:spacing w:after="0" w:line="141" w:lineRule="exact"/>
        <w:rPr>
          <w:rFonts w:ascii="Arial" w:cs="Arial" w:eastAsia="Arial" w:hAnsi="Arial"/>
          <w:sz w:val="17"/>
          <w:szCs w:val="17"/>
          <w:color w:val="auto"/>
        </w:rPr>
      </w:pPr>
    </w:p>
    <w:p>
      <w:pPr>
        <w:ind w:right="120" w:firstLine="667"/>
        <w:spacing w:after="0" w:line="271" w:lineRule="auto"/>
        <w:tabs>
          <w:tab w:leader="none" w:pos="101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the extent necessary to satisfy its obligations under this Indenture, prior to issuing any shares of Common Stock, the Company will reserve out of its authorized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20"/>
          </w:cols>
          <w:pgMar w:left="300" w:top="1440" w:right="379" w:bottom="1440" w:gutter="0" w:footer="0" w:header="0"/>
        </w:sectPr>
      </w:pPr>
    </w:p>
    <w:bookmarkStart w:id="95" w:name="page96"/>
    <w:bookmarkEnd w:id="95"/>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unissued shares of Common Stock a sufficient number of shares of Common Stock to permit the conversion of the Notes.</w:t>
      </w:r>
    </w:p>
    <w:p>
      <w:pPr>
        <w:spacing w:after="0" w:line="176"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 xml:space="preserve">Section 14.08. </w:t>
      </w:r>
      <w:r>
        <w:rPr>
          <w:rFonts w:ascii="Arial" w:cs="Arial" w:eastAsia="Arial" w:hAnsi="Arial"/>
          <w:sz w:val="16"/>
          <w:szCs w:val="16"/>
          <w:i w:val="1"/>
          <w:iCs w:val="1"/>
          <w:color w:val="auto"/>
        </w:rPr>
        <w:t>Responsibility of Trustee.</w:t>
      </w:r>
      <w:r>
        <w:rPr>
          <w:rFonts w:ascii="Arial" w:cs="Arial" w:eastAsia="Arial" w:hAnsi="Arial"/>
          <w:sz w:val="16"/>
          <w:szCs w:val="16"/>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14.06 relating either to the kind or amount of shares of stock or securities or property (including cash) receivable by Holders upon the conversion of their Notes after any event referred to in such Section 14.06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13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Section 14.09. </w:t>
      </w:r>
      <w:r>
        <w:rPr>
          <w:rFonts w:ascii="Arial" w:cs="Arial" w:eastAsia="Arial" w:hAnsi="Arial"/>
          <w:sz w:val="17"/>
          <w:szCs w:val="17"/>
          <w:i w:val="1"/>
          <w:iCs w:val="1"/>
          <w:color w:val="auto"/>
        </w:rPr>
        <w:t>Stockholder Rights Plans.</w:t>
      </w:r>
      <w:r>
        <w:rPr>
          <w:rFonts w:ascii="Arial" w:cs="Arial" w:eastAsia="Arial" w:hAnsi="Arial"/>
          <w:sz w:val="17"/>
          <w:szCs w:val="17"/>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14.03(c), subject to readjustment in the event of the expiration, termination or redemption of such rights.</w:t>
      </w:r>
    </w:p>
    <w:p>
      <w:pPr>
        <w:spacing w:after="0" w:line="150" w:lineRule="exact"/>
        <w:rPr>
          <w:sz w:val="20"/>
          <w:szCs w:val="20"/>
          <w:color w:val="auto"/>
        </w:rPr>
      </w:pPr>
    </w:p>
    <w:p>
      <w:pPr>
        <w:ind w:right="380" w:firstLine="509"/>
        <w:spacing w:after="0" w:line="271" w:lineRule="auto"/>
        <w:rPr>
          <w:sz w:val="20"/>
          <w:szCs w:val="20"/>
          <w:color w:val="auto"/>
        </w:rPr>
      </w:pPr>
      <w:r>
        <w:rPr>
          <w:rFonts w:ascii="Arial" w:cs="Arial" w:eastAsia="Arial" w:hAnsi="Arial"/>
          <w:sz w:val="17"/>
          <w:szCs w:val="17"/>
          <w:color w:val="auto"/>
        </w:rPr>
        <w:t xml:space="preserve">Section 14.10. </w:t>
      </w:r>
      <w:r>
        <w:rPr>
          <w:rFonts w:ascii="Arial" w:cs="Arial" w:eastAsia="Arial" w:hAnsi="Arial"/>
          <w:sz w:val="17"/>
          <w:szCs w:val="17"/>
          <w:i w:val="1"/>
          <w:iCs w:val="1"/>
          <w:color w:val="auto"/>
        </w:rPr>
        <w:t>Limit on Issuance of Shares of Common Stock Upon Conversion.</w:t>
      </w:r>
      <w:r>
        <w:rPr>
          <w:rFonts w:ascii="Arial" w:cs="Arial" w:eastAsia="Arial" w:hAnsi="Arial"/>
          <w:sz w:val="17"/>
          <w:szCs w:val="17"/>
          <w:color w:val="auto"/>
        </w:rPr>
        <w:t xml:space="preserve"> Notwithstanding anything to the contrary in this Indenture, if an event occurs that would result in an increase in the Conversion Rate by an amount in excess of limitations imposed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80"/>
          </w:cols>
          <w:pgMar w:left="300" w:top="1440" w:right="319" w:bottom="1440" w:gutter="0" w:footer="0" w:header="0"/>
        </w:sectPr>
      </w:pPr>
    </w:p>
    <w:bookmarkStart w:id="96" w:name="page97"/>
    <w:bookmarkEnd w:id="96"/>
    <w:p>
      <w:pPr>
        <w:spacing w:after="0" w:line="8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shareholder approval rules or listing standards of any national or regional securities exchange that are applicable to the Company, the Company will, at its option, either obtain stockholder approval of any issuance of Common Stock upon conversion of the Notes in excess of such limitations or pay cash in lieu of delivering any shares of Common Stock otherwise deliverable upon conversions in excess of such limitations based on the Daily VWAP for each Trading Day of the relevant Observation Period in respect of which, in lieu of delivering shares of Common Stock, the Company pays cash pursuant to this Section 14.10.</w:t>
      </w:r>
    </w:p>
    <w:p>
      <w:pPr>
        <w:spacing w:after="0" w:line="130"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14.11.</w:t>
      </w:r>
      <w:r>
        <w:rPr>
          <w:sz w:val="20"/>
          <w:szCs w:val="20"/>
          <w:color w:val="auto"/>
        </w:rPr>
        <w:tab/>
      </w:r>
      <w:r>
        <w:rPr>
          <w:rFonts w:ascii="Arial" w:cs="Arial" w:eastAsia="Arial" w:hAnsi="Arial"/>
          <w:sz w:val="15"/>
          <w:szCs w:val="15"/>
          <w:i w:val="1"/>
          <w:iCs w:val="1"/>
          <w:color w:val="auto"/>
        </w:rPr>
        <w:t>Exchange in Lieu of Conversion.</w:t>
      </w:r>
    </w:p>
    <w:p>
      <w:pPr>
        <w:spacing w:after="0" w:line="172" w:lineRule="exact"/>
        <w:rPr>
          <w:sz w:val="20"/>
          <w:szCs w:val="20"/>
          <w:color w:val="auto"/>
        </w:rPr>
      </w:pPr>
    </w:p>
    <w:p>
      <w:pPr>
        <w:ind w:firstLine="667"/>
        <w:spacing w:after="0" w:line="267" w:lineRule="auto"/>
        <w:tabs>
          <w:tab w:leader="none" w:pos="1013" w:val="left"/>
        </w:tabs>
        <w:numPr>
          <w:ilvl w:val="0"/>
          <w:numId w:val="59"/>
        </w:numPr>
        <w:rPr>
          <w:rFonts w:ascii="Arial" w:cs="Arial" w:eastAsia="Arial" w:hAnsi="Arial"/>
          <w:sz w:val="16"/>
          <w:szCs w:val="16"/>
          <w:color w:val="auto"/>
        </w:rPr>
      </w:pPr>
      <w:r>
        <w:rPr>
          <w:rFonts w:ascii="Arial" w:cs="Arial" w:eastAsia="Arial" w:hAnsi="Arial"/>
          <w:sz w:val="16"/>
          <w:szCs w:val="16"/>
          <w:color w:val="auto"/>
        </w:rPr>
        <w:t>When a Holder surrenders its Notes for conversion, the Company may, at its election (an “</w:t>
      </w:r>
      <w:r>
        <w:rPr>
          <w:rFonts w:ascii="Arial" w:cs="Arial" w:eastAsia="Arial" w:hAnsi="Arial"/>
          <w:sz w:val="16"/>
          <w:szCs w:val="16"/>
          <w:b w:val="1"/>
          <w:bCs w:val="1"/>
          <w:color w:val="auto"/>
        </w:rPr>
        <w:t>Exchange Election</w:t>
      </w:r>
      <w:r>
        <w:rPr>
          <w:rFonts w:ascii="Arial" w:cs="Arial" w:eastAsia="Arial" w:hAnsi="Arial"/>
          <w:sz w:val="16"/>
          <w:szCs w:val="16"/>
          <w:color w:val="auto"/>
        </w:rPr>
        <w:t>”), direct the Conversion Agent to deliver, on or prior to the second Trading Day immediately following the Conversion Date, such Notes to one or more financial institutions designated by the Company (each, a “</w:t>
      </w:r>
      <w:r>
        <w:rPr>
          <w:rFonts w:ascii="Arial" w:cs="Arial" w:eastAsia="Arial" w:hAnsi="Arial"/>
          <w:sz w:val="16"/>
          <w:szCs w:val="16"/>
          <w:b w:val="1"/>
          <w:bCs w:val="1"/>
          <w:color w:val="auto"/>
        </w:rPr>
        <w:t>Designated Financial Institution</w:t>
      </w:r>
      <w:r>
        <w:rPr>
          <w:rFonts w:ascii="Arial" w:cs="Arial" w:eastAsia="Arial" w:hAnsi="Arial"/>
          <w:sz w:val="16"/>
          <w:szCs w:val="16"/>
          <w:color w:val="auto"/>
        </w:rPr>
        <w:t>”) for exchange in lieu of conversion. In order to accept any Notes surrendered for conversion, the Designated Financial Institution(s) must agree to timely pay and/or deliver, as the case may be, in exchange for such Notes, the cash, shares of Common Stock or combination thereof that would otherwise be due upon conversion pursuant to Section 14.02 or such other amount agreed to by the Holder and the Designated Financial Institution(s) (the “</w:t>
      </w:r>
      <w:r>
        <w:rPr>
          <w:rFonts w:ascii="Arial" w:cs="Arial" w:eastAsia="Arial" w:hAnsi="Arial"/>
          <w:sz w:val="16"/>
          <w:szCs w:val="16"/>
          <w:b w:val="1"/>
          <w:bCs w:val="1"/>
          <w:color w:val="auto"/>
        </w:rPr>
        <w:t>Conversion Consideration</w:t>
      </w:r>
      <w:r>
        <w:rPr>
          <w:rFonts w:ascii="Arial" w:cs="Arial" w:eastAsia="Arial" w:hAnsi="Arial"/>
          <w:sz w:val="16"/>
          <w:szCs w:val="16"/>
          <w:color w:val="auto"/>
        </w:rPr>
        <w:t>”). If the Company makes an Exchange Election, the Company shall, by the close of business on the second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 For the avoidance of doubt, no failure of the Designated Financial Institution to deliver the Conversion Consideration shall limit the Holders’ right to convert the Notes pursuant to this Article 14.</w:t>
      </w:r>
    </w:p>
    <w:p>
      <w:pPr>
        <w:spacing w:after="0" w:line="139" w:lineRule="exact"/>
        <w:rPr>
          <w:rFonts w:ascii="Arial" w:cs="Arial" w:eastAsia="Arial" w:hAnsi="Arial"/>
          <w:sz w:val="16"/>
          <w:szCs w:val="16"/>
          <w:color w:val="auto"/>
        </w:rPr>
      </w:pPr>
    </w:p>
    <w:p>
      <w:pPr>
        <w:ind w:right="20" w:firstLine="667"/>
        <w:spacing w:after="0" w:line="253" w:lineRule="auto"/>
        <w:tabs>
          <w:tab w:leader="none" w:pos="1012"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Notes delivered to the Designated Financial Institution(s) shall remain outstanding, subject to the applicable procedures of the Depositary in the case of Global Notes.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spacing w:after="0" w:line="147" w:lineRule="exact"/>
        <w:rPr>
          <w:rFonts w:ascii="Arial" w:cs="Arial" w:eastAsia="Arial" w:hAnsi="Arial"/>
          <w:sz w:val="17"/>
          <w:szCs w:val="17"/>
          <w:color w:val="auto"/>
        </w:rPr>
      </w:pPr>
    </w:p>
    <w:p>
      <w:pPr>
        <w:ind w:right="460" w:firstLine="667"/>
        <w:spacing w:after="0" w:line="271" w:lineRule="auto"/>
        <w:tabs>
          <w:tab w:leader="none" w:pos="1013"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Company’s designation of any Designated Financial Institution(s) to which the Notes may be submitted for exchange does not require such Designated Financial Institution(s) to accept 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00" w:top="1440" w:right="359" w:bottom="1440" w:gutter="0" w:footer="0" w:header="0"/>
        </w:sectPr>
      </w:pPr>
    </w:p>
    <w:bookmarkStart w:id="97" w:name="page98"/>
    <w:bookmarkEnd w:id="97"/>
    <w:p>
      <w:pPr>
        <w:spacing w:after="0" w:line="338" w:lineRule="exact"/>
        <w:rPr>
          <w:sz w:val="20"/>
          <w:szCs w:val="20"/>
          <w:color w:val="auto"/>
        </w:rPr>
      </w:pPr>
    </w:p>
    <w:p>
      <w:pPr>
        <w:jc w:val="center"/>
        <w:ind w:right="260"/>
        <w:spacing w:after="0"/>
        <w:tabs>
          <w:tab w:leader="none" w:pos="160" w:val="left"/>
        </w:tabs>
        <w:rPr>
          <w:sz w:val="20"/>
          <w:szCs w:val="20"/>
          <w:color w:val="auto"/>
        </w:rPr>
      </w:pPr>
      <w:r>
        <w:rPr>
          <w:rFonts w:ascii="Arial" w:cs="Arial" w:eastAsia="Arial" w:hAnsi="Arial"/>
          <w:sz w:val="17"/>
          <w:szCs w:val="17"/>
          <w:color w:val="auto"/>
        </w:rPr>
        <w:t>Article 15.</w:t>
      </w:r>
      <w:r>
        <w:rPr>
          <w:sz w:val="20"/>
          <w:szCs w:val="20"/>
          <w:color w:val="auto"/>
        </w:rPr>
        <w:tab/>
      </w:r>
      <w:r>
        <w:rPr>
          <w:rFonts w:ascii="Arial" w:cs="Arial" w:eastAsia="Arial" w:hAnsi="Arial"/>
          <w:sz w:val="15"/>
          <w:szCs w:val="15"/>
          <w:color w:val="auto"/>
        </w:rPr>
        <w:t>Repurchase of Notes at Option of Holders</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15.01.</w:t>
      </w:r>
      <w:r>
        <w:rPr>
          <w:sz w:val="20"/>
          <w:szCs w:val="20"/>
          <w:color w:val="auto"/>
        </w:rPr>
        <w:tab/>
      </w:r>
      <w:r>
        <w:rPr>
          <w:rFonts w:ascii="Arial" w:cs="Arial" w:eastAsia="Arial" w:hAnsi="Arial"/>
          <w:sz w:val="15"/>
          <w:szCs w:val="15"/>
          <w:i w:val="1"/>
          <w:iCs w:val="1"/>
          <w:color w:val="auto"/>
        </w:rPr>
        <w:t>Intentionally Omitted.</w:t>
      </w:r>
    </w:p>
    <w:p>
      <w:pPr>
        <w:spacing w:after="0" w:line="17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Section 15.02.</w:t>
      </w:r>
      <w:r>
        <w:rPr>
          <w:sz w:val="20"/>
          <w:szCs w:val="20"/>
          <w:color w:val="auto"/>
        </w:rPr>
        <w:tab/>
      </w:r>
      <w:r>
        <w:rPr>
          <w:rFonts w:ascii="Arial" w:cs="Arial" w:eastAsia="Arial" w:hAnsi="Arial"/>
          <w:sz w:val="15"/>
          <w:szCs w:val="15"/>
          <w:i w:val="1"/>
          <w:iCs w:val="1"/>
          <w:color w:val="auto"/>
        </w:rPr>
        <w:t>Repurchase at Option of Holders Upon a Fundamental Change.</w:t>
      </w:r>
    </w:p>
    <w:p>
      <w:pPr>
        <w:spacing w:after="0" w:line="176" w:lineRule="exact"/>
        <w:rPr>
          <w:sz w:val="20"/>
          <w:szCs w:val="20"/>
          <w:color w:val="auto"/>
        </w:rPr>
      </w:pPr>
    </w:p>
    <w:p>
      <w:pPr>
        <w:ind w:firstLine="656"/>
        <w:spacing w:after="0" w:line="267" w:lineRule="auto"/>
        <w:tabs>
          <w:tab w:leader="none" w:pos="1055"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a Fundamental Change occurs at any time, each Holder shall have the right, at such Holder’s option, to require the Company to repurchase for cash all of such Holder’s Notes, or any portion of the principal amount thereof that is equal to $1,000 or any integral multiple of $1.00 in excess thereof, on the date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xml:space="preserve">”) specified by the Company that is not less than 20 calendar days or more than 35 Business Days following the date of the Fundamental Change Company Notice at a repurchase price equal to 100% of the Capitalized Principal Amount of such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interest thereon that has not been paid or capitalized to, but excluding, the Fundamental Change Repurchase Date (the “</w:t>
      </w:r>
      <w:r>
        <w:rPr>
          <w:rFonts w:ascii="Arial" w:cs="Arial" w:eastAsia="Arial" w:hAnsi="Arial"/>
          <w:sz w:val="16"/>
          <w:szCs w:val="16"/>
          <w:b w:val="1"/>
          <w:bCs w:val="1"/>
          <w:color w:val="auto"/>
        </w:rPr>
        <w:t>Fundamental Change</w:t>
      </w:r>
      <w:r>
        <w:rPr>
          <w:rFonts w:ascii="Arial" w:cs="Arial" w:eastAsia="Arial" w:hAnsi="Arial"/>
          <w:sz w:val="16"/>
          <w:szCs w:val="16"/>
          <w:color w:val="auto"/>
        </w:rPr>
        <w:t xml:space="preserve"> </w:t>
      </w:r>
      <w:r>
        <w:rPr>
          <w:rFonts w:ascii="Arial" w:cs="Arial" w:eastAsia="Arial" w:hAnsi="Arial"/>
          <w:sz w:val="16"/>
          <w:szCs w:val="16"/>
          <w:b w:val="1"/>
          <w:bCs w:val="1"/>
          <w:color w:val="auto"/>
        </w:rPr>
        <w:t>Repurchase Price</w:t>
      </w:r>
      <w:r>
        <w:rPr>
          <w:rFonts w:ascii="Arial" w:cs="Arial" w:eastAsia="Arial" w:hAnsi="Arial"/>
          <w:sz w:val="16"/>
          <w:szCs w:val="16"/>
          <w:color w:val="auto"/>
        </w:rPr>
        <w:t>”), unless the Fundamental Change Repurchase Date falls after a Regular Record Date but on or prior to the Interest Payment Date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such Regular Record Date relates, in which case the Company shall instead pay in cash at the Cash Interest Rate the full amount of accrued and unpaid interest to Holders of record as of such Regular Record Date (notwithstanding any prior election (or deemed election) by the Company to pay such interest pursuant to the Capitalization Method), and the Fundamental Change Repurchase Price shall be equal to 100% of the Capitalized Principal Amount of Notes to be repurchased pursuant to this Article 15.</w:t>
      </w:r>
    </w:p>
    <w:p>
      <w:pPr>
        <w:spacing w:after="0" w:line="160" w:lineRule="exact"/>
        <w:rPr>
          <w:rFonts w:ascii="Arial" w:cs="Arial" w:eastAsia="Arial" w:hAnsi="Arial"/>
          <w:sz w:val="16"/>
          <w:szCs w:val="16"/>
          <w:color w:val="auto"/>
        </w:rPr>
      </w:pPr>
    </w:p>
    <w:p>
      <w:pPr>
        <w:ind w:left="500" w:hanging="353"/>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Repurchases of Notes under this Section 15.02 shall be made, at the option of the Holder thereof, upon:</w:t>
      </w:r>
    </w:p>
    <w:p>
      <w:pPr>
        <w:spacing w:after="0" w:line="171" w:lineRule="exact"/>
        <w:rPr>
          <w:rFonts w:ascii="Arial" w:cs="Arial" w:eastAsia="Arial" w:hAnsi="Arial"/>
          <w:sz w:val="17"/>
          <w:szCs w:val="17"/>
          <w:color w:val="auto"/>
        </w:rPr>
      </w:pPr>
    </w:p>
    <w:p>
      <w:pPr>
        <w:ind w:right="180" w:firstLine="758"/>
        <w:spacing w:after="0" w:line="257" w:lineRule="auto"/>
        <w:tabs>
          <w:tab w:leader="none" w:pos="1013" w:val="left"/>
        </w:tabs>
        <w:numPr>
          <w:ilvl w:val="2"/>
          <w:numId w:val="61"/>
        </w:numPr>
        <w:rPr>
          <w:rFonts w:ascii="Arial" w:cs="Arial" w:eastAsia="Arial" w:hAnsi="Arial"/>
          <w:sz w:val="17"/>
          <w:szCs w:val="17"/>
          <w:color w:val="auto"/>
        </w:rPr>
      </w:pPr>
      <w:r>
        <w:rPr>
          <w:rFonts w:ascii="Arial" w:cs="Arial" w:eastAsia="Arial" w:hAnsi="Arial"/>
          <w:sz w:val="17"/>
          <w:szCs w:val="17"/>
          <w:color w:val="auto"/>
        </w:rPr>
        <w:t>delivery to the Paying Agent by a Holder of a duly completed notice (the “</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42" w:lineRule="exact"/>
        <w:rPr>
          <w:rFonts w:ascii="Arial" w:cs="Arial" w:eastAsia="Arial" w:hAnsi="Arial"/>
          <w:sz w:val="17"/>
          <w:szCs w:val="17"/>
          <w:color w:val="auto"/>
        </w:rPr>
      </w:pPr>
    </w:p>
    <w:p>
      <w:pPr>
        <w:ind w:right="200" w:firstLine="758"/>
        <w:spacing w:after="0" w:line="255" w:lineRule="auto"/>
        <w:tabs>
          <w:tab w:leader="none" w:pos="1017" w:val="left"/>
        </w:tabs>
        <w:numPr>
          <w:ilvl w:val="2"/>
          <w:numId w:val="61"/>
        </w:numPr>
        <w:rPr>
          <w:rFonts w:ascii="Arial" w:cs="Arial" w:eastAsia="Arial" w:hAnsi="Arial"/>
          <w:sz w:val="17"/>
          <w:szCs w:val="17"/>
          <w:color w:val="auto"/>
        </w:rPr>
      </w:pPr>
      <w:r>
        <w:rPr>
          <w:rFonts w:ascii="Arial" w:cs="Arial" w:eastAsia="Arial" w:hAnsi="Arial"/>
          <w:sz w:val="17"/>
          <w:szCs w:val="17"/>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Fundamental Change Repurchase Notice in respect of any Notes to be repurchased shall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60"/>
          </w:cols>
          <w:pgMar w:left="820" w:top="1440" w:right="319" w:bottom="1440" w:gutter="0" w:footer="0" w:header="0"/>
        </w:sectPr>
      </w:pPr>
    </w:p>
    <w:bookmarkStart w:id="98" w:name="page99"/>
    <w:bookmarkEnd w:id="98"/>
    <w:p>
      <w:pPr>
        <w:spacing w:after="0" w:line="84" w:lineRule="exact"/>
        <w:rPr>
          <w:sz w:val="20"/>
          <w:szCs w:val="20"/>
          <w:color w:val="auto"/>
        </w:rPr>
      </w:pPr>
    </w:p>
    <w:p>
      <w:pPr>
        <w:ind w:left="1540" w:hanging="352"/>
        <w:spacing w:after="0"/>
        <w:tabs>
          <w:tab w:leader="none" w:pos="1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case of Physical Notes, the certificate numbers of the Notes to be delivered for repurchase;</w:t>
      </w:r>
    </w:p>
    <w:p>
      <w:pPr>
        <w:spacing w:after="0" w:line="175" w:lineRule="exact"/>
        <w:rPr>
          <w:rFonts w:ascii="Arial" w:cs="Arial" w:eastAsia="Arial" w:hAnsi="Arial"/>
          <w:sz w:val="17"/>
          <w:szCs w:val="17"/>
          <w:color w:val="auto"/>
        </w:rPr>
      </w:pPr>
    </w:p>
    <w:p>
      <w:pPr>
        <w:ind w:left="1540" w:hanging="399"/>
        <w:spacing w:after="0"/>
        <w:tabs>
          <w:tab w:leader="none" w:pos="1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portion of the principal amount of Notes to be repurchased, which must be $1,000 or any integral multiple of $1.00 in excess thereof; and</w:t>
      </w:r>
    </w:p>
    <w:p>
      <w:pPr>
        <w:spacing w:after="0" w:line="198" w:lineRule="exact"/>
        <w:rPr>
          <w:rFonts w:ascii="Arial" w:cs="Arial" w:eastAsia="Arial" w:hAnsi="Arial"/>
          <w:sz w:val="15"/>
          <w:szCs w:val="15"/>
          <w:color w:val="auto"/>
        </w:rPr>
      </w:pPr>
    </w:p>
    <w:p>
      <w:pPr>
        <w:ind w:left="1540" w:hanging="446"/>
        <w:spacing w:after="0"/>
        <w:tabs>
          <w:tab w:leader="none" w:pos="1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Notes are Global Notes, the Fundamental Change Repurchase Notice must comply with appropriate Depositary procedures.</w:t>
      </w:r>
    </w:p>
    <w:p>
      <w:pPr>
        <w:spacing w:after="0" w:line="187"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45" w:lineRule="exact"/>
        <w:rPr>
          <w:sz w:val="20"/>
          <w:szCs w:val="20"/>
          <w:color w:val="auto"/>
        </w:rPr>
      </w:pPr>
    </w:p>
    <w:p>
      <w:pPr>
        <w:ind w:right="360" w:firstLine="509"/>
        <w:spacing w:after="0" w:line="271" w:lineRule="auto"/>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notice of withdrawal thereof.</w:t>
      </w:r>
    </w:p>
    <w:p>
      <w:pPr>
        <w:spacing w:after="0" w:line="131" w:lineRule="exact"/>
        <w:rPr>
          <w:sz w:val="20"/>
          <w:szCs w:val="20"/>
          <w:color w:val="auto"/>
        </w:rPr>
      </w:pPr>
    </w:p>
    <w:p>
      <w:pPr>
        <w:ind w:right="80" w:firstLine="667"/>
        <w:spacing w:after="0" w:line="253" w:lineRule="auto"/>
        <w:tabs>
          <w:tab w:leader="none" w:pos="1013"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 or before the 20th Business Day after the occurrence of the effective date of a Fundamental Change, the Company shall provide to all Holders of Notes and the Trustee and the Paying Agent (in the case of a Paying Agent other than the Trustee) a notice (the “</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147" w:lineRule="exact"/>
        <w:rPr>
          <w:rFonts w:ascii="Arial" w:cs="Arial" w:eastAsia="Arial" w:hAnsi="Arial"/>
          <w:sz w:val="17"/>
          <w:szCs w:val="17"/>
          <w:color w:val="auto"/>
        </w:rPr>
      </w:pPr>
    </w:p>
    <w:p>
      <w:pPr>
        <w:ind w:left="1520" w:hanging="242"/>
        <w:spacing w:after="0"/>
        <w:tabs>
          <w:tab w:leader="none" w:pos="15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events causing the Fundamental Change;</w:t>
      </w:r>
    </w:p>
    <w:p>
      <w:pPr>
        <w:spacing w:after="0" w:line="175" w:lineRule="exact"/>
        <w:rPr>
          <w:rFonts w:ascii="Arial" w:cs="Arial" w:eastAsia="Arial" w:hAnsi="Arial"/>
          <w:sz w:val="17"/>
          <w:szCs w:val="17"/>
          <w:color w:val="auto"/>
        </w:rPr>
      </w:pPr>
    </w:p>
    <w:p>
      <w:pPr>
        <w:ind w:left="1540" w:hanging="262"/>
        <w:spacing w:after="0"/>
        <w:tabs>
          <w:tab w:leader="none" w:pos="15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effective date of the Fundamental Change;</w:t>
      </w:r>
    </w:p>
    <w:p>
      <w:pPr>
        <w:spacing w:after="0" w:line="175" w:lineRule="exact"/>
        <w:rPr>
          <w:rFonts w:ascii="Arial" w:cs="Arial" w:eastAsia="Arial" w:hAnsi="Arial"/>
          <w:sz w:val="17"/>
          <w:szCs w:val="17"/>
          <w:color w:val="auto"/>
        </w:rPr>
      </w:pPr>
    </w:p>
    <w:p>
      <w:pPr>
        <w:ind w:left="1520" w:hanging="242"/>
        <w:spacing w:after="0"/>
        <w:tabs>
          <w:tab w:leader="none" w:pos="15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last date on which a Holder may exercise the repurchase right pursuant to this Article 15;</w:t>
      </w:r>
    </w:p>
    <w:p>
      <w:pPr>
        <w:spacing w:after="0" w:line="175" w:lineRule="exact"/>
        <w:rPr>
          <w:rFonts w:ascii="Arial" w:cs="Arial" w:eastAsia="Arial" w:hAnsi="Arial"/>
          <w:sz w:val="17"/>
          <w:szCs w:val="17"/>
          <w:color w:val="auto"/>
        </w:rPr>
      </w:pPr>
    </w:p>
    <w:p>
      <w:pPr>
        <w:ind w:left="1520" w:hanging="242"/>
        <w:spacing w:after="0"/>
        <w:tabs>
          <w:tab w:leader="none" w:pos="15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Fundamental Change Repurchase Price;</w:t>
      </w:r>
    </w:p>
    <w:p>
      <w:pPr>
        <w:spacing w:after="0" w:line="175" w:lineRule="exact"/>
        <w:rPr>
          <w:rFonts w:ascii="Arial" w:cs="Arial" w:eastAsia="Arial" w:hAnsi="Arial"/>
          <w:sz w:val="17"/>
          <w:szCs w:val="17"/>
          <w:color w:val="auto"/>
        </w:rPr>
      </w:pPr>
    </w:p>
    <w:p>
      <w:pPr>
        <w:ind w:left="1520" w:hanging="242"/>
        <w:spacing w:after="0"/>
        <w:tabs>
          <w:tab w:leader="none" w:pos="15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Fundamental Change Repurchase Date;</w:t>
      </w:r>
    </w:p>
    <w:p>
      <w:pPr>
        <w:spacing w:after="0" w:line="175" w:lineRule="exact"/>
        <w:rPr>
          <w:rFonts w:ascii="Arial" w:cs="Arial" w:eastAsia="Arial" w:hAnsi="Arial"/>
          <w:sz w:val="17"/>
          <w:szCs w:val="17"/>
          <w:color w:val="auto"/>
        </w:rPr>
      </w:pPr>
    </w:p>
    <w:p>
      <w:pPr>
        <w:ind w:left="1520" w:hanging="242"/>
        <w:spacing w:after="0"/>
        <w:tabs>
          <w:tab w:leader="none" w:pos="15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name and address of the Paying Agent and the Conversion Agent,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80"/>
          </w:cols>
          <w:pgMar w:left="300" w:top="1440" w:right="319" w:bottom="1440" w:gutter="0" w:footer="0" w:header="0"/>
        </w:sectPr>
      </w:pPr>
    </w:p>
    <w:bookmarkStart w:id="99" w:name="page100"/>
    <w:bookmarkEnd w:id="99"/>
    <w:p>
      <w:pPr>
        <w:spacing w:after="0" w:line="84" w:lineRule="exact"/>
        <w:rPr>
          <w:sz w:val="20"/>
          <w:szCs w:val="20"/>
          <w:color w:val="auto"/>
        </w:rPr>
      </w:pPr>
    </w:p>
    <w:p>
      <w:pPr>
        <w:ind w:left="1540" w:hanging="262"/>
        <w:spacing w:after="0"/>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applicable, the Conversion Rate and any adjustments to the Conversion Rate;</w:t>
      </w:r>
    </w:p>
    <w:p>
      <w:pPr>
        <w:spacing w:after="0" w:line="175" w:lineRule="exact"/>
        <w:rPr>
          <w:rFonts w:ascii="Arial" w:cs="Arial" w:eastAsia="Arial" w:hAnsi="Arial"/>
          <w:sz w:val="17"/>
          <w:szCs w:val="17"/>
          <w:color w:val="auto"/>
        </w:rPr>
      </w:pPr>
    </w:p>
    <w:p>
      <w:pPr>
        <w:ind w:left="520" w:right="60" w:firstLine="758"/>
        <w:spacing w:after="0" w:line="271" w:lineRule="auto"/>
        <w:tabs>
          <w:tab w:leader="none" w:pos="204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31" w:lineRule="exact"/>
        <w:rPr>
          <w:rFonts w:ascii="Arial" w:cs="Arial" w:eastAsia="Arial" w:hAnsi="Arial"/>
          <w:sz w:val="17"/>
          <w:szCs w:val="17"/>
          <w:color w:val="auto"/>
        </w:rPr>
      </w:pPr>
    </w:p>
    <w:p>
      <w:pPr>
        <w:ind w:left="1520" w:hanging="242"/>
        <w:spacing w:after="0"/>
        <w:tabs>
          <w:tab w:leader="none" w:pos="1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procedures that Holders must follow to require the Company to repurchase their Notes.</w:t>
      </w:r>
    </w:p>
    <w:p>
      <w:pPr>
        <w:spacing w:after="0" w:line="176" w:lineRule="exact"/>
        <w:rPr>
          <w:sz w:val="20"/>
          <w:szCs w:val="20"/>
          <w:color w:val="auto"/>
        </w:rPr>
      </w:pPr>
    </w:p>
    <w:p>
      <w:pPr>
        <w:ind w:right="740" w:firstLine="509"/>
        <w:spacing w:after="0" w:line="271" w:lineRule="auto"/>
        <w:rPr>
          <w:sz w:val="20"/>
          <w:szCs w:val="20"/>
          <w:color w:val="auto"/>
        </w:rPr>
      </w:pPr>
      <w:r>
        <w:rPr>
          <w:rFonts w:ascii="Arial" w:cs="Arial" w:eastAsia="Arial" w:hAnsi="Arial"/>
          <w:sz w:val="17"/>
          <w:szCs w:val="17"/>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At the Company’s request, the Trustee shall give such notice in the Company’s name and at the Company’s expense;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all cases, the text of such Fundamental Change Company Notice shall be prepared by the Company.</w:t>
      </w:r>
    </w:p>
    <w:p>
      <w:pPr>
        <w:spacing w:after="0" w:line="131" w:lineRule="exact"/>
        <w:rPr>
          <w:sz w:val="20"/>
          <w:szCs w:val="20"/>
          <w:color w:val="auto"/>
        </w:rPr>
      </w:pPr>
    </w:p>
    <w:p>
      <w:pPr>
        <w:ind w:right="80" w:firstLine="667"/>
        <w:spacing w:after="0" w:line="252" w:lineRule="auto"/>
        <w:tabs>
          <w:tab w:leader="none" w:pos="10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 For the avoidance of doubt, no failure of such third party to repurchase the Notes shall limit the Holders’ repurchase rights or affect the validity of the proceedings for the repurchase of the Notes pursuant to this Section 15.02.</w:t>
      </w:r>
    </w:p>
    <w:p>
      <w:pPr>
        <w:spacing w:after="0" w:line="147" w:lineRule="exact"/>
        <w:rPr>
          <w:rFonts w:ascii="Arial" w:cs="Arial" w:eastAsia="Arial" w:hAnsi="Arial"/>
          <w:sz w:val="17"/>
          <w:szCs w:val="17"/>
          <w:color w:val="auto"/>
        </w:rPr>
      </w:pPr>
    </w:p>
    <w:p>
      <w:pPr>
        <w:ind w:firstLine="667"/>
        <w:spacing w:after="0" w:line="269" w:lineRule="auto"/>
        <w:tabs>
          <w:tab w:leader="none" w:pos="1013"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20"/>
          </w:cols>
          <w:pgMar w:left="300" w:top="1440" w:right="379" w:bottom="1440" w:gutter="0" w:footer="0" w:header="0"/>
        </w:sectPr>
      </w:pPr>
    </w:p>
    <w:bookmarkStart w:id="100" w:name="page101"/>
    <w:bookmarkEnd w:id="100"/>
    <w:p>
      <w:pPr>
        <w:spacing w:after="0" w:line="84" w:lineRule="exact"/>
        <w:rPr>
          <w:sz w:val="20"/>
          <w:szCs w:val="20"/>
          <w:color w:val="auto"/>
        </w:rPr>
      </w:pPr>
    </w:p>
    <w:p>
      <w:pPr>
        <w:jc w:val="both"/>
        <w:ind w:right="20" w:firstLine="509"/>
        <w:spacing w:after="0" w:line="283"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i w:val="1"/>
          <w:iCs w:val="1"/>
          <w:color w:val="auto"/>
        </w:rPr>
        <w:t>Withdrawal of Fundamental Change Repurchase Notice.</w:t>
      </w:r>
      <w:r>
        <w:rPr>
          <w:rFonts w:ascii="Arial" w:cs="Arial" w:eastAsia="Arial" w:hAnsi="Arial"/>
          <w:sz w:val="16"/>
          <w:szCs w:val="16"/>
          <w:color w:val="auto"/>
        </w:rPr>
        <w:t xml:space="preserve"> A Fundamental Change Repurchase Notice may be withdrawn (in whole or in part)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124" w:lineRule="exact"/>
        <w:rPr>
          <w:sz w:val="20"/>
          <w:szCs w:val="20"/>
          <w:color w:val="auto"/>
        </w:rPr>
      </w:pPr>
    </w:p>
    <w:p>
      <w:pPr>
        <w:ind w:left="1540" w:hanging="352"/>
        <w:spacing w:after="0"/>
        <w:tabs>
          <w:tab w:leader="none" w:pos="1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principal amount of the Notes with respect to which such notice of withdrawal is being submitted,</w:t>
      </w:r>
    </w:p>
    <w:p>
      <w:pPr>
        <w:spacing w:after="0" w:line="175" w:lineRule="exact"/>
        <w:rPr>
          <w:rFonts w:ascii="Arial" w:cs="Arial" w:eastAsia="Arial" w:hAnsi="Arial"/>
          <w:sz w:val="17"/>
          <w:szCs w:val="17"/>
          <w:color w:val="auto"/>
        </w:rPr>
      </w:pPr>
    </w:p>
    <w:p>
      <w:pPr>
        <w:ind w:left="1540" w:hanging="399"/>
        <w:spacing w:after="0"/>
        <w:tabs>
          <w:tab w:leader="none" w:pos="15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Physical Notes have been issued, the certificate number of the Note in respect of which such notice of withdrawal is being submitted, and</w:t>
      </w:r>
    </w:p>
    <w:p>
      <w:pPr>
        <w:spacing w:after="0" w:line="198" w:lineRule="exact"/>
        <w:rPr>
          <w:rFonts w:ascii="Arial" w:cs="Arial" w:eastAsia="Arial" w:hAnsi="Arial"/>
          <w:sz w:val="15"/>
          <w:szCs w:val="15"/>
          <w:color w:val="auto"/>
        </w:rPr>
      </w:pPr>
    </w:p>
    <w:p>
      <w:pPr>
        <w:ind w:left="520" w:right="100" w:firstLine="574"/>
        <w:spacing w:after="0" w:line="271" w:lineRule="auto"/>
        <w:tabs>
          <w:tab w:leader="none" w:pos="153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principal amount, if any, of such Note that remains subject to the original Fundamental Change Repurchase Notice, which portion must be in principal amounts of $1,000 or any integral multiple of $1.00 in excess thereof;</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Notes are Global Notes, the notice must comply with appropriate procedures of the Depositary.</w:t>
      </w:r>
    </w:p>
    <w:p>
      <w:pPr>
        <w:spacing w:after="0" w:line="176"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15.04.</w:t>
      </w:r>
      <w:r>
        <w:rPr>
          <w:sz w:val="20"/>
          <w:szCs w:val="20"/>
          <w:color w:val="auto"/>
        </w:rPr>
        <w:tab/>
      </w:r>
      <w:r>
        <w:rPr>
          <w:rFonts w:ascii="Arial" w:cs="Arial" w:eastAsia="Arial" w:hAnsi="Arial"/>
          <w:sz w:val="15"/>
          <w:szCs w:val="15"/>
          <w:i w:val="1"/>
          <w:iCs w:val="1"/>
          <w:color w:val="auto"/>
        </w:rPr>
        <w:t>Deposit of Fundamental Change Repurchase Price.</w:t>
      </w:r>
    </w:p>
    <w:p>
      <w:pPr>
        <w:spacing w:after="0" w:line="176" w:lineRule="exact"/>
        <w:rPr>
          <w:sz w:val="20"/>
          <w:szCs w:val="20"/>
          <w:color w:val="auto"/>
        </w:rPr>
      </w:pPr>
    </w:p>
    <w:p>
      <w:pPr>
        <w:ind w:firstLine="667"/>
        <w:spacing w:after="0" w:line="287" w:lineRule="auto"/>
        <w:tabs>
          <w:tab w:leader="none" w:pos="1013"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44" w:lineRule="exact"/>
        <w:rPr>
          <w:rFonts w:ascii="Arial" w:cs="Arial" w:eastAsia="Arial" w:hAnsi="Arial"/>
          <w:sz w:val="15"/>
          <w:szCs w:val="15"/>
          <w:color w:val="auto"/>
        </w:rPr>
      </w:pPr>
    </w:p>
    <w:p>
      <w:pPr>
        <w:ind w:right="200" w:firstLine="667"/>
        <w:spacing w:after="0" w:line="310" w:lineRule="auto"/>
        <w:tabs>
          <w:tab w:leader="none" w:pos="1012" w:val="left"/>
        </w:tabs>
        <w:numPr>
          <w:ilvl w:val="0"/>
          <w:numId w:val="67"/>
        </w:numPr>
        <w:rPr>
          <w:rFonts w:ascii="Arial" w:cs="Arial" w:eastAsia="Arial" w:hAnsi="Arial"/>
          <w:sz w:val="15"/>
          <w:szCs w:val="15"/>
          <w:color w:val="auto"/>
        </w:rPr>
      </w:pPr>
      <w:r>
        <w:rPr>
          <w:rFonts w:ascii="Arial" w:cs="Arial" w:eastAsia="Arial" w:hAnsi="Arial"/>
          <w:sz w:val="15"/>
          <w:szCs w:val="15"/>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such Notes will cease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80"/>
          </w:cols>
          <w:pgMar w:left="300" w:top="1440" w:right="319" w:bottom="1440" w:gutter="0" w:footer="0" w:header="0"/>
        </w:sectPr>
      </w:pPr>
    </w:p>
    <w:bookmarkStart w:id="101" w:name="page102"/>
    <w:bookmarkEnd w:id="101"/>
    <w:p>
      <w:pPr>
        <w:spacing w:after="0" w:line="8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outstanding, interest will cease to accrue on such Notes (whether or not book-entry transfer of the Notes has been made or the Notes have been delivered to the Trustee or Paying Agent) and all other rights of the Holders of such Notes will terminate (other than the right to receive the Fundamental Change Repurchase Price and, if applicable, accrued interest that has not been paid or capitalized).</w:t>
      </w:r>
    </w:p>
    <w:p>
      <w:pPr>
        <w:spacing w:after="0" w:line="142" w:lineRule="exact"/>
        <w:rPr>
          <w:sz w:val="20"/>
          <w:szCs w:val="20"/>
          <w:color w:val="auto"/>
        </w:rPr>
      </w:pPr>
    </w:p>
    <w:p>
      <w:pPr>
        <w:ind w:right="40" w:firstLine="667"/>
        <w:spacing w:after="0" w:line="340" w:lineRule="auto"/>
        <w:tabs>
          <w:tab w:leader="none" w:pos="1013"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84"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i w:val="1"/>
          <w:iCs w:val="1"/>
          <w:color w:val="auto"/>
        </w:rPr>
        <w:t>Compliance with Applicable Laws Upon Repurchase of Notes</w:t>
      </w:r>
      <w:r>
        <w:rPr>
          <w:rFonts w:ascii="Arial" w:cs="Arial" w:eastAsia="Arial" w:hAnsi="Arial"/>
          <w:sz w:val="16"/>
          <w:szCs w:val="16"/>
          <w:color w:val="auto"/>
        </w:rPr>
        <w:t>. Notwithstanding anything to the contrary herein, to the extent that compliance with this Article 15 relating to the Company’s obligations to repurchase the Notes upon a Fundamental Change would result in a violation of any federal or state securities laws or other applicable laws or regulations, the Company will comply with the applicable securities laws and regulations and will not be deemed to have breached its obligations under this Article 15 by virtue of such conflict. Without limiting the generality of the foregoing, the Fundamental Change Repurchase Date shall be subject to postponement in order to allow the Company to comply with applicable law.</w:t>
      </w:r>
    </w:p>
    <w:p>
      <w:pPr>
        <w:spacing w:after="0" w:line="216" w:lineRule="exact"/>
        <w:rPr>
          <w:sz w:val="20"/>
          <w:szCs w:val="20"/>
          <w:color w:val="auto"/>
        </w:rPr>
      </w:pPr>
    </w:p>
    <w:p>
      <w:pPr>
        <w:jc w:val="center"/>
        <w:ind w:right="-299"/>
        <w:spacing w:after="0"/>
        <w:tabs>
          <w:tab w:leader="none" w:pos="140" w:val="left"/>
        </w:tabs>
        <w:rPr>
          <w:sz w:val="20"/>
          <w:szCs w:val="20"/>
          <w:color w:val="auto"/>
        </w:rPr>
      </w:pPr>
      <w:r>
        <w:rPr>
          <w:rFonts w:ascii="Arial" w:cs="Arial" w:eastAsia="Arial" w:hAnsi="Arial"/>
          <w:sz w:val="17"/>
          <w:szCs w:val="17"/>
          <w:color w:val="auto"/>
        </w:rPr>
        <w:t>Article 16.</w:t>
      </w:r>
      <w:r>
        <w:rPr>
          <w:sz w:val="20"/>
          <w:szCs w:val="20"/>
          <w:color w:val="auto"/>
        </w:rPr>
        <w:tab/>
      </w:r>
      <w:r>
        <w:rPr>
          <w:rFonts w:ascii="Arial" w:cs="Arial" w:eastAsia="Arial" w:hAnsi="Arial"/>
          <w:sz w:val="15"/>
          <w:szCs w:val="15"/>
          <w:color w:val="auto"/>
        </w:rPr>
        <w:t>Optional Redemption</w:t>
      </w:r>
    </w:p>
    <w:p>
      <w:pPr>
        <w:spacing w:after="0" w:line="17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i w:val="1"/>
          <w:iCs w:val="1"/>
          <w:color w:val="auto"/>
        </w:rPr>
        <w:t>Optional Redemption</w:t>
      </w:r>
      <w:r>
        <w:rPr>
          <w:rFonts w:ascii="Arial" w:cs="Arial" w:eastAsia="Arial" w:hAnsi="Arial"/>
          <w:sz w:val="17"/>
          <w:szCs w:val="17"/>
          <w:color w:val="auto"/>
        </w:rPr>
        <w:t>. No sinking fund is provided for the Notes. The Notes shall not be redeemable by the Company prior to June 30, 2024. On or after June 30, 2024, the Company may redeem (an “</w:t>
      </w:r>
      <w:r>
        <w:rPr>
          <w:rFonts w:ascii="Arial" w:cs="Arial" w:eastAsia="Arial" w:hAnsi="Arial"/>
          <w:sz w:val="17"/>
          <w:szCs w:val="17"/>
          <w:b w:val="1"/>
          <w:bCs w:val="1"/>
          <w:color w:val="auto"/>
        </w:rPr>
        <w:t>Optional Redemption</w:t>
      </w:r>
      <w:r>
        <w:rPr>
          <w:rFonts w:ascii="Arial" w:cs="Arial" w:eastAsia="Arial" w:hAnsi="Arial"/>
          <w:sz w:val="17"/>
          <w:szCs w:val="17"/>
          <w:color w:val="auto"/>
        </w:rPr>
        <w:t>”)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in accordance with Section 16.02.</w:t>
      </w:r>
    </w:p>
    <w:p>
      <w:pPr>
        <w:spacing w:after="0" w:line="147"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16.02.</w:t>
      </w:r>
      <w:r>
        <w:rPr>
          <w:sz w:val="20"/>
          <w:szCs w:val="20"/>
          <w:color w:val="auto"/>
        </w:rPr>
        <w:tab/>
      </w:r>
      <w:r>
        <w:rPr>
          <w:rFonts w:ascii="Arial" w:cs="Arial" w:eastAsia="Arial" w:hAnsi="Arial"/>
          <w:sz w:val="15"/>
          <w:szCs w:val="15"/>
          <w:i w:val="1"/>
          <w:iCs w:val="1"/>
          <w:color w:val="auto"/>
        </w:rPr>
        <w:t>Notice of Optional Redemption; Selection of Notes</w:t>
      </w:r>
      <w:r>
        <w:rPr>
          <w:rFonts w:ascii="Arial" w:cs="Arial" w:eastAsia="Arial" w:hAnsi="Arial"/>
          <w:sz w:val="15"/>
          <w:szCs w:val="15"/>
          <w:color w:val="auto"/>
        </w:rPr>
        <w:t>.</w:t>
      </w:r>
    </w:p>
    <w:p>
      <w:pPr>
        <w:spacing w:after="0" w:line="176" w:lineRule="exact"/>
        <w:rPr>
          <w:sz w:val="20"/>
          <w:szCs w:val="20"/>
          <w:color w:val="auto"/>
        </w:rPr>
      </w:pPr>
    </w:p>
    <w:p>
      <w:pPr>
        <w:ind w:left="520" w:firstLine="401"/>
        <w:spacing w:after="0" w:line="271" w:lineRule="auto"/>
        <w:tabs>
          <w:tab w:leader="none" w:pos="153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 the Company exercises its Optional Redemption right to redeem all or, as the case may be, any part of the Notes pursuant to Section 16.01, it shall fix a date for redemption (each, a “</w:t>
      </w:r>
      <w:r>
        <w:rPr>
          <w:rFonts w:ascii="Arial" w:cs="Arial" w:eastAsia="Arial" w:hAnsi="Arial"/>
          <w:sz w:val="16"/>
          <w:szCs w:val="16"/>
          <w:b w:val="1"/>
          <w:bCs w:val="1"/>
          <w:color w:val="auto"/>
        </w:rPr>
        <w:t>Redemption Date</w:t>
      </w:r>
      <w:r>
        <w:rPr>
          <w:rFonts w:ascii="Arial" w:cs="Arial" w:eastAsia="Arial" w:hAnsi="Arial"/>
          <w:sz w:val="16"/>
          <w:szCs w:val="16"/>
          <w:color w:val="auto"/>
        </w:rPr>
        <w:t>”) and it or, at its written request received by the Trustee not less than five calendar days prior to the date such Redemption Notice is to be sent (or such shorter period of time as may be acceptable to the Trustee), the Trustee, in the name of and at the expense of the Company, shall deliver or cause to be delivered a notice of such Optional Redemption (a “</w:t>
      </w:r>
      <w:r>
        <w:rPr>
          <w:rFonts w:ascii="Arial" w:cs="Arial" w:eastAsia="Arial" w:hAnsi="Arial"/>
          <w:sz w:val="16"/>
          <w:szCs w:val="16"/>
          <w:b w:val="1"/>
          <w:bCs w:val="1"/>
          <w:color w:val="auto"/>
        </w:rPr>
        <w:t>Redemption Notice</w:t>
      </w:r>
      <w:r>
        <w:rPr>
          <w:rFonts w:ascii="Arial" w:cs="Arial" w:eastAsia="Arial" w:hAnsi="Arial"/>
          <w:sz w:val="16"/>
          <w:szCs w:val="16"/>
          <w:color w:val="auto"/>
        </w:rPr>
        <w:t xml:space="preserve">”) not less than 50 nor more than 70 Scheduled Trading Days prior to the Redemption Date to each Holder of Notes so to be redeemed as a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shall give such notice, it shall also give written notice of the Redemption Date to the Trustee; </w:t>
      </w:r>
      <w:r>
        <w:rPr>
          <w:rFonts w:ascii="Arial" w:cs="Arial" w:eastAsia="Arial" w:hAnsi="Arial"/>
          <w:sz w:val="16"/>
          <w:szCs w:val="16"/>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60"/>
          </w:cols>
          <w:pgMar w:left="300" w:top="1440" w:right="339" w:bottom="1440" w:gutter="0" w:footer="0" w:header="0"/>
        </w:sectPr>
      </w:pPr>
    </w:p>
    <w:bookmarkStart w:id="102" w:name="page103"/>
    <w:bookmarkEnd w:id="102"/>
    <w:p>
      <w:pPr>
        <w:spacing w:after="0" w:line="84" w:lineRule="exact"/>
        <w:rPr>
          <w:sz w:val="20"/>
          <w:szCs w:val="20"/>
          <w:color w:val="auto"/>
        </w:rPr>
      </w:pPr>
    </w:p>
    <w:p>
      <w:pPr>
        <w:ind w:left="380" w:right="120"/>
        <w:spacing w:after="0" w:line="253" w:lineRule="auto"/>
        <w:rPr>
          <w:sz w:val="20"/>
          <w:szCs w:val="20"/>
          <w:color w:val="auto"/>
        </w:rPr>
      </w:pP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if, in accordance with the provisions described in Section 14.02(a)(iii), the Company elects through delivery of a Settlement Notice to settle all</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conversions of Notes with a Conversion Date that occurs on or after the date of issuance of a Redemption Notice with respect to the Notes and prior to the related Redemption Date by Physical Settlement, then the Company may instead elect to choose a Redemption Date that is a Business Day not less than 15 nor more than 60 calendar days after the date the Company sends such Redemption Notice to each Holder so to be redeemed as a whole or in part. The Redemption Date must be a Business Day.</w:t>
      </w:r>
    </w:p>
    <w:p>
      <w:pPr>
        <w:spacing w:after="0" w:line="169" w:lineRule="exact"/>
        <w:rPr>
          <w:sz w:val="20"/>
          <w:szCs w:val="20"/>
          <w:color w:val="auto"/>
        </w:rPr>
      </w:pPr>
    </w:p>
    <w:p>
      <w:pPr>
        <w:ind w:left="-140" w:right="360" w:firstLine="667"/>
        <w:spacing w:after="0" w:line="283" w:lineRule="auto"/>
        <w:tabs>
          <w:tab w:leader="none" w:pos="8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 Notice to the Holder of any Note designated for redemption as a whole or in part shall not affect the validity of the proceedings for the redemption of any other Note.</w:t>
      </w:r>
    </w:p>
    <w:p>
      <w:pPr>
        <w:spacing w:after="0" w:line="123" w:lineRule="exact"/>
        <w:rPr>
          <w:rFonts w:ascii="Arial" w:cs="Arial" w:eastAsia="Arial" w:hAnsi="Arial"/>
          <w:sz w:val="16"/>
          <w:szCs w:val="16"/>
          <w:color w:val="auto"/>
        </w:rPr>
      </w:pPr>
    </w:p>
    <w:p>
      <w:pPr>
        <w:ind w:left="880" w:hanging="353"/>
        <w:spacing w:after="0"/>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Redemption Notice shall specify:</w:t>
      </w:r>
    </w:p>
    <w:p>
      <w:pPr>
        <w:spacing w:after="0" w:line="175" w:lineRule="exact"/>
        <w:rPr>
          <w:rFonts w:ascii="Arial" w:cs="Arial" w:eastAsia="Arial" w:hAnsi="Arial"/>
          <w:sz w:val="17"/>
          <w:szCs w:val="17"/>
          <w:color w:val="auto"/>
        </w:rPr>
      </w:pPr>
    </w:p>
    <w:p>
      <w:pPr>
        <w:ind w:left="1380" w:hanging="242"/>
        <w:spacing w:after="0"/>
        <w:tabs>
          <w:tab w:leader="none" w:pos="13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175" w:lineRule="exact"/>
        <w:rPr>
          <w:rFonts w:ascii="Arial" w:cs="Arial" w:eastAsia="Arial" w:hAnsi="Arial"/>
          <w:sz w:val="17"/>
          <w:szCs w:val="17"/>
          <w:color w:val="auto"/>
        </w:rPr>
      </w:pPr>
    </w:p>
    <w:p>
      <w:pPr>
        <w:ind w:left="1400" w:hanging="262"/>
        <w:spacing w:after="0"/>
        <w:tabs>
          <w:tab w:leader="none" w:pos="14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Redemption Price;</w:t>
      </w:r>
    </w:p>
    <w:p>
      <w:pPr>
        <w:spacing w:after="0" w:line="175" w:lineRule="exact"/>
        <w:rPr>
          <w:rFonts w:ascii="Arial" w:cs="Arial" w:eastAsia="Arial" w:hAnsi="Arial"/>
          <w:sz w:val="17"/>
          <w:szCs w:val="17"/>
          <w:color w:val="auto"/>
        </w:rPr>
      </w:pPr>
    </w:p>
    <w:p>
      <w:pPr>
        <w:ind w:left="380" w:firstLine="758"/>
        <w:spacing w:after="0" w:line="271" w:lineRule="auto"/>
        <w:tabs>
          <w:tab w:leader="none" w:pos="1391"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that on the Redemption Date, the Redemption Price will become due and payable upon each Note to be redeemed, and that interest thereon, if any, shall cease to accrue on and after the Redemption Date;</w:t>
      </w:r>
    </w:p>
    <w:p>
      <w:pPr>
        <w:spacing w:after="0" w:line="131" w:lineRule="exact"/>
        <w:rPr>
          <w:rFonts w:ascii="Arial" w:cs="Arial" w:eastAsia="Arial" w:hAnsi="Arial"/>
          <w:sz w:val="17"/>
          <w:szCs w:val="17"/>
          <w:color w:val="auto"/>
        </w:rPr>
      </w:pPr>
    </w:p>
    <w:p>
      <w:pPr>
        <w:ind w:left="1380" w:hanging="242"/>
        <w:spacing w:after="0"/>
        <w:tabs>
          <w:tab w:leader="none" w:pos="13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place or places where such Notes are to be surrendered for payment of the Redemption Price;</w:t>
      </w:r>
    </w:p>
    <w:p>
      <w:pPr>
        <w:spacing w:after="0" w:line="175" w:lineRule="exact"/>
        <w:rPr>
          <w:rFonts w:ascii="Arial" w:cs="Arial" w:eastAsia="Arial" w:hAnsi="Arial"/>
          <w:sz w:val="17"/>
          <w:szCs w:val="17"/>
          <w:color w:val="auto"/>
        </w:rPr>
      </w:pPr>
    </w:p>
    <w:p>
      <w:pPr>
        <w:ind w:left="380" w:right="180" w:firstLine="758"/>
        <w:spacing w:after="0" w:line="271" w:lineRule="auto"/>
        <w:tabs>
          <w:tab w:leader="none" w:pos="1387"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that Holders may surrender their Notes for conversion at any time prior to the close of business on the Scheduled Trading Day immediately preceding the Redemption Date;</w:t>
      </w:r>
    </w:p>
    <w:p>
      <w:pPr>
        <w:spacing w:after="0" w:line="131" w:lineRule="exact"/>
        <w:rPr>
          <w:rFonts w:ascii="Arial" w:cs="Arial" w:eastAsia="Arial" w:hAnsi="Arial"/>
          <w:sz w:val="17"/>
          <w:szCs w:val="17"/>
          <w:color w:val="auto"/>
        </w:rPr>
      </w:pPr>
    </w:p>
    <w:p>
      <w:pPr>
        <w:ind w:left="1380" w:hanging="242"/>
        <w:spacing w:after="0"/>
        <w:tabs>
          <w:tab w:leader="none" w:pos="1380"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procedures a converting Holder must follow to convert its Notes and the Settlement Method and Specified Dollar Amount, if applicable;</w:t>
      </w:r>
    </w:p>
    <w:p>
      <w:pPr>
        <w:spacing w:after="0" w:line="198" w:lineRule="exact"/>
        <w:rPr>
          <w:rFonts w:ascii="Arial" w:cs="Arial" w:eastAsia="Arial" w:hAnsi="Arial"/>
          <w:sz w:val="15"/>
          <w:szCs w:val="15"/>
          <w:color w:val="auto"/>
        </w:rPr>
      </w:pPr>
    </w:p>
    <w:p>
      <w:pPr>
        <w:ind w:left="1400" w:hanging="262"/>
        <w:spacing w:after="0"/>
        <w:tabs>
          <w:tab w:leader="none" w:pos="14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Conversion Rate;</w:t>
      </w:r>
    </w:p>
    <w:p>
      <w:pPr>
        <w:spacing w:after="0" w:line="175" w:lineRule="exact"/>
        <w:rPr>
          <w:rFonts w:ascii="Arial" w:cs="Arial" w:eastAsia="Arial" w:hAnsi="Arial"/>
          <w:sz w:val="17"/>
          <w:szCs w:val="17"/>
          <w:color w:val="auto"/>
        </w:rPr>
      </w:pPr>
    </w:p>
    <w:p>
      <w:pPr>
        <w:ind w:left="1900" w:hanging="762"/>
        <w:spacing w:after="0"/>
        <w:tabs>
          <w:tab w:leader="none" w:pos="19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CUSIP, ISIN or other similar numbers, if any, assigned to such Notes; and</w:t>
      </w:r>
    </w:p>
    <w:p>
      <w:pPr>
        <w:spacing w:after="0" w:line="197" w:lineRule="exact"/>
        <w:rPr>
          <w:rFonts w:ascii="Arial" w:cs="Arial" w:eastAsia="Arial" w:hAnsi="Arial"/>
          <w:sz w:val="17"/>
          <w:szCs w:val="17"/>
          <w:color w:val="auto"/>
        </w:rPr>
      </w:pPr>
    </w:p>
    <w:p>
      <w:pPr>
        <w:ind w:left="380" w:right="140" w:firstLine="758"/>
        <w:spacing w:after="0" w:line="303" w:lineRule="auto"/>
        <w:tabs>
          <w:tab w:leader="none" w:pos="1393"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20"/>
          </w:cols>
          <w:pgMar w:left="440" w:top="1440" w:right="439" w:bottom="1440" w:gutter="0" w:footer="0" w:header="0"/>
        </w:sectPr>
      </w:pPr>
    </w:p>
    <w:bookmarkStart w:id="103" w:name="page104"/>
    <w:bookmarkEnd w:id="103"/>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 Redemption Notice shall be irrevocable.</w:t>
      </w:r>
    </w:p>
    <w:p>
      <w:pPr>
        <w:spacing w:after="0" w:line="176" w:lineRule="exact"/>
        <w:rPr>
          <w:sz w:val="20"/>
          <w:szCs w:val="20"/>
          <w:color w:val="auto"/>
        </w:rPr>
      </w:pPr>
    </w:p>
    <w:p>
      <w:pPr>
        <w:ind w:firstLine="667"/>
        <w:spacing w:after="0" w:line="292" w:lineRule="auto"/>
        <w:tabs>
          <w:tab w:leader="none" w:pos="1012"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integral multiples of $1.00 in excess thereof) by lot,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20"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7"/>
          <w:szCs w:val="17"/>
          <w:color w:val="auto"/>
        </w:rPr>
        <w:t>Section 16.03.</w:t>
      </w:r>
      <w:r>
        <w:rPr>
          <w:sz w:val="20"/>
          <w:szCs w:val="20"/>
          <w:color w:val="auto"/>
        </w:rPr>
        <w:tab/>
      </w:r>
      <w:r>
        <w:rPr>
          <w:rFonts w:ascii="Arial" w:cs="Arial" w:eastAsia="Arial" w:hAnsi="Arial"/>
          <w:sz w:val="15"/>
          <w:szCs w:val="15"/>
          <w:i w:val="1"/>
          <w:iCs w:val="1"/>
          <w:color w:val="auto"/>
        </w:rPr>
        <w:t>Payment of Notes Called for Redemption</w:t>
      </w:r>
      <w:r>
        <w:rPr>
          <w:rFonts w:ascii="Arial" w:cs="Arial" w:eastAsia="Arial" w:hAnsi="Arial"/>
          <w:sz w:val="15"/>
          <w:szCs w:val="15"/>
          <w:color w:val="auto"/>
        </w:rPr>
        <w:t>.</w:t>
      </w:r>
    </w:p>
    <w:p>
      <w:pPr>
        <w:spacing w:after="0" w:line="176" w:lineRule="exact"/>
        <w:rPr>
          <w:sz w:val="20"/>
          <w:szCs w:val="20"/>
          <w:color w:val="auto"/>
        </w:rPr>
      </w:pPr>
    </w:p>
    <w:p>
      <w:pPr>
        <w:jc w:val="both"/>
        <w:ind w:right="220" w:firstLine="667"/>
        <w:spacing w:after="0" w:line="310" w:lineRule="auto"/>
        <w:tabs>
          <w:tab w:leader="none" w:pos="1013" w:val="left"/>
        </w:tabs>
        <w:numPr>
          <w:ilvl w:val="0"/>
          <w:numId w:val="72"/>
        </w:numPr>
        <w:rPr>
          <w:rFonts w:ascii="Arial" w:cs="Arial" w:eastAsia="Arial" w:hAnsi="Arial"/>
          <w:sz w:val="15"/>
          <w:szCs w:val="15"/>
          <w:color w:val="auto"/>
        </w:rPr>
      </w:pPr>
      <w:r>
        <w:rPr>
          <w:rFonts w:ascii="Arial" w:cs="Arial" w:eastAsia="Arial" w:hAnsi="Arial"/>
          <w:sz w:val="15"/>
          <w:szCs w:val="15"/>
          <w:color w:val="auto"/>
        </w:rPr>
        <w:t>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27" w:lineRule="exact"/>
        <w:rPr>
          <w:rFonts w:ascii="Arial" w:cs="Arial" w:eastAsia="Arial" w:hAnsi="Arial"/>
          <w:sz w:val="15"/>
          <w:szCs w:val="15"/>
          <w:color w:val="auto"/>
        </w:rPr>
      </w:pPr>
    </w:p>
    <w:p>
      <w:pPr>
        <w:ind w:right="100" w:firstLine="667"/>
        <w:spacing w:after="0" w:line="273" w:lineRule="auto"/>
        <w:tabs>
          <w:tab w:leader="none" w:pos="1012"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31" w:lineRule="exact"/>
        <w:rPr>
          <w:rFonts w:ascii="Arial" w:cs="Arial" w:eastAsia="Arial" w:hAnsi="Arial"/>
          <w:sz w:val="16"/>
          <w:szCs w:val="16"/>
          <w:color w:val="auto"/>
        </w:rPr>
      </w:pPr>
    </w:p>
    <w:p>
      <w:pPr>
        <w:ind w:right="180" w:firstLine="667"/>
        <w:spacing w:after="0" w:line="340" w:lineRule="auto"/>
        <w:tabs>
          <w:tab w:leader="none" w:pos="1013" w:val="left"/>
        </w:tabs>
        <w:numPr>
          <w:ilvl w:val="0"/>
          <w:numId w:val="72"/>
        </w:numPr>
        <w:rPr>
          <w:rFonts w:ascii="Arial" w:cs="Arial" w:eastAsia="Arial" w:hAnsi="Arial"/>
          <w:sz w:val="15"/>
          <w:szCs w:val="15"/>
          <w:color w:val="auto"/>
        </w:rPr>
      </w:pPr>
      <w:r>
        <w:rPr>
          <w:rFonts w:ascii="Arial" w:cs="Arial" w:eastAsia="Arial" w:hAnsi="Arial"/>
          <w:sz w:val="15"/>
          <w:szCs w:val="15"/>
          <w:color w:val="auto"/>
        </w:rPr>
        <w:t>Upon surrender of a Note that is to be redeemed in part pursuant to Section 16.02, the Company shall execute and the Trustee shall authenticate and deliver to the Holder a new Note in an authorized denomination equal in principal amount to the unredeemed portion of the Note surrendered.</w:t>
      </w:r>
    </w:p>
    <w:p>
      <w:pPr>
        <w:spacing w:after="0" w:line="8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i w:val="1"/>
          <w:iCs w:val="1"/>
          <w:color w:val="auto"/>
        </w:rPr>
        <w:t>Restrictions on Redemption</w:t>
      </w:r>
      <w:r>
        <w:rPr>
          <w:rFonts w:ascii="Arial" w:cs="Arial" w:eastAsia="Arial" w:hAnsi="Arial"/>
          <w:sz w:val="17"/>
          <w:szCs w:val="17"/>
          <w:color w:val="auto"/>
        </w:rPr>
        <w:t>. The Company may not redeem any Notes on any date if the principal amount of the Notes has been accelerated in accordance with the terms of this Indenture, and such acceleration has not been rescinded, on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00" w:top="1440" w:right="359" w:bottom="1440" w:gutter="0" w:footer="0" w:header="0"/>
        </w:sectPr>
      </w:pPr>
    </w:p>
    <w:bookmarkStart w:id="104" w:name="page105"/>
    <w:bookmarkEnd w:id="104"/>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Redemption Date (except in the case of an acceleration resulting from a Default by the Company in the payment of the Redemption Price with respect to such Notes).</w:t>
      </w:r>
    </w:p>
    <w:p>
      <w:pPr>
        <w:spacing w:after="0" w:line="284" w:lineRule="exact"/>
        <w:rPr>
          <w:sz w:val="20"/>
          <w:szCs w:val="20"/>
          <w:color w:val="auto"/>
        </w:rPr>
      </w:pPr>
    </w:p>
    <w:p>
      <w:pPr>
        <w:jc w:val="center"/>
        <w:ind w:right="-259"/>
        <w:spacing w:after="0"/>
        <w:tabs>
          <w:tab w:leader="none" w:pos="140" w:val="left"/>
        </w:tabs>
        <w:rPr>
          <w:sz w:val="20"/>
          <w:szCs w:val="20"/>
          <w:color w:val="auto"/>
        </w:rPr>
      </w:pPr>
      <w:r>
        <w:rPr>
          <w:rFonts w:ascii="Arial" w:cs="Arial" w:eastAsia="Arial" w:hAnsi="Arial"/>
          <w:sz w:val="17"/>
          <w:szCs w:val="17"/>
          <w:color w:val="auto"/>
        </w:rPr>
        <w:t>Article 17.</w:t>
      </w:r>
      <w:r>
        <w:rPr>
          <w:sz w:val="20"/>
          <w:szCs w:val="20"/>
          <w:color w:val="auto"/>
        </w:rPr>
        <w:tab/>
      </w:r>
      <w:r>
        <w:rPr>
          <w:rFonts w:ascii="Arial" w:cs="Arial" w:eastAsia="Arial" w:hAnsi="Arial"/>
          <w:sz w:val="15"/>
          <w:szCs w:val="15"/>
          <w:color w:val="auto"/>
        </w:rPr>
        <w:t>Miscellaneous Provisions</w:t>
      </w:r>
    </w:p>
    <w:p>
      <w:pPr>
        <w:spacing w:after="0" w:line="17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 xml:space="preserve">Section 17.01. </w:t>
      </w:r>
      <w:r>
        <w:rPr>
          <w:rFonts w:ascii="Arial" w:cs="Arial" w:eastAsia="Arial" w:hAnsi="Arial"/>
          <w:sz w:val="17"/>
          <w:szCs w:val="17"/>
          <w:i w:val="1"/>
          <w:iCs w:val="1"/>
          <w:color w:val="auto"/>
        </w:rPr>
        <w:t>Provisions Binding on Company’s Successors.</w:t>
      </w:r>
      <w:r>
        <w:rPr>
          <w:rFonts w:ascii="Arial" w:cs="Arial" w:eastAsia="Arial" w:hAnsi="Arial"/>
          <w:sz w:val="17"/>
          <w:szCs w:val="17"/>
          <w:color w:val="auto"/>
        </w:rPr>
        <w:t xml:space="preserve"> All the covenants, stipulations, promises and agreements of the Company contained in this Indenture shall bind its successors and assigns whether so expressed or not.</w:t>
      </w:r>
    </w:p>
    <w:p>
      <w:pPr>
        <w:spacing w:after="0" w:line="131" w:lineRule="exact"/>
        <w:rPr>
          <w:sz w:val="20"/>
          <w:szCs w:val="20"/>
          <w:color w:val="auto"/>
        </w:rPr>
      </w:pPr>
    </w:p>
    <w:p>
      <w:pPr>
        <w:jc w:val="both"/>
        <w:ind w:right="480" w:firstLine="509"/>
        <w:spacing w:after="0" w:line="259" w:lineRule="auto"/>
        <w:rPr>
          <w:sz w:val="20"/>
          <w:szCs w:val="20"/>
          <w:color w:val="auto"/>
        </w:rPr>
      </w:pPr>
      <w:r>
        <w:rPr>
          <w:rFonts w:ascii="Arial" w:cs="Arial" w:eastAsia="Arial" w:hAnsi="Arial"/>
          <w:sz w:val="17"/>
          <w:szCs w:val="17"/>
          <w:color w:val="auto"/>
        </w:rPr>
        <w:t xml:space="preserve">Section 17.02. </w:t>
      </w:r>
      <w:r>
        <w:rPr>
          <w:rFonts w:ascii="Arial" w:cs="Arial" w:eastAsia="Arial" w:hAnsi="Arial"/>
          <w:sz w:val="17"/>
          <w:szCs w:val="17"/>
          <w:i w:val="1"/>
          <w:iCs w:val="1"/>
          <w:color w:val="auto"/>
        </w:rPr>
        <w:t>Official Acts by Successor Corporation.</w:t>
      </w:r>
      <w:r>
        <w:rPr>
          <w:rFonts w:ascii="Arial" w:cs="Arial" w:eastAsia="Arial" w:hAnsi="Arial"/>
          <w:sz w:val="17"/>
          <w:szCs w:val="17"/>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42" w:lineRule="exact"/>
        <w:rPr>
          <w:sz w:val="20"/>
          <w:szCs w:val="20"/>
          <w:color w:val="auto"/>
        </w:rPr>
      </w:pPr>
    </w:p>
    <w:p>
      <w:pPr>
        <w:ind w:firstLine="509"/>
        <w:spacing w:after="0" w:line="292" w:lineRule="auto"/>
        <w:rPr>
          <w:sz w:val="20"/>
          <w:szCs w:val="20"/>
          <w:color w:val="auto"/>
        </w:rPr>
      </w:pPr>
      <w:r>
        <w:rPr>
          <w:rFonts w:ascii="Arial" w:cs="Arial" w:eastAsia="Arial" w:hAnsi="Arial"/>
          <w:sz w:val="15"/>
          <w:szCs w:val="15"/>
          <w:color w:val="auto"/>
        </w:rPr>
        <w:t xml:space="preserve">Section 17.03. </w:t>
      </w:r>
      <w:r>
        <w:rPr>
          <w:rFonts w:ascii="Arial" w:cs="Arial" w:eastAsia="Arial" w:hAnsi="Arial"/>
          <w:sz w:val="15"/>
          <w:szCs w:val="15"/>
          <w:i w:val="1"/>
          <w:iCs w:val="1"/>
          <w:color w:val="auto"/>
        </w:rPr>
        <w:t>Addresses for Notices, Etc.</w:t>
      </w:r>
      <w:r>
        <w:rPr>
          <w:rFonts w:ascii="Arial" w:cs="Arial" w:eastAsia="Arial" w:hAnsi="Arial"/>
          <w:sz w:val="15"/>
          <w:szCs w:val="15"/>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Eos Energy Enterprises, Inc., 3920 Park Avenue, Edison, New Jersey 08820, Attention: General Counsel, or sent electronically to an email address specified by the Company to the Trustee and the Holders.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Trustee, by notice to the Company, may designate additional or different addresses for subsequent notices or communications.</w:t>
      </w:r>
    </w:p>
    <w:p>
      <w:pPr>
        <w:spacing w:after="0" w:line="17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Any notice or communication delivered or to be delivered to a Holder of Physical Notes shall be mailed to it by first class mail, postage prepaid, at its address as it appears on the Note Register, or sent electronically to an email address specified by such Holder to the Trustee and the Company, and shall be sufficiently given to it if so mailed or sent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130" w:lineRule="exact"/>
        <w:rPr>
          <w:sz w:val="20"/>
          <w:szCs w:val="20"/>
          <w:color w:val="auto"/>
        </w:rPr>
      </w:pPr>
    </w:p>
    <w:p>
      <w:pPr>
        <w:ind w:right="160" w:firstLine="509"/>
        <w:spacing w:after="0" w:line="303" w:lineRule="auto"/>
        <w:rPr>
          <w:sz w:val="20"/>
          <w:szCs w:val="20"/>
          <w:color w:val="auto"/>
        </w:rPr>
      </w:pPr>
      <w:r>
        <w:rPr>
          <w:rFonts w:ascii="Arial" w:cs="Arial" w:eastAsia="Arial" w:hAnsi="Arial"/>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80"/>
          </w:cols>
          <w:pgMar w:left="300" w:top="1440" w:right="319" w:bottom="1440" w:gutter="0" w:footer="0" w:header="0"/>
        </w:sectPr>
      </w:pPr>
    </w:p>
    <w:bookmarkStart w:id="105" w:name="page106"/>
    <w:bookmarkEnd w:id="105"/>
    <w:p>
      <w:pPr>
        <w:spacing w:after="0" w:line="84" w:lineRule="exact"/>
        <w:rPr>
          <w:sz w:val="20"/>
          <w:szCs w:val="20"/>
          <w:color w:val="auto"/>
        </w:rPr>
      </w:pPr>
    </w:p>
    <w:p>
      <w:pPr>
        <w:ind w:right="300" w:firstLine="509"/>
        <w:spacing w:after="0" w:line="303"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 xml:space="preserve">Section 17.04. </w:t>
      </w:r>
      <w:r>
        <w:rPr>
          <w:rFonts w:ascii="Arial" w:cs="Arial" w:eastAsia="Arial" w:hAnsi="Arial"/>
          <w:sz w:val="17"/>
          <w:szCs w:val="17"/>
          <w:i w:val="1"/>
          <w:iCs w:val="1"/>
          <w:color w:val="auto"/>
        </w:rPr>
        <w:t>Governing Law; Jurisdiction.</w:t>
      </w:r>
      <w:r>
        <w:rPr>
          <w:rFonts w:ascii="Arial" w:cs="Arial" w:eastAsia="Arial" w:hAnsi="Arial"/>
          <w:sz w:val="17"/>
          <w:szCs w:val="17"/>
          <w:color w:val="auto"/>
        </w:rPr>
        <w:t xml:space="preserve"> THIS INDENTURE AND EACH NOTE, AND ANY CLAIM, CONTROVERSY OR DISPUTE ARISING UNDER OR RELATED TO THIS INDENTURE AND EACH NOTE, SHALL BE GOVERNED BY, AND CONSTRUED IN ACCORDANCE WITH, THE LAWS OF THE STATE OF NEW YORK (WITHOUT REGARD TO THE CONFLICTS OF LAWS PROVISIONS THEREOF).</w:t>
      </w:r>
    </w:p>
    <w:p>
      <w:pPr>
        <w:spacing w:after="0" w:line="142"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6"/>
          <w:szCs w:val="16"/>
          <w:i w:val="1"/>
          <w:iCs w:val="1"/>
          <w:color w:val="auto"/>
        </w:rPr>
        <w:t>in personam</w:t>
      </w:r>
      <w:r>
        <w:rPr>
          <w:rFonts w:ascii="Arial" w:cs="Arial" w:eastAsia="Arial" w:hAnsi="Arial"/>
          <w:sz w:val="16"/>
          <w:szCs w:val="16"/>
          <w:color w:val="auto"/>
        </w:rPr>
        <w:t>, generally and unconditionally with respect to any action, suit or proceeding for itself in respect of its properties, assets and revenues.</w:t>
      </w:r>
    </w:p>
    <w:p>
      <w:pPr>
        <w:spacing w:after="0" w:line="131" w:lineRule="exact"/>
        <w:rPr>
          <w:sz w:val="20"/>
          <w:szCs w:val="20"/>
          <w:color w:val="auto"/>
        </w:rPr>
      </w:pPr>
    </w:p>
    <w:p>
      <w:pPr>
        <w:ind w:firstLine="509"/>
        <w:spacing w:after="0" w:line="300" w:lineRule="auto"/>
        <w:rPr>
          <w:sz w:val="20"/>
          <w:szCs w:val="20"/>
          <w:color w:val="auto"/>
        </w:rPr>
      </w:pPr>
      <w:r>
        <w:rPr>
          <w:rFonts w:ascii="Arial" w:cs="Arial" w:eastAsia="Arial" w:hAnsi="Arial"/>
          <w:sz w:val="15"/>
          <w:szCs w:val="15"/>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1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 xml:space="preserve">Section 17.05. </w:t>
      </w:r>
      <w:r>
        <w:rPr>
          <w:rFonts w:ascii="Arial" w:cs="Arial" w:eastAsia="Arial" w:hAnsi="Arial"/>
          <w:sz w:val="17"/>
          <w:szCs w:val="17"/>
          <w:i w:val="1"/>
          <w:iCs w:val="1"/>
          <w:color w:val="auto"/>
        </w:rPr>
        <w:t>Evidence of Compliance with Conditions Precedent; Certificates and Opinions of Counsel to Trustee.</w:t>
      </w:r>
      <w:r>
        <w:rPr>
          <w:rFonts w:ascii="Arial" w:cs="Arial" w:eastAsia="Arial" w:hAnsi="Arial"/>
          <w:sz w:val="17"/>
          <w:szCs w:val="17"/>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42" w:lineRule="exact"/>
        <w:rPr>
          <w:sz w:val="20"/>
          <w:szCs w:val="20"/>
          <w:color w:val="auto"/>
        </w:rPr>
      </w:pPr>
    </w:p>
    <w:p>
      <w:pPr>
        <w:ind w:right="300" w:firstLine="509"/>
        <w:spacing w:after="0" w:line="273" w:lineRule="auto"/>
        <w:rPr>
          <w:sz w:val="20"/>
          <w:szCs w:val="20"/>
          <w:color w:val="auto"/>
        </w:rPr>
      </w:pPr>
      <w:r>
        <w:rPr>
          <w:rFonts w:ascii="Arial" w:cs="Arial" w:eastAsia="Arial" w:hAnsi="Arial"/>
          <w:sz w:val="16"/>
          <w:szCs w:val="16"/>
          <w:color w:val="auto"/>
        </w:rPr>
        <w:t>Each Officer’s Certificate provided for, by or on behalf of the Company in this Indenture and delivered to the Trustee with respect to compliance with this Indenture (other than the Officer’s Certificates provided for in Section 4.08) shall include a statement that the person signing such certificate is familiar with the requested action and this Indenture; a brief statement as to the nature and scope of the examination or investigation upon which the statement contained in such certificate is based; a statement that, in the judgment of such person, he or she has made such examination or investigation as is necessary to enable him or her to express an informed judgment as to whether or not such action is permitted by this Indenture;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80"/>
          </w:cols>
          <w:pgMar w:left="300" w:top="1440" w:right="319" w:bottom="1440" w:gutter="0" w:footer="0" w:header="0"/>
        </w:sectPr>
      </w:pPr>
    </w:p>
    <w:bookmarkStart w:id="106" w:name="page107"/>
    <w:bookmarkEnd w:id="106"/>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statement as to whether or not, in the judgment of such person, such action is permitted by this Indenture.</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4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 xml:space="preserve">Section 17.06. </w:t>
      </w:r>
      <w:r>
        <w:rPr>
          <w:rFonts w:ascii="Arial" w:cs="Arial" w:eastAsia="Arial" w:hAnsi="Arial"/>
          <w:sz w:val="17"/>
          <w:szCs w:val="17"/>
          <w:i w:val="1"/>
          <w:iCs w:val="1"/>
          <w:color w:val="auto"/>
        </w:rPr>
        <w:t>Legal Holidays.</w:t>
      </w:r>
      <w:r>
        <w:rPr>
          <w:rFonts w:ascii="Arial" w:cs="Arial" w:eastAsia="Arial" w:hAnsi="Arial"/>
          <w:sz w:val="17"/>
          <w:szCs w:val="17"/>
          <w:color w:val="auto"/>
        </w:rPr>
        <w:t xml:space="preserve"> In any case where any Interest Payment Date, any Redemption Date, any Fundamental Change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42" w:lineRule="exact"/>
        <w:rPr>
          <w:sz w:val="20"/>
          <w:szCs w:val="20"/>
          <w:color w:val="auto"/>
        </w:rPr>
      </w:pPr>
    </w:p>
    <w:p>
      <w:pPr>
        <w:ind w:right="400" w:firstLine="509"/>
        <w:spacing w:after="0" w:line="303" w:lineRule="auto"/>
        <w:rPr>
          <w:sz w:val="20"/>
          <w:szCs w:val="20"/>
          <w:color w:val="auto"/>
        </w:rPr>
      </w:pPr>
      <w:r>
        <w:rPr>
          <w:rFonts w:ascii="Arial" w:cs="Arial" w:eastAsia="Arial" w:hAnsi="Arial"/>
          <w:sz w:val="16"/>
          <w:szCs w:val="16"/>
          <w:color w:val="auto"/>
        </w:rPr>
        <w:t xml:space="preserve">Section 17.07. </w:t>
      </w:r>
      <w:r>
        <w:rPr>
          <w:rFonts w:ascii="Arial" w:cs="Arial" w:eastAsia="Arial" w:hAnsi="Arial"/>
          <w:sz w:val="16"/>
          <w:szCs w:val="16"/>
          <w:i w:val="1"/>
          <w:iCs w:val="1"/>
          <w:color w:val="auto"/>
        </w:rPr>
        <w:t>No Security Interest Created.</w:t>
      </w:r>
      <w:r>
        <w:rPr>
          <w:rFonts w:ascii="Arial" w:cs="Arial" w:eastAsia="Arial" w:hAnsi="Arial"/>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0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7"/>
          <w:szCs w:val="17"/>
          <w:color w:val="auto"/>
        </w:rPr>
        <w:t xml:space="preserve">Section 17.08. </w:t>
      </w:r>
      <w:r>
        <w:rPr>
          <w:rFonts w:ascii="Arial" w:cs="Arial" w:eastAsia="Arial" w:hAnsi="Arial"/>
          <w:sz w:val="17"/>
          <w:szCs w:val="17"/>
          <w:i w:val="1"/>
          <w:iCs w:val="1"/>
          <w:color w:val="auto"/>
        </w:rPr>
        <w:t>Benefits of Indenture.</w:t>
      </w:r>
      <w:r>
        <w:rPr>
          <w:rFonts w:ascii="Arial" w:cs="Arial" w:eastAsia="Arial" w:hAnsi="Arial"/>
          <w:sz w:val="17"/>
          <w:szCs w:val="17"/>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42" w:lineRule="exact"/>
        <w:rPr>
          <w:sz w:val="20"/>
          <w:szCs w:val="20"/>
          <w:color w:val="auto"/>
        </w:rPr>
      </w:pPr>
    </w:p>
    <w:p>
      <w:pPr>
        <w:ind w:right="220" w:firstLine="509"/>
        <w:spacing w:after="0" w:line="340" w:lineRule="auto"/>
        <w:rPr>
          <w:sz w:val="20"/>
          <w:szCs w:val="20"/>
          <w:color w:val="auto"/>
        </w:rPr>
      </w:pPr>
      <w:r>
        <w:rPr>
          <w:rFonts w:ascii="Arial" w:cs="Arial" w:eastAsia="Arial" w:hAnsi="Arial"/>
          <w:sz w:val="15"/>
          <w:szCs w:val="15"/>
          <w:color w:val="auto"/>
        </w:rPr>
        <w:t xml:space="preserve">Section 17.09.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Section 17.10. </w:t>
      </w:r>
      <w:r>
        <w:rPr>
          <w:rFonts w:ascii="Arial" w:cs="Arial" w:eastAsia="Arial" w:hAnsi="Arial"/>
          <w:sz w:val="16"/>
          <w:szCs w:val="16"/>
          <w:i w:val="1"/>
          <w:iCs w:val="1"/>
          <w:color w:val="auto"/>
        </w:rPr>
        <w:t>Authenticating Agent.</w:t>
      </w:r>
      <w:r>
        <w:rPr>
          <w:rFonts w:ascii="Arial" w:cs="Arial" w:eastAsia="Arial" w:hAnsi="Arial"/>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Section 15.04 and Section 16.03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60"/>
          </w:cols>
          <w:pgMar w:left="300" w:top="1440" w:right="339" w:bottom="1440" w:gutter="0" w:footer="0" w:header="0"/>
        </w:sectPr>
      </w:pPr>
    </w:p>
    <w:bookmarkStart w:id="107" w:name="page108"/>
    <w:bookmarkEnd w:id="107"/>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Notes for the Trustee’s certificate of authentication. Such authenticating agent shall at all times be a Person eligible to serve as trustee hereunder pursuant to Section 7.08.</w:t>
      </w:r>
    </w:p>
    <w:p>
      <w:pPr>
        <w:spacing w:after="0" w:line="13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47"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4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provisions of Section 7.02, Section 7.03, Section 7.04, Section 8.03 and this Section 17.10 shall be applicable to any authenticating agent.</w:t>
      </w:r>
    </w:p>
    <w:p>
      <w:pPr>
        <w:spacing w:after="0" w:line="176" w:lineRule="exact"/>
        <w:rPr>
          <w:sz w:val="20"/>
          <w:szCs w:val="20"/>
          <w:color w:val="auto"/>
        </w:rPr>
      </w:pPr>
    </w:p>
    <w:p>
      <w:pPr>
        <w:ind w:right="660" w:firstLine="509"/>
        <w:spacing w:after="0" w:line="271" w:lineRule="auto"/>
        <w:rPr>
          <w:sz w:val="20"/>
          <w:szCs w:val="20"/>
          <w:color w:val="auto"/>
        </w:rPr>
      </w:pPr>
      <w:r>
        <w:rPr>
          <w:rFonts w:ascii="Arial" w:cs="Arial" w:eastAsia="Arial" w:hAnsi="Arial"/>
          <w:sz w:val="17"/>
          <w:szCs w:val="17"/>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as Authenticating Agent, certifies that this is one of the Notes described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 the within-named Indenture.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p>
    <w:p>
      <w:pPr>
        <w:spacing w:after="0" w:line="162" w:lineRule="exact"/>
        <w:rPr>
          <w:sz w:val="20"/>
          <w:szCs w:val="20"/>
          <w:color w:val="auto"/>
        </w:rPr>
      </w:pPr>
    </w:p>
    <w:p>
      <w:pPr>
        <w:ind w:right="400" w:firstLine="509"/>
        <w:spacing w:after="0" w:line="310" w:lineRule="auto"/>
        <w:rPr>
          <w:sz w:val="20"/>
          <w:szCs w:val="20"/>
          <w:color w:val="auto"/>
        </w:rPr>
      </w:pPr>
      <w:r>
        <w:rPr>
          <w:rFonts w:ascii="Arial" w:cs="Arial" w:eastAsia="Arial" w:hAnsi="Arial"/>
          <w:sz w:val="15"/>
          <w:szCs w:val="15"/>
          <w:color w:val="auto"/>
        </w:rPr>
        <w:t xml:space="preserve">Section 17.11. </w:t>
      </w:r>
      <w:r>
        <w:rPr>
          <w:rFonts w:ascii="Arial" w:cs="Arial" w:eastAsia="Arial" w:hAnsi="Arial"/>
          <w:sz w:val="15"/>
          <w:szCs w:val="15"/>
          <w:i w:val="1"/>
          <w:iCs w:val="1"/>
          <w:color w:val="auto"/>
        </w:rPr>
        <w:t>Execution in Counterparts.</w:t>
      </w:r>
      <w:r>
        <w:rPr>
          <w:rFonts w:ascii="Arial" w:cs="Arial" w:eastAsia="Arial" w:hAnsi="Arial"/>
          <w:sz w:val="15"/>
          <w:szCs w:val="15"/>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80"/>
          </w:cols>
          <w:pgMar w:left="300" w:top="1440" w:right="319" w:bottom="1440" w:gutter="0" w:footer="0" w:header="0"/>
        </w:sectPr>
      </w:pPr>
    </w:p>
    <w:bookmarkStart w:id="108" w:name="page109"/>
    <w:bookmarkEnd w:id="108"/>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ind w:right="600" w:firstLine="509"/>
        <w:spacing w:after="0" w:line="271" w:lineRule="auto"/>
        <w:rPr>
          <w:sz w:val="20"/>
          <w:szCs w:val="20"/>
          <w:color w:val="auto"/>
        </w:rPr>
      </w:pPr>
      <w:r>
        <w:rPr>
          <w:rFonts w:ascii="Arial" w:cs="Arial" w:eastAsia="Arial" w:hAnsi="Arial"/>
          <w:sz w:val="17"/>
          <w:szCs w:val="17"/>
          <w:color w:val="auto"/>
        </w:rPr>
        <w:t xml:space="preserve">Section 17.12.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3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Section 17.13.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OF THE COMPANY, EACH HOLDER OF THE NOTES BY ACCEPTANCE HEREOF,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4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 xml:space="preserve">Section 17.14.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47"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 xml:space="preserve">Section 17.15. </w:t>
      </w:r>
      <w:r>
        <w:rPr>
          <w:rFonts w:ascii="Arial" w:cs="Arial" w:eastAsia="Arial" w:hAnsi="Arial"/>
          <w:sz w:val="16"/>
          <w:szCs w:val="16"/>
          <w:i w:val="1"/>
          <w:iCs w:val="1"/>
          <w:color w:val="auto"/>
        </w:rPr>
        <w:t>Calculations</w:t>
      </w:r>
      <w:r>
        <w:rPr>
          <w:rFonts w:ascii="Arial" w:cs="Arial" w:eastAsia="Arial" w:hAnsi="Arial"/>
          <w:sz w:val="16"/>
          <w:szCs w:val="16"/>
          <w:color w:val="auto"/>
        </w:rPr>
        <w:t>. Except as otherwise provided herein, the Company shall be responsible for making all calculations called for under the Notes. These calculations include, but are not limited to, determinations of the Capitalization Amounts, the Last Reported Sale Prices of the Common Stock,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3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 xml:space="preserve">Section 17.16. </w:t>
      </w:r>
      <w:r>
        <w:rPr>
          <w:rFonts w:ascii="Arial" w:cs="Arial" w:eastAsia="Arial" w:hAnsi="Arial"/>
          <w:sz w:val="16"/>
          <w:szCs w:val="16"/>
          <w:i w:val="1"/>
          <w:iCs w:val="1"/>
          <w:color w:val="auto"/>
        </w:rPr>
        <w:t>USA PATRIOT Act.</w:t>
      </w:r>
      <w:r>
        <w:rPr>
          <w:rFonts w:ascii="Arial" w:cs="Arial" w:eastAsia="Arial" w:hAnsi="Arial"/>
          <w:sz w:val="16"/>
          <w:szCs w:val="16"/>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60"/>
          </w:cols>
          <w:pgMar w:left="300" w:top="1440" w:right="339" w:bottom="1440" w:gutter="0" w:footer="0" w:header="0"/>
        </w:sectPr>
      </w:pPr>
    </w:p>
    <w:bookmarkStart w:id="109" w:name="page110"/>
    <w:bookmarkEnd w:id="109"/>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Trustee with such information as it may request in order for the Trustee to satisfy the requirements of the USA PATRIOT Act.</w:t>
      </w:r>
    </w:p>
    <w:p>
      <w:pPr>
        <w:spacing w:after="0" w:line="176"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 xml:space="preserve">Section 17.17. </w:t>
      </w:r>
      <w:r>
        <w:rPr>
          <w:rFonts w:ascii="Arial" w:cs="Arial" w:eastAsia="Arial" w:hAnsi="Arial"/>
          <w:sz w:val="16"/>
          <w:szCs w:val="16"/>
          <w:i w:val="1"/>
          <w:iCs w:val="1"/>
          <w:color w:val="auto"/>
        </w:rPr>
        <w:t>Withholding Taxes</w:t>
      </w:r>
      <w:r>
        <w:rPr>
          <w:rFonts w:ascii="Arial" w:cs="Arial" w:eastAsia="Arial" w:hAnsi="Arial"/>
          <w:sz w:val="16"/>
          <w:szCs w:val="16"/>
          <w:color w:val="auto"/>
        </w:rPr>
        <w:t>. Each Holder of a Note agrees that, notwithstanding anything herein to the contrary, the Company, the Paying Agent, the Conversion Agent or the Trustee (an “</w:t>
      </w:r>
      <w:r>
        <w:rPr>
          <w:rFonts w:ascii="Arial" w:cs="Arial" w:eastAsia="Arial" w:hAnsi="Arial"/>
          <w:sz w:val="16"/>
          <w:szCs w:val="16"/>
          <w:b w:val="1"/>
          <w:bCs w:val="1"/>
          <w:color w:val="auto"/>
        </w:rPr>
        <w:t>Applicable Withholding Agent</w:t>
      </w:r>
      <w:r>
        <w:rPr>
          <w:rFonts w:ascii="Arial" w:cs="Arial" w:eastAsia="Arial" w:hAnsi="Arial"/>
          <w:sz w:val="16"/>
          <w:szCs w:val="16"/>
          <w:color w:val="auto"/>
        </w:rPr>
        <w:t>”) shall have the right to deduct and withhold from any payment or distribution made with respect to the Notes (or the issuance of shares of Common Stock upon conversion of the Notes) such amounts as are required to be deducted or withheld with respect to the making of such payment or distribution (or issuance) under any applicable tax law. In the case of any withholding obligation that is not accompanied by a corresponding payment, distribution or issuance, including deemed dividends or amounts treated as original issue discount for tax purposes, any such withholding tax may be withheld from subsequent payments on the Notes (or the issuance of shares of Common Stock upon conversion of the Notes, or dividends or any other amounts payable with respect to such shares). If an Applicable Withholding Agent is required to remit any withholding tax payments to the applicable Governmental Entity in respect of such an item of income prior to any such subsequent payment or issuance, the Holder shall promptly upon notice reimburse the Applicable Withholding Agent for the required withholding tax payment. To the extent that any amounts are deducted or withheld as described in this Section 17.17, such deducted or withheld amounts shall be treated for all purposes of this Agreement as having been paid to the person in respect of which such deduction or withholding was made. Each Holder agrees to provide to the Company, with a copy to the Trustee, a fully completed Internal Revenue Service Form W-9 or W-8 (or applicable successor form), with any required attachments, as well as any other information determined by the Company or the Trustee to be reasonably necessary for an Applicable Withholding Agent to determine its withholding responsibilities with respect to such Holder, (i) prior to, and as a condition to, becoming a Holder hereunder, (ii) upon reasonable demand by the Company or the Trustee and (iii) promptly upon learning that any such tax form previously provided by it has become obsolete or incorrect.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60"/>
          </w:cols>
          <w:pgMar w:left="300" w:top="1440" w:right="339" w:bottom="1440" w:gutter="0" w:footer="0" w:header="0"/>
        </w:sectPr>
      </w:pPr>
    </w:p>
    <w:bookmarkStart w:id="110" w:name="page111"/>
    <w:bookmarkEnd w:id="110"/>
    <w:p>
      <w:pPr>
        <w:spacing w:after="0" w:line="2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WITNESS WHEREOF, the parties hereto have caused this Indenture to be duly executed as of the date first written above.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EOS ENERGY ENTERPRISES, INC.</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20955</wp:posOffset>
            </wp:positionV>
            <wp:extent cx="28232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7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[TRUSTEE], as Trustee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20955</wp:posOffset>
            </wp:positionV>
            <wp:extent cx="28232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099"/>
          </w:cols>
          <w:pgMar w:left="360" w:top="1440" w:right="1440" w:bottom="1440" w:gutter="0" w:footer="0" w:header="0"/>
        </w:sectPr>
      </w:pPr>
    </w:p>
    <w:bookmarkStart w:id="111" w:name="page112"/>
    <w:bookmarkEnd w:id="111"/>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FACE OF NOTE]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[INCLUDE FOLLOWING LEGEND IF A GLOBAL NOTE]</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[INCLUDE FOLLOWING LEGEND IF A RESTRICTED SECURITY]</w:t>
      </w:r>
    </w:p>
    <w:p>
      <w:pPr>
        <w:spacing w:after="0" w:line="1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EXCEPT:</w:t>
      </w:r>
    </w:p>
    <w:p>
      <w:pPr>
        <w:spacing w:after="0" w:line="131" w:lineRule="exact"/>
        <w:rPr>
          <w:sz w:val="20"/>
          <w:szCs w:val="20"/>
          <w:color w:val="auto"/>
        </w:rPr>
      </w:pPr>
    </w:p>
    <w:p>
      <w:pPr>
        <w:ind w:left="1820" w:hanging="287"/>
        <w:spacing w:after="0"/>
        <w:tabs>
          <w:tab w:leader="none" w:pos="18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COMPANY OR ANY SUBSIDIARY THEREOF, OR</w:t>
      </w:r>
    </w:p>
    <w:p>
      <w:pPr>
        <w:spacing w:after="0" w:line="175" w:lineRule="exact"/>
        <w:rPr>
          <w:rFonts w:ascii="Arial" w:cs="Arial" w:eastAsia="Arial" w:hAnsi="Arial"/>
          <w:sz w:val="17"/>
          <w:szCs w:val="17"/>
          <w:color w:val="auto"/>
        </w:rPr>
      </w:pPr>
    </w:p>
    <w:p>
      <w:pPr>
        <w:ind w:left="1800" w:hanging="267"/>
        <w:spacing w:after="0"/>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75" w:lineRule="exact"/>
        <w:rPr>
          <w:rFonts w:ascii="Arial" w:cs="Arial" w:eastAsia="Arial" w:hAnsi="Arial"/>
          <w:sz w:val="17"/>
          <w:szCs w:val="17"/>
          <w:color w:val="auto"/>
        </w:rPr>
      </w:pPr>
    </w:p>
    <w:p>
      <w:pPr>
        <w:ind w:left="1020" w:firstLine="513"/>
        <w:spacing w:after="0" w:line="271" w:lineRule="auto"/>
        <w:tabs>
          <w:tab w:leader="none" w:pos="1809" w:val="left"/>
        </w:tabs>
        <w:numPr>
          <w:ilvl w:val="0"/>
          <w:numId w:val="73"/>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3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280"/>
          </w:cols>
          <w:pgMar w:left="300" w:top="1440" w:right="319" w:bottom="1440" w:gutter="0" w:footer="0" w:header="0"/>
        </w:sectPr>
      </w:pPr>
    </w:p>
    <w:bookmarkStart w:id="112" w:name="page113"/>
    <w:bookmarkEnd w:id="112"/>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PROPOSED TRANSFER IS BEING MADE IN COMPLIANCE WITH THE SECURITIES ACT AND APPLICABLE STATE SECURITIES LAWS. NO REPRESENTATION IS MADE AS TO THE AVAILABILITY OF ANY EXEMPTION FROM THE REGISTRATION REQUIREMENTS OF THE SECURITIES ACT.</w:t>
      </w:r>
    </w:p>
    <w:p>
      <w:pPr>
        <w:spacing w:after="0" w:line="14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THIS SECURITY IS SUBJECT TO RESTRICTIONS ON TRANSFER AS SET FORTH IN AN INVESTMENT AGREEMENT DATED AS OF JULY 6, 2021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4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THIS NOTE HAS BEEN ISSUED WITH “ORIGINAL ISSUE DISCOUNT” (WITHIN THE MEANING OF SECTION 1272 OF THE INTERNAL REVENUE CODE OF 1986, AS AMENDED). UPON WRITTEN REQUEST, THE ISSUER OF THIS NOTE WILL PROMPTLY MAKE AVAILABLE TO ANY HOLDER OF THIS NOTE THE INFORMATION REQUIRED TO BE FURNISHED BY TREASURY REGULATIONS SECTION 1.1275-3. IN ORDER TO REQUEST SUCH INFORMATION, A HOLDER OF THIS NOTE SHOULD CONTACT THE CHIEF ACCOUNTING OFFICER AT 3920 PARK AVENUE, EDISON, NJ, 08820, PHONE NUMBER 732-225-8400.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280"/>
          </w:cols>
          <w:pgMar w:left="300" w:top="1440" w:right="319" w:bottom="1440" w:gutter="0" w:footer="0" w:header="0"/>
        </w:sectPr>
      </w:pPr>
    </w:p>
    <w:bookmarkStart w:id="113" w:name="page114"/>
    <w:bookmarkEnd w:id="113"/>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Eos Energy Enterprises, Inc.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 Convertible Senior PIK Toggle Note due 2026</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No. [_____]</w:t>
      </w:r>
      <w:r>
        <w:rPr>
          <w:sz w:val="20"/>
          <w:szCs w:val="20"/>
          <w:color w:val="auto"/>
        </w:rPr>
        <w:tab/>
      </w:r>
      <w:r>
        <w:rPr>
          <w:rFonts w:ascii="Arial" w:cs="Arial" w:eastAsia="Arial" w:hAnsi="Arial"/>
          <w:sz w:val="16"/>
          <w:szCs w:val="16"/>
          <w:color w:val="auto"/>
        </w:rPr>
        <w:t>Initially $[_________]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[CUSIP No. [_________]]</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Eos Energy Enterprises, Inc., a corporation duly organized and validly existing under the laws of the State of Delaware (the “</w:t>
      </w:r>
      <w:r>
        <w:rPr>
          <w:rFonts w:ascii="Arial" w:cs="Arial" w:eastAsia="Arial" w:hAnsi="Arial"/>
          <w:sz w:val="15"/>
          <w:szCs w:val="15"/>
          <w:b w:val="1"/>
          <w:bCs w:val="1"/>
          <w:color w:val="auto"/>
        </w:rPr>
        <w:t>Company</w:t>
      </w:r>
      <w:r>
        <w:rPr>
          <w:rFonts w:ascii="Arial" w:cs="Arial" w:eastAsia="Arial" w:hAnsi="Arial"/>
          <w:sz w:val="15"/>
          <w:szCs w:val="15"/>
          <w:color w:val="auto"/>
        </w:rPr>
        <w:t>,” which term includes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any successor corporation or other entity under the Indenture referred to on the reverse hereof), for value received hereby promises to pay to [CEDE &amp; CO.]</w:t>
      </w:r>
      <w:r>
        <w:rPr>
          <w:rFonts w:ascii="Arial" w:cs="Arial" w:eastAsia="Arial" w:hAnsi="Arial"/>
          <w:sz w:val="21"/>
          <w:szCs w:val="21"/>
          <w:color w:val="auto"/>
          <w:vertAlign w:val="superscript"/>
        </w:rPr>
        <w:t>1</w:t>
      </w:r>
    </w:p>
    <w:p>
      <w:pPr>
        <w:spacing w:after="0" w:line="189" w:lineRule="auto"/>
        <w:rPr>
          <w:sz w:val="20"/>
          <w:szCs w:val="20"/>
          <w:color w:val="auto"/>
        </w:rPr>
      </w:pPr>
      <w:r>
        <w:rPr>
          <w:rFonts w:ascii="Arial" w:cs="Arial" w:eastAsia="Arial" w:hAnsi="Arial"/>
          <w:sz w:val="16"/>
          <w:szCs w:val="16"/>
          <w:color w:val="auto"/>
        </w:rPr>
        <w:t>[_______]</w:t>
      </w:r>
      <w:r>
        <w:rPr>
          <w:rFonts w:ascii="Arial" w:cs="Arial" w:eastAsia="Arial" w:hAnsi="Arial"/>
          <w:sz w:val="21"/>
          <w:szCs w:val="21"/>
          <w:color w:val="auto"/>
          <w:vertAlign w:val="superscript"/>
        </w:rPr>
        <w:t>2</w:t>
      </w:r>
      <w:r>
        <w:rPr>
          <w:rFonts w:ascii="Arial" w:cs="Arial" w:eastAsia="Arial" w:hAnsi="Arial"/>
          <w:sz w:val="16"/>
          <w:szCs w:val="16"/>
          <w:color w:val="auto"/>
        </w:rPr>
        <w:t>, or registered assigns, the principal sum [as set forth in the “Schedule of Exchanges of Notes” attached hereto]</w:t>
      </w:r>
      <w:r>
        <w:rPr>
          <w:rFonts w:ascii="Arial" w:cs="Arial" w:eastAsia="Arial" w:hAnsi="Arial"/>
          <w:sz w:val="21"/>
          <w:szCs w:val="21"/>
          <w:color w:val="auto"/>
          <w:vertAlign w:val="superscript"/>
        </w:rPr>
        <w:t>3</w:t>
      </w:r>
      <w:r>
        <w:rPr>
          <w:rFonts w:ascii="Arial" w:cs="Arial" w:eastAsia="Arial" w:hAnsi="Arial"/>
          <w:sz w:val="16"/>
          <w:szCs w:val="16"/>
          <w:color w:val="auto"/>
        </w:rPr>
        <w:t>[of the Capitalized Principal Amount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corresponding to the Initial Principal Amount of $[_____]]</w:t>
      </w:r>
      <w:r>
        <w:rPr>
          <w:rFonts w:ascii="Arial" w:cs="Arial" w:eastAsia="Arial" w:hAnsi="Arial"/>
          <w:sz w:val="22"/>
          <w:szCs w:val="22"/>
          <w:color w:val="auto"/>
          <w:vertAlign w:val="superscript"/>
        </w:rPr>
        <w:t>4</w:t>
      </w:r>
      <w:r>
        <w:rPr>
          <w:rFonts w:ascii="Arial" w:cs="Arial" w:eastAsia="Arial" w:hAnsi="Arial"/>
          <w:sz w:val="17"/>
          <w:szCs w:val="17"/>
          <w:color w:val="auto"/>
        </w:rPr>
        <w:t>, on June 30, 2026, and interest thereon as set forth below.</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This Note shall bear interest at the applicable Cash Interest Rate or PIK Interest Rate from [________], 20[__], or from the most recent date to which interest</w:t>
      </w:r>
    </w:p>
    <w:p>
      <w:pPr>
        <w:spacing w:after="0" w:line="4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had been paid or provided for to, but excluding, the next scheduled Interest Payment Date until June 30, 2026. Interest is payable semi-annually in arrears in cash at the Cash Interest Rate or by PIK Payments at the PIK Interest Rate, pursuant to Section 2.03(d) of the Indenture, on each June 30 and December 30, commencing on [________], 20[__], to Holders of record at the close of business on the preceding June 15 and December 15 (whether or not such day is a Business Day), respectively.</w:t>
      </w:r>
    </w:p>
    <w:p>
      <w:pPr>
        <w:spacing w:after="0" w:line="143" w:lineRule="exact"/>
        <w:rPr>
          <w:sz w:val="20"/>
          <w:szCs w:val="20"/>
          <w:color w:val="auto"/>
        </w:rPr>
      </w:pPr>
    </w:p>
    <w:p>
      <w:pPr>
        <w:ind w:right="180" w:firstLine="509"/>
        <w:spacing w:after="0" w:line="232" w:lineRule="auto"/>
        <w:rPr>
          <w:sz w:val="20"/>
          <w:szCs w:val="20"/>
          <w:color w:val="auto"/>
        </w:rPr>
      </w:pPr>
      <w:r>
        <w:rPr>
          <w:rFonts w:ascii="Arial" w:cs="Arial" w:eastAsia="Arial" w:hAnsi="Arial"/>
          <w:sz w:val="17"/>
          <w:szCs w:val="17"/>
          <w:color w:val="auto"/>
        </w:rPr>
        <w:t>The Company shall make payments on the Notes in the manner set forth in the Indenture. The Company has initially designated [the Trustee]</w:t>
      </w:r>
      <w:r>
        <w:rPr>
          <w:rFonts w:ascii="Arial" w:cs="Arial" w:eastAsia="Arial" w:hAnsi="Arial"/>
          <w:sz w:val="22"/>
          <w:szCs w:val="22"/>
          <w:color w:val="auto"/>
          <w:vertAlign w:val="superscript"/>
        </w:rPr>
        <w:t>5</w:t>
      </w:r>
      <w:r>
        <w:rPr>
          <w:rFonts w:ascii="Arial" w:cs="Arial" w:eastAsia="Arial" w:hAnsi="Arial"/>
          <w:sz w:val="17"/>
          <w:szCs w:val="17"/>
          <w:color w:val="auto"/>
        </w:rPr>
        <w:t>[itself]</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as the Paying Agent, Conversion Agent and Note Registrar in respect of the Notes and its office in [_____] as a place where Notes may be presented for payment or for registration of transfer and exchange.</w:t>
      </w:r>
    </w:p>
    <w:p>
      <w:pPr>
        <w:spacing w:after="0" w:line="15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134747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0" w:lineRule="exact"/>
        <w:rPr>
          <w:sz w:val="20"/>
          <w:szCs w:val="20"/>
          <w:color w:val="auto"/>
        </w:rPr>
      </w:pPr>
    </w:p>
    <w:p>
      <w:pPr>
        <w:ind w:left="600" w:hanging="86"/>
        <w:spacing w:after="0"/>
        <w:tabs>
          <w:tab w:leader="none" w:pos="60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Include if a global note.</w:t>
      </w:r>
    </w:p>
    <w:p>
      <w:pPr>
        <w:ind w:left="600" w:hanging="86"/>
        <w:spacing w:after="0" w:line="205" w:lineRule="auto"/>
        <w:tabs>
          <w:tab w:leader="none" w:pos="60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 if a physical note.</w:t>
      </w:r>
    </w:p>
    <w:p>
      <w:pPr>
        <w:spacing w:after="0" w:line="1" w:lineRule="exact"/>
        <w:rPr>
          <w:rFonts w:ascii="Arial" w:cs="Arial" w:eastAsia="Arial" w:hAnsi="Arial"/>
          <w:sz w:val="18"/>
          <w:szCs w:val="18"/>
          <w:color w:val="auto"/>
          <w:vertAlign w:val="superscript"/>
        </w:rPr>
      </w:pPr>
    </w:p>
    <w:p>
      <w:pPr>
        <w:ind w:left="520"/>
        <w:spacing w:after="0" w:line="196"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Include if a global note.</w:t>
      </w:r>
    </w:p>
    <w:p>
      <w:pPr>
        <w:ind w:left="520"/>
        <w:spacing w:after="0" w:line="196"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 if a physical note.</w:t>
      </w:r>
    </w:p>
    <w:p>
      <w:pPr>
        <w:ind w:left="520"/>
        <w:spacing w:after="0" w:line="196"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Include for notes executed following Indenture execution.</w:t>
      </w:r>
    </w:p>
    <w:p>
      <w:pPr>
        <w:ind w:left="520"/>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Include for notes issued prior to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280"/>
          </w:cols>
          <w:pgMar w:left="300" w:top="1440" w:right="319" w:bottom="1440" w:gutter="0" w:footer="0" w:header="0"/>
        </w:sectPr>
      </w:pPr>
    </w:p>
    <w:bookmarkStart w:id="114" w:name="page115"/>
    <w:bookmarkEnd w:id="114"/>
    <w:p>
      <w:pPr>
        <w:spacing w:after="0" w:line="80"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any conflict between this Note and the Indenture, the provisions of this Note shall control and govern.</w:t>
      </w:r>
    </w:p>
    <w:p>
      <w:pPr>
        <w:spacing w:after="0" w:line="176" w:lineRule="exact"/>
        <w:rPr>
          <w:sz w:val="20"/>
          <w:szCs w:val="20"/>
          <w:color w:val="auto"/>
        </w:rPr>
      </w:pPr>
    </w:p>
    <w:p>
      <w:pPr>
        <w:ind w:right="640" w:firstLine="509"/>
        <w:spacing w:after="0" w:line="272" w:lineRule="auto"/>
        <w:rPr>
          <w:sz w:val="20"/>
          <w:szCs w:val="20"/>
          <w:color w:val="auto"/>
        </w:rPr>
      </w:pPr>
      <w:r>
        <w:rPr>
          <w:rFonts w:ascii="Arial" w:cs="Arial" w:eastAsia="Arial" w:hAnsi="Arial"/>
          <w:sz w:val="17"/>
          <w:szCs w:val="17"/>
          <w:color w:val="auto"/>
        </w:rPr>
        <w:t>[This Note shall not be valid or become obligatory for any purpose until the certificate of authentication hereon shall have been signed manually, electronically or by facsimile by the Trustee or a duly authorized authenticating agent under the Indenture.]</w:t>
      </w:r>
      <w:r>
        <w:rPr>
          <w:rFonts w:ascii="Arial" w:cs="Arial" w:eastAsia="Arial" w:hAnsi="Arial"/>
          <w:sz w:val="22"/>
          <w:szCs w:val="22"/>
          <w:color w:val="auto"/>
          <w:vertAlign w:val="superscript"/>
        </w:rPr>
        <w:t>7</w:t>
      </w:r>
    </w:p>
    <w:p>
      <w:pPr>
        <w:spacing w:after="0" w:line="6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134747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9" w:lineRule="exact"/>
        <w:rPr>
          <w:sz w:val="20"/>
          <w:szCs w:val="20"/>
          <w:color w:val="auto"/>
        </w:rPr>
      </w:pPr>
    </w:p>
    <w:p>
      <w:pPr>
        <w:ind w:left="600" w:hanging="86"/>
        <w:spacing w:after="0"/>
        <w:tabs>
          <w:tab w:leader="none" w:pos="60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Include for notes executed following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000"/>
          </w:cols>
          <w:pgMar w:left="300" w:top="1440" w:right="599" w:bottom="1440" w:gutter="0" w:footer="0" w:header="0"/>
        </w:sectPr>
      </w:pPr>
    </w:p>
    <w:bookmarkStart w:id="115" w:name="page116"/>
    <w:bookmarkEnd w:id="115"/>
    <w:p>
      <w:pPr>
        <w:spacing w:after="0" w:line="8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WITNESS WHEREOF, the Company has caused this Note to be duly executed.</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EOS ENERGY ENTERPRISES, INC.</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20955</wp:posOffset>
            </wp:positionV>
            <wp:extent cx="28232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[TRUSTEE’S CERTIFICATE OF AUTHENTICATION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as Trustee, certifies that this is one of the Notes described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 the within-named Indenture.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r>
        <w:rPr>
          <w:rFonts w:ascii="Arial" w:cs="Arial" w:eastAsia="Arial" w:hAnsi="Arial"/>
          <w:sz w:val="22"/>
          <w:szCs w:val="22"/>
          <w:color w:val="auto"/>
          <w:vertAlign w:val="superscript"/>
        </w:rPr>
        <w:t>8</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[[_________], as Holder</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r>
        <w:rPr>
          <w:rFonts w:ascii="Arial" w:cs="Arial" w:eastAsia="Arial" w:hAnsi="Arial"/>
          <w:sz w:val="22"/>
          <w:szCs w:val="22"/>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134747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00" w:hanging="86"/>
        <w:spacing w:after="0"/>
        <w:tabs>
          <w:tab w:leader="none" w:pos="60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Include for notes executed following Indenture execution.</w:t>
      </w:r>
    </w:p>
    <w:p>
      <w:pPr>
        <w:spacing w:after="0" w:line="1" w:lineRule="exact"/>
        <w:rPr>
          <w:rFonts w:ascii="Arial" w:cs="Arial" w:eastAsia="Arial" w:hAnsi="Arial"/>
          <w:sz w:val="18"/>
          <w:szCs w:val="18"/>
          <w:color w:val="auto"/>
          <w:vertAlign w:val="superscript"/>
        </w:rPr>
      </w:pPr>
    </w:p>
    <w:p>
      <w:pPr>
        <w:ind w:left="520"/>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Include for notes issued prior to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0159"/>
          </w:cols>
          <w:pgMar w:left="300" w:top="1440" w:right="1440" w:bottom="1440" w:gutter="0" w:footer="0" w:header="0"/>
        </w:sectPr>
      </w:pPr>
    </w:p>
    <w:bookmarkStart w:id="116" w:name="page117"/>
    <w:bookmarkEnd w:id="116"/>
    <w:p>
      <w:pPr>
        <w:spacing w:after="0" w:line="84"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[FORM OF REVERSE OF NOTE]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 Convertible Senior PIK Toggle Note due 2026</w:t>
      </w:r>
    </w:p>
    <w:p>
      <w:pPr>
        <w:spacing w:after="0" w:line="158" w:lineRule="exact"/>
        <w:rPr>
          <w:sz w:val="20"/>
          <w:szCs w:val="20"/>
          <w:color w:val="auto"/>
        </w:rPr>
      </w:pPr>
    </w:p>
    <w:p>
      <w:pPr>
        <w:ind w:right="60" w:firstLine="509"/>
        <w:spacing w:after="0" w:line="265" w:lineRule="auto"/>
        <w:rPr>
          <w:sz w:val="20"/>
          <w:szCs w:val="20"/>
          <w:color w:val="auto"/>
        </w:rPr>
      </w:pPr>
      <w:r>
        <w:rPr>
          <w:rFonts w:ascii="Arial" w:cs="Arial" w:eastAsia="Arial" w:hAnsi="Arial"/>
          <w:sz w:val="15"/>
          <w:szCs w:val="15"/>
          <w:color w:val="auto"/>
        </w:rPr>
        <w:t>This Note is one of a duly authorized issue of Notes of the Company, designated as its 5%/6% Convertible Senior PIK Toggle Notes due 2026 (the “</w:t>
      </w:r>
      <w:r>
        <w:rPr>
          <w:rFonts w:ascii="Arial" w:cs="Arial" w:eastAsia="Arial" w:hAnsi="Arial"/>
          <w:sz w:val="15"/>
          <w:szCs w:val="15"/>
          <w:b w:val="1"/>
          <w:bCs w:val="1"/>
          <w:color w:val="auto"/>
        </w:rPr>
        <w:t>Notes</w:t>
      </w:r>
      <w:r>
        <w:rPr>
          <w:rFonts w:ascii="Arial" w:cs="Arial" w:eastAsia="Arial" w:hAnsi="Arial"/>
          <w:sz w:val="15"/>
          <w:szCs w:val="15"/>
          <w:color w:val="auto"/>
        </w:rPr>
        <w:t>”), initially in the aggregate principal amount of $100,000,000 (as increased by any PIK Payments). Additional Notes may be issued in an unlimited aggregate principal amount, subject to certain conditions specified in the Indenture. Capitalized terms used in this Note and not defined in this Note shall have the respective meanings set forth in the Indenture (as amended in accordance herewith, the “</w:t>
      </w:r>
      <w:r>
        <w:rPr>
          <w:rFonts w:ascii="Arial" w:cs="Arial" w:eastAsia="Arial" w:hAnsi="Arial"/>
          <w:sz w:val="15"/>
          <w:szCs w:val="15"/>
          <w:b w:val="1"/>
          <w:bCs w:val="1"/>
          <w:color w:val="auto"/>
        </w:rPr>
        <w:t>Indenture</w:t>
      </w:r>
      <w:r>
        <w:rPr>
          <w:rFonts w:ascii="Arial" w:cs="Arial" w:eastAsia="Arial" w:hAnsi="Arial"/>
          <w:sz w:val="15"/>
          <w:szCs w:val="15"/>
          <w:color w:val="auto"/>
        </w:rPr>
        <w:t>”) [dated as of [____] between the Company and [___]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r>
        <w:rPr>
          <w:rFonts w:ascii="Arial" w:cs="Arial" w:eastAsia="Arial" w:hAnsi="Arial"/>
          <w:sz w:val="19"/>
          <w:szCs w:val="19"/>
          <w:color w:val="auto"/>
          <w:vertAlign w:val="superscript"/>
        </w:rPr>
        <w:t>10</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[attached hereto as Exhibit A]</w:t>
      </w:r>
      <w:r>
        <w:rPr>
          <w:rFonts w:ascii="Arial" w:cs="Arial" w:eastAsia="Arial" w:hAnsi="Arial"/>
          <w:sz w:val="22"/>
          <w:szCs w:val="22"/>
          <w:color w:val="auto"/>
          <w:vertAlign w:val="superscript"/>
        </w:rPr>
        <w:t>11</w:t>
      </w:r>
      <w:r>
        <w:rPr>
          <w:rFonts w:ascii="Arial" w:cs="Arial" w:eastAsia="Arial" w:hAnsi="Arial"/>
          <w:sz w:val="17"/>
          <w:szCs w:val="17"/>
          <w:color w:val="auto"/>
        </w:rPr>
        <w:t>. The originally issued Notes, all PIK Notes, and any additional Notes issued as set forth in the Indenture or this Note shall constitute a single class.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Incorporation by Reference of Provisions of the Indenture</w:t>
      </w:r>
      <w:r>
        <w:rPr>
          <w:rFonts w:ascii="Arial" w:cs="Arial" w:eastAsia="Arial" w:hAnsi="Arial"/>
          <w:sz w:val="17"/>
          <w:szCs w:val="17"/>
          <w:color w:val="auto"/>
        </w:rPr>
        <w:t>.</w:t>
      </w:r>
    </w:p>
    <w:p>
      <w:pPr>
        <w:spacing w:after="0" w:line="176" w:lineRule="exact"/>
        <w:rPr>
          <w:sz w:val="20"/>
          <w:szCs w:val="20"/>
          <w:color w:val="auto"/>
        </w:rPr>
      </w:pPr>
    </w:p>
    <w:p>
      <w:pPr>
        <w:ind w:firstLine="509"/>
        <w:spacing w:after="0" w:line="285" w:lineRule="auto"/>
        <w:rPr>
          <w:sz w:val="20"/>
          <w:szCs w:val="20"/>
          <w:color w:val="auto"/>
        </w:rPr>
      </w:pPr>
      <w:r>
        <w:rPr>
          <w:rFonts w:ascii="Arial" w:cs="Arial" w:eastAsia="Arial" w:hAnsi="Arial"/>
          <w:sz w:val="15"/>
          <w:szCs w:val="15"/>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4747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1" w:lineRule="exact"/>
        <w:rPr>
          <w:sz w:val="20"/>
          <w:szCs w:val="20"/>
          <w:color w:val="auto"/>
        </w:rPr>
      </w:pPr>
    </w:p>
    <w:p>
      <w:pPr>
        <w:ind w:left="640" w:hanging="126"/>
        <w:spacing w:after="0"/>
        <w:tabs>
          <w:tab w:leader="none" w:pos="640" w:val="left"/>
        </w:tabs>
        <w:numPr>
          <w:ilvl w:val="0"/>
          <w:numId w:val="78"/>
        </w:numPr>
        <w:rPr>
          <w:rFonts w:ascii="Arial" w:cs="Arial" w:eastAsia="Arial" w:hAnsi="Arial"/>
          <w:sz w:val="16"/>
          <w:szCs w:val="16"/>
          <w:color w:val="auto"/>
          <w:vertAlign w:val="superscript"/>
        </w:rPr>
      </w:pPr>
      <w:r>
        <w:rPr>
          <w:rFonts w:ascii="Arial" w:cs="Arial" w:eastAsia="Arial" w:hAnsi="Arial"/>
          <w:sz w:val="13"/>
          <w:szCs w:val="13"/>
          <w:color w:val="auto"/>
        </w:rPr>
        <w:t>Include for notes executed following Indenture execution.</w:t>
      </w:r>
    </w:p>
    <w:p>
      <w:pPr>
        <w:spacing w:after="0" w:line="1" w:lineRule="exact"/>
        <w:rPr>
          <w:rFonts w:ascii="Arial" w:cs="Arial" w:eastAsia="Arial" w:hAnsi="Arial"/>
          <w:sz w:val="16"/>
          <w:szCs w:val="16"/>
          <w:color w:val="auto"/>
          <w:vertAlign w:val="superscript"/>
        </w:rPr>
      </w:pPr>
    </w:p>
    <w:p>
      <w:pPr>
        <w:ind w:left="640" w:hanging="126"/>
        <w:spacing w:after="0" w:line="219" w:lineRule="auto"/>
        <w:tabs>
          <w:tab w:leader="none" w:pos="640" w:val="left"/>
        </w:tabs>
        <w:numPr>
          <w:ilvl w:val="0"/>
          <w:numId w:val="78"/>
        </w:numPr>
        <w:rPr>
          <w:rFonts w:ascii="Arial" w:cs="Arial" w:eastAsia="Arial" w:hAnsi="Arial"/>
          <w:sz w:val="16"/>
          <w:szCs w:val="16"/>
          <w:color w:val="auto"/>
          <w:vertAlign w:val="superscript"/>
        </w:rPr>
      </w:pPr>
      <w:r>
        <w:rPr>
          <w:rFonts w:ascii="Arial" w:cs="Arial" w:eastAsia="Arial" w:hAnsi="Arial"/>
          <w:sz w:val="13"/>
          <w:szCs w:val="13"/>
          <w:color w:val="auto"/>
        </w:rPr>
        <w:t>Include for notes issued prior to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240"/>
          </w:cols>
          <w:pgMar w:left="300" w:top="1440" w:right="359" w:bottom="1440" w:gutter="0" w:footer="0" w:header="0"/>
        </w:sectPr>
      </w:pPr>
    </w:p>
    <w:bookmarkStart w:id="117" w:name="page118"/>
    <w:bookmarkEnd w:id="117"/>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 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 (c) 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17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At any time, in the Company’s sole discretion, the Company may appoint a trustee (the “</w:t>
      </w:r>
      <w:r>
        <w:rPr>
          <w:rFonts w:ascii="Arial" w:cs="Arial" w:eastAsia="Arial" w:hAnsi="Arial"/>
          <w:sz w:val="16"/>
          <w:szCs w:val="16"/>
          <w:b w:val="1"/>
          <w:bCs w:val="1"/>
          <w:color w:val="auto"/>
        </w:rPr>
        <w:t>Trustee</w:t>
      </w:r>
      <w:r>
        <w:rPr>
          <w:rFonts w:ascii="Arial" w:cs="Arial" w:eastAsia="Arial" w:hAnsi="Arial"/>
          <w:sz w:val="16"/>
          <w:szCs w:val="16"/>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r>
        <w:rPr>
          <w:rFonts w:ascii="Arial" w:cs="Arial" w:eastAsia="Arial" w:hAnsi="Arial"/>
          <w:sz w:val="21"/>
          <w:szCs w:val="21"/>
          <w:color w:val="auto"/>
          <w:vertAlign w:val="superscript"/>
        </w:rPr>
        <w:t>12</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Events of Default.</w:t>
      </w:r>
    </w:p>
    <w:p>
      <w:pPr>
        <w:spacing w:after="0" w:line="17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In case certain Events of Default shall have occurred and be continuing, the principal of, and interest on, all Notes may be declared, by [either the Trustee or] Holders of at least 25%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4747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8" w:lineRule="exact"/>
        <w:rPr>
          <w:sz w:val="20"/>
          <w:szCs w:val="20"/>
          <w:color w:val="auto"/>
        </w:rPr>
      </w:pPr>
    </w:p>
    <w:p>
      <w:pPr>
        <w:ind w:left="640" w:hanging="126"/>
        <w:spacing w:after="0"/>
        <w:tabs>
          <w:tab w:leader="none" w:pos="640" w:val="left"/>
        </w:tabs>
        <w:numPr>
          <w:ilvl w:val="0"/>
          <w:numId w:val="79"/>
        </w:numPr>
        <w:rPr>
          <w:rFonts w:ascii="Arial" w:cs="Arial" w:eastAsia="Arial" w:hAnsi="Arial"/>
          <w:sz w:val="16"/>
          <w:szCs w:val="16"/>
          <w:color w:val="auto"/>
          <w:vertAlign w:val="superscript"/>
        </w:rPr>
      </w:pPr>
      <w:r>
        <w:rPr>
          <w:rFonts w:ascii="Arial" w:cs="Arial" w:eastAsia="Arial" w:hAnsi="Arial"/>
          <w:sz w:val="13"/>
          <w:szCs w:val="13"/>
          <w:color w:val="auto"/>
        </w:rPr>
        <w:t>Include for notes issued prior to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280"/>
          </w:cols>
          <w:pgMar w:left="300" w:top="1440" w:right="319" w:bottom="1440" w:gutter="0" w:footer="0" w:header="0"/>
        </w:sectPr>
      </w:pPr>
    </w:p>
    <w:bookmarkStart w:id="118" w:name="page119"/>
    <w:bookmarkEnd w:id="118"/>
    <w:p>
      <w:pPr>
        <w:spacing w:after="0" w:line="8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aggregate principal amount of Notes then outstanding, and upon said declaration shall become, due and payable, in the manner, with the effect and subject to the conditions and certain exceptions set forth in the Indenture.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Payments.</w:t>
      </w:r>
    </w:p>
    <w:p>
      <w:pPr>
        <w:spacing w:after="0" w:line="176"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Subject to the terms and conditions of the Indenture, the Company will make all payments and deliveries in respect of the Fundamental Change Repurchase Price on the Fundamental Change Repurchase Date, the Redemption Price on any Redemption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Amendments and Waivers.</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Right to Payments.</w:t>
      </w:r>
    </w:p>
    <w:p>
      <w:pPr>
        <w:spacing w:after="0" w:line="176"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Registered Form; Denominations; Transfer and Exchange.</w:t>
      </w:r>
    </w:p>
    <w:p>
      <w:pPr>
        <w:spacing w:after="0" w:line="176" w:lineRule="exact"/>
        <w:rPr>
          <w:sz w:val="20"/>
          <w:szCs w:val="20"/>
          <w:color w:val="auto"/>
        </w:rPr>
      </w:pPr>
    </w:p>
    <w:p>
      <w:pPr>
        <w:ind w:right="40" w:firstLine="509"/>
        <w:spacing w:after="0" w:line="300" w:lineRule="auto"/>
        <w:rPr>
          <w:sz w:val="20"/>
          <w:szCs w:val="20"/>
          <w:color w:val="auto"/>
        </w:rPr>
      </w:pPr>
      <w:r>
        <w:rPr>
          <w:rFonts w:ascii="Arial" w:cs="Arial" w:eastAsia="Arial" w:hAnsi="Arial"/>
          <w:sz w:val="15"/>
          <w:szCs w:val="15"/>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240"/>
          </w:cols>
          <w:pgMar w:left="300" w:top="1440" w:right="359" w:bottom="1440" w:gutter="0" w:footer="0" w:header="0"/>
        </w:sectPr>
      </w:pPr>
    </w:p>
    <w:bookmarkStart w:id="119" w:name="page120"/>
    <w:bookmarkEnd w:id="119"/>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exchange of Notes being different from the name of the Holder of the old Notes surrendered for such exchange.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Redemption.</w:t>
      </w:r>
    </w:p>
    <w:p>
      <w:pPr>
        <w:spacing w:after="0" w:line="176"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Notes shall be redeemable at the Company’s option on or after June 30, 2024 in accordance with the terms and subject to the conditions specified in the Indenture. No sinking fund is provided for the Notes.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Fundamental Change Repurchase Right.</w:t>
      </w:r>
    </w:p>
    <w:p>
      <w:pPr>
        <w:spacing w:after="0" w:line="17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Upon the occurrence of a Fundamental Change, the Holder has the right, at such Holder’s option, to require the Company to repurchase for cash all of such Holder’s Notes or any portion thereof (in principal amounts of $1,000 or integral multiples of $1.00 in excess thereof) on the Fundamental Change Repurchase Date at a price equal to the Fundamental Change Repurchase Price.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Conversion Rights.</w:t>
      </w:r>
    </w:p>
    <w:p>
      <w:pPr>
        <w:spacing w:after="0" w:line="1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cash, shares of Common Stock or a combination of cash and shares of Common Stock, as applicable, at the Conversion Rate specified in the Indenture, as adjusted from time to time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160"/>
          </w:cols>
          <w:pgMar w:left="300" w:top="1440" w:right="439" w:bottom="1440" w:gutter="0" w:footer="0" w:header="0"/>
        </w:sectPr>
      </w:pPr>
    </w:p>
    <w:bookmarkStart w:id="120" w:name="page121"/>
    <w:bookmarkEnd w:id="120"/>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ABBREVIATIONS</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following abbreviations, when used in the inscription of the face of this Note, shall be construed as though they were written out in full according to applicable laws or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TEN COM = as tenants in common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Uniform Gifts to Minors 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CUST = Custodian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ENT = as tenants by the entireties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JT TEN = joint tenants with right of survivorship and not as tenants in common</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A-10</w:t>
      </w:r>
    </w:p>
    <w:p>
      <w:pPr>
        <w:sectPr>
          <w:pgSz w:w="11900" w:h="16838" w:orient="portrait"/>
          <w:cols w:equalWidth="0" w:num="1">
            <w:col w:w="10880"/>
          </w:cols>
          <w:pgMar w:left="300" w:top="1440" w:right="719" w:bottom="1440" w:gutter="0" w:footer="0" w:header="0"/>
        </w:sectPr>
      </w:pPr>
    </w:p>
    <w:bookmarkStart w:id="121" w:name="page122"/>
    <w:bookmarkEnd w:id="121"/>
    <w:p>
      <w:pPr>
        <w:spacing w:after="0" w:line="7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SCHEDULE A</w:t>
      </w:r>
      <w:r>
        <w:rPr>
          <w:rFonts w:ascii="Arial" w:cs="Arial" w:eastAsia="Arial" w:hAnsi="Arial"/>
          <w:sz w:val="22"/>
          <w:szCs w:val="22"/>
          <w:b w:val="1"/>
          <w:bCs w:val="1"/>
          <w:color w:val="auto"/>
          <w:vertAlign w:val="superscript"/>
        </w:rPr>
        <w:t>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OF EXCHANGES OF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initial principal amount of this Global Note is _______ DOLLARS ($[_________]). The following increases or decreases in this Global Note have been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2160" w:type="dxa"/>
            <w:vAlign w:val="bottom"/>
            <w:gridSpan w:val="2"/>
          </w:tcPr>
          <w:p>
            <w:pPr>
              <w:jc w:val="center"/>
              <w:ind w:left="96"/>
              <w:spacing w:after="0"/>
              <w:rPr>
                <w:sz w:val="20"/>
                <w:szCs w:val="20"/>
                <w:color w:val="auto"/>
              </w:rPr>
            </w:pPr>
            <w:r>
              <w:rPr>
                <w:rFonts w:ascii="Arial" w:cs="Arial" w:eastAsia="Arial" w:hAnsi="Arial"/>
                <w:sz w:val="13"/>
                <w:szCs w:val="13"/>
                <w:color w:val="auto"/>
                <w:w w:val="90"/>
              </w:rPr>
              <w:t>Amount of decrease in principal</w:t>
            </w:r>
          </w:p>
        </w:tc>
        <w:tc>
          <w:tcPr>
            <w:tcW w:w="1900" w:type="dxa"/>
            <w:vAlign w:val="bottom"/>
          </w:tcPr>
          <w:p>
            <w:pPr>
              <w:jc w:val="center"/>
              <w:spacing w:after="0"/>
              <w:rPr>
                <w:sz w:val="20"/>
                <w:szCs w:val="20"/>
                <w:color w:val="auto"/>
              </w:rPr>
            </w:pPr>
            <w:r>
              <w:rPr>
                <w:rFonts w:ascii="Arial" w:cs="Arial" w:eastAsia="Arial" w:hAnsi="Arial"/>
                <w:sz w:val="13"/>
                <w:szCs w:val="13"/>
                <w:color w:val="auto"/>
                <w:w w:val="91"/>
              </w:rPr>
              <w:t>Amount of increase in principal</w:t>
            </w:r>
          </w:p>
        </w:tc>
        <w:tc>
          <w:tcPr>
            <w:tcW w:w="2040" w:type="dxa"/>
            <w:vAlign w:val="bottom"/>
          </w:tcPr>
          <w:p>
            <w:pPr>
              <w:jc w:val="center"/>
              <w:spacing w:after="0"/>
              <w:rPr>
                <w:sz w:val="20"/>
                <w:szCs w:val="20"/>
                <w:color w:val="auto"/>
              </w:rPr>
            </w:pPr>
            <w:r>
              <w:rPr>
                <w:rFonts w:ascii="Arial" w:cs="Arial" w:eastAsia="Arial" w:hAnsi="Arial"/>
                <w:sz w:val="13"/>
                <w:szCs w:val="13"/>
                <w:color w:val="auto"/>
                <w:w w:val="91"/>
              </w:rPr>
              <w:t>Principal amount of this Global Note</w:t>
            </w:r>
          </w:p>
        </w:tc>
        <w:tc>
          <w:tcPr>
            <w:tcW w:w="1980" w:type="dxa"/>
            <w:vAlign w:val="bottom"/>
          </w:tcPr>
          <w:p>
            <w:pPr>
              <w:jc w:val="center"/>
              <w:spacing w:after="0"/>
              <w:rPr>
                <w:sz w:val="20"/>
                <w:szCs w:val="20"/>
                <w:color w:val="auto"/>
              </w:rPr>
            </w:pPr>
            <w:r>
              <w:rPr>
                <w:rFonts w:ascii="Arial" w:cs="Arial" w:eastAsia="Arial" w:hAnsi="Arial"/>
                <w:sz w:val="13"/>
                <w:szCs w:val="13"/>
                <w:color w:val="auto"/>
                <w:w w:val="89"/>
              </w:rPr>
              <w:t>Signature of authorized signatory of</w:t>
            </w:r>
          </w:p>
        </w:tc>
      </w:tr>
      <w:tr>
        <w:trPr>
          <w:trHeight w:val="169"/>
        </w:trPr>
        <w:tc>
          <w:tcPr>
            <w:tcW w:w="1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Date of exchange</w:t>
            </w: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color w:val="auto"/>
                <w:w w:val="90"/>
              </w:rPr>
              <w:t>amount of this Global Note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amount of this Global Note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following such decrease or increase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Trustee or Custodian</w:t>
            </w:r>
          </w:p>
        </w:tc>
      </w:tr>
      <w:tr>
        <w:trPr>
          <w:trHeight w:val="200"/>
        </w:trPr>
        <w:tc>
          <w:tcPr>
            <w:tcW w:w="1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192"/>
        </w:trPr>
        <w:tc>
          <w:tcPr>
            <w:tcW w:w="1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r>
      <w:tr>
        <w:trPr>
          <w:trHeight w:val="203"/>
        </w:trPr>
        <w:tc>
          <w:tcPr>
            <w:tcW w:w="1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80" w:type="dxa"/>
            <w:vAlign w:val="bottom"/>
          </w:tcPr>
          <w:p>
            <w:pPr>
              <w:spacing w:after="0"/>
              <w:rPr>
                <w:sz w:val="17"/>
                <w:szCs w:val="17"/>
                <w:color w:val="auto"/>
              </w:rPr>
            </w:pPr>
          </w:p>
        </w:tc>
      </w:tr>
    </w:tbl>
    <w:p>
      <w:pPr>
        <w:spacing w:after="0" w:line="60" w:lineRule="exact"/>
        <w:rPr>
          <w:sz w:val="20"/>
          <w:szCs w:val="20"/>
          <w:color w:val="auto"/>
        </w:rPr>
      </w:pPr>
    </w:p>
    <w:p>
      <w:pPr>
        <w:ind w:left="640" w:hanging="126"/>
        <w:spacing w:after="0"/>
        <w:tabs>
          <w:tab w:leader="none" w:pos="640" w:val="left"/>
        </w:tabs>
        <w:numPr>
          <w:ilvl w:val="0"/>
          <w:numId w:val="80"/>
        </w:numPr>
        <w:rPr>
          <w:rFonts w:ascii="Arial" w:cs="Arial" w:eastAsia="Arial" w:hAnsi="Arial"/>
          <w:sz w:val="16"/>
          <w:szCs w:val="16"/>
          <w:color w:val="auto"/>
          <w:vertAlign w:val="superscript"/>
        </w:rPr>
      </w:pPr>
      <w:r>
        <w:rPr>
          <w:rFonts w:ascii="Arial" w:cs="Arial" w:eastAsia="Arial" w:hAnsi="Arial"/>
          <w:sz w:val="13"/>
          <w:szCs w:val="13"/>
          <w:color w:val="auto"/>
        </w:rPr>
        <w:t>Include if a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ectPr>
          <w:pgSz w:w="11900" w:h="16838" w:orient="portrait"/>
          <w:cols w:equalWidth="0" w:num="1">
            <w:col w:w="11280"/>
          </w:cols>
          <w:pgMar w:left="300" w:top="1440" w:right="319" w:bottom="1440" w:gutter="0" w:footer="0" w:header="0"/>
        </w:sectPr>
      </w:pPr>
    </w:p>
    <w:bookmarkStart w:id="122" w:name="page123"/>
    <w:bookmarkEnd w:id="122"/>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ATTACHMENT 1</w:t>
      </w:r>
    </w:p>
    <w:p>
      <w:pPr>
        <w:spacing w:after="0" w:line="1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[FORM OF NOTICE OF CONVERSION]</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83" w:lineRule="exact"/>
        <w:rPr>
          <w:sz w:val="20"/>
          <w:szCs w:val="20"/>
          <w:color w:val="auto"/>
        </w:rPr>
      </w:pPr>
    </w:p>
    <w:p>
      <w:pPr>
        <w:jc w:val="right"/>
        <w:ind w:right="9800"/>
        <w:spacing w:after="0"/>
        <w:tabs>
          <w:tab w:leader="none" w:pos="10840" w:val="left"/>
        </w:tabs>
        <w:rPr>
          <w:sz w:val="20"/>
          <w:szCs w:val="20"/>
          <w:color w:val="auto"/>
        </w:rPr>
      </w:pPr>
      <w:r>
        <w:rPr>
          <w:rFonts w:ascii="Arial" w:cs="Arial" w:eastAsia="Arial" w:hAnsi="Arial"/>
          <w:sz w:val="17"/>
          <w:szCs w:val="17"/>
          <w:color w:val="auto"/>
        </w:rPr>
        <w:t>[cc:</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Trustee Name</w:t>
      </w:r>
      <w:r>
        <w:rPr>
          <w:rFonts w:ascii="Arial" w:cs="Arial" w:eastAsia="Arial" w:hAnsi="Arial"/>
          <w:sz w:val="15"/>
          <w:szCs w:val="15"/>
          <w:color w:val="auto"/>
        </w:rPr>
        <w:t>]</w:t>
      </w:r>
    </w:p>
    <w:p>
      <w:pPr>
        <w:spacing w:after="0" w:line="20" w:lineRule="exact"/>
        <w:rPr>
          <w:sz w:val="20"/>
          <w:szCs w:val="20"/>
          <w:color w:val="auto"/>
        </w:rPr>
      </w:pPr>
    </w:p>
    <w:p>
      <w:pPr>
        <w:jc w:val="right"/>
        <w:ind w:right="9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 Address</w:t>
      </w:r>
      <w:r>
        <w:rPr>
          <w:rFonts w:ascii="Arial" w:cs="Arial" w:eastAsia="Arial" w:hAnsi="Arial"/>
          <w:sz w:val="17"/>
          <w:szCs w:val="17"/>
          <w:color w:val="auto"/>
        </w:rPr>
        <w:t>]]</w:t>
      </w:r>
    </w:p>
    <w:p>
      <w:pPr>
        <w:spacing w:after="0" w:line="162" w:lineRule="exact"/>
        <w:rPr>
          <w:sz w:val="20"/>
          <w:szCs w:val="20"/>
          <w:color w:val="auto"/>
        </w:rPr>
      </w:pPr>
    </w:p>
    <w:p>
      <w:pPr>
        <w:ind w:right="240" w:firstLine="509"/>
        <w:spacing w:after="0" w:line="288" w:lineRule="auto"/>
        <w:rPr>
          <w:sz w:val="20"/>
          <w:szCs w:val="20"/>
          <w:color w:val="auto"/>
        </w:rPr>
      </w:pPr>
      <w:r>
        <w:rPr>
          <w:rFonts w:ascii="Arial" w:cs="Arial" w:eastAsia="Arial" w:hAnsi="Arial"/>
          <w:sz w:val="15"/>
          <w:szCs w:val="15"/>
          <w:color w:val="auto"/>
        </w:rPr>
        <w:t>The undersigned registered owner of this Note hereby exercises the option to convert this Note, or the portion hereof (that is $1,000 principal amount or an integral multiple of $1.00 in excess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27" w:lineRule="exact"/>
        <w:rPr>
          <w:sz w:val="20"/>
          <w:szCs w:val="20"/>
          <w:color w:val="auto"/>
        </w:rPr>
      </w:pPr>
    </w:p>
    <w:p>
      <w:pPr>
        <w:spacing w:after="0"/>
        <w:tabs>
          <w:tab w:leader="none" w:pos="600" w:val="left"/>
          <w:tab w:leader="none" w:pos="2560" w:val="left"/>
        </w:tabs>
        <w:rPr>
          <w:sz w:val="20"/>
          <w:szCs w:val="20"/>
          <w:color w:val="auto"/>
        </w:rPr>
      </w:pPr>
      <w:r>
        <w:rPr>
          <w:rFonts w:ascii="Arial" w:cs="Arial" w:eastAsia="Arial" w:hAnsi="Arial"/>
          <w:sz w:val="17"/>
          <w:szCs w:val="17"/>
          <w:color w:val="auto"/>
        </w:rPr>
        <w:t>Dated:</w:t>
        <w:tab/>
        <w:t>_____________________</w:t>
      </w:r>
      <w:r>
        <w:rPr>
          <w:sz w:val="20"/>
          <w:szCs w:val="20"/>
          <w:color w:val="auto"/>
        </w:rPr>
        <w:tab/>
      </w:r>
      <w:r>
        <w:rPr>
          <w:rFonts w:ascii="Arial" w:cs="Arial" w:eastAsia="Arial" w:hAnsi="Arial"/>
          <w:sz w:val="15"/>
          <w:szCs w:val="15"/>
          <w:color w:val="auto"/>
        </w:rPr>
        <w:t>________________________________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an eligible Guarantor Institution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(banks, stock brokers, savings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loan associations and credit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440" w:right="319" w:bottom="1440" w:gutter="0" w:footer="0" w:header="0"/>
        </w:sectPr>
      </w:pPr>
    </w:p>
    <w:bookmarkStart w:id="123" w:name="page124"/>
    <w:bookmarkEnd w:id="123"/>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with membership in an approved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Securities and Exchange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Commission Rule 17Ad-15 if shares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are to be issued, 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Notes are to be delivered, other than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and in the 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Fill in for registration of shares if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to be issued, and Notes if 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be delivered, other than to and in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(Street Address)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(City, State and Zip Code)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Please print name and address</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converted (if less than all): $______,000</w:t>
      </w:r>
    </w:p>
    <w:p>
      <w:pPr>
        <w:spacing w:after="0" w:line="176" w:lineRule="exact"/>
        <w:rPr>
          <w:sz w:val="20"/>
          <w:szCs w:val="20"/>
          <w:color w:val="auto"/>
        </w:rPr>
      </w:pPr>
    </w:p>
    <w:p>
      <w:pPr>
        <w:ind w:left="256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131"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00" w:top="1440" w:right="359" w:bottom="1440" w:gutter="0" w:footer="0" w:header="0"/>
        </w:sectPr>
      </w:pPr>
    </w:p>
    <w:bookmarkStart w:id="124" w:name="page125"/>
    <w:bookmarkEnd w:id="124"/>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ATTACHMENT 2</w:t>
      </w:r>
    </w:p>
    <w:p>
      <w:pPr>
        <w:spacing w:after="0" w:line="180"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[FORM OF FUNDAMENTAL CHANGE REPURCHASE NOTICE]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83" w:lineRule="exact"/>
        <w:rPr>
          <w:sz w:val="20"/>
          <w:szCs w:val="20"/>
          <w:color w:val="auto"/>
        </w:rPr>
      </w:pPr>
    </w:p>
    <w:p>
      <w:pPr>
        <w:jc w:val="right"/>
        <w:ind w:right="9800"/>
        <w:spacing w:after="0"/>
        <w:tabs>
          <w:tab w:leader="none" w:pos="10840" w:val="left"/>
        </w:tabs>
        <w:rPr>
          <w:sz w:val="20"/>
          <w:szCs w:val="20"/>
          <w:color w:val="auto"/>
        </w:rPr>
      </w:pPr>
      <w:r>
        <w:rPr>
          <w:rFonts w:ascii="Arial" w:cs="Arial" w:eastAsia="Arial" w:hAnsi="Arial"/>
          <w:sz w:val="17"/>
          <w:szCs w:val="17"/>
          <w:color w:val="auto"/>
        </w:rPr>
        <w:t>[cc:</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Trustee Name</w:t>
      </w:r>
      <w:r>
        <w:rPr>
          <w:rFonts w:ascii="Arial" w:cs="Arial" w:eastAsia="Arial" w:hAnsi="Arial"/>
          <w:sz w:val="15"/>
          <w:szCs w:val="15"/>
          <w:color w:val="auto"/>
        </w:rPr>
        <w:t>]</w:t>
      </w:r>
    </w:p>
    <w:p>
      <w:pPr>
        <w:spacing w:after="0" w:line="20" w:lineRule="exact"/>
        <w:rPr>
          <w:sz w:val="20"/>
          <w:szCs w:val="20"/>
          <w:color w:val="auto"/>
        </w:rPr>
      </w:pPr>
    </w:p>
    <w:p>
      <w:pPr>
        <w:jc w:val="right"/>
        <w:ind w:right="9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Trustee Address</w:t>
      </w:r>
      <w:r>
        <w:rPr>
          <w:rFonts w:ascii="Arial" w:cs="Arial" w:eastAsia="Arial" w:hAnsi="Arial"/>
          <w:sz w:val="17"/>
          <w:szCs w:val="17"/>
          <w:color w:val="auto"/>
        </w:rPr>
        <w:t>]]</w:t>
      </w:r>
    </w:p>
    <w:p>
      <w:pPr>
        <w:spacing w:after="0" w:line="158"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undersigned registered owner of this Note hereby acknowledges receipt of a notice from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Physical Notes, the certificate numbers of the Notes to be repurchased are as set forth below:</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35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repaid (if less than all): $______,000</w:t>
      </w:r>
    </w:p>
    <w:p>
      <w:pPr>
        <w:spacing w:after="0" w:line="176" w:lineRule="exact"/>
        <w:rPr>
          <w:sz w:val="20"/>
          <w:szCs w:val="20"/>
          <w:color w:val="auto"/>
        </w:rPr>
      </w:pPr>
    </w:p>
    <w:p>
      <w:pPr>
        <w:ind w:left="2560" w:right="4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440" w:right="319" w:bottom="1440" w:gutter="0" w:footer="0" w:header="0"/>
        </w:sectPr>
      </w:pPr>
    </w:p>
    <w:bookmarkStart w:id="125" w:name="page126"/>
    <w:bookmarkEnd w:id="125"/>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ATTACHMENT 3</w:t>
      </w:r>
    </w:p>
    <w:p>
      <w:pPr>
        <w:spacing w:after="0" w:line="18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[FORM OF ASSIGNMENT AND TRANSFER]</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____________________________ hereby sell(s), assign(s) and transfer(s) unto _________________ (Please insert social security or Taxpayer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Number of assignee) the within Note, and hereby irrevocably constitutes and appoints _____________________ attorney to transfer the said Note 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books of the Company, with full power of substitution in the premises.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transfer of the within Note, the undersigned confirms that such Note is being transferred:</w:t>
      </w:r>
    </w:p>
    <w:p>
      <w:pPr>
        <w:spacing w:after="0" w:line="176" w:lineRule="exact"/>
        <w:rPr>
          <w:sz w:val="20"/>
          <w:szCs w:val="20"/>
          <w:color w:val="auto"/>
        </w:rPr>
      </w:pPr>
    </w:p>
    <w:p>
      <w:pPr>
        <w:ind w:left="280" w:hanging="275"/>
        <w:spacing w:after="0"/>
        <w:tabs>
          <w:tab w:leader="none" w:pos="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Eos Energy Enterprises, Inc. or a subsidiary thereof; or</w:t>
      </w:r>
    </w:p>
    <w:p>
      <w:pPr>
        <w:spacing w:after="0" w:line="175" w:lineRule="exact"/>
        <w:rPr>
          <w:rFonts w:ascii="Arial" w:cs="Arial" w:eastAsia="Arial" w:hAnsi="Arial"/>
          <w:sz w:val="17"/>
          <w:szCs w:val="17"/>
          <w:color w:val="auto"/>
        </w:rPr>
      </w:pPr>
    </w:p>
    <w:p>
      <w:pPr>
        <w:ind w:left="280" w:hanging="275"/>
        <w:spacing w:after="0"/>
        <w:tabs>
          <w:tab w:leader="none" w:pos="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Pursuant to a registration statement that has become or been declared effective under the Securities Act of 1933, as amended; or</w:t>
      </w:r>
    </w:p>
    <w:p>
      <w:pPr>
        <w:spacing w:after="0" w:line="175" w:lineRule="exact"/>
        <w:rPr>
          <w:rFonts w:ascii="Arial" w:cs="Arial" w:eastAsia="Arial" w:hAnsi="Arial"/>
          <w:sz w:val="17"/>
          <w:szCs w:val="17"/>
          <w:color w:val="auto"/>
        </w:rPr>
      </w:pPr>
    </w:p>
    <w:p>
      <w:pPr>
        <w:ind w:right="140" w:firstLine="5"/>
        <w:spacing w:after="0" w:line="271" w:lineRule="auto"/>
        <w:tabs>
          <w:tab w:leader="none" w:pos="2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440" w:right="319" w:bottom="1440" w:gutter="0" w:footer="0" w:header="0"/>
        </w:sectPr>
      </w:pPr>
    </w:p>
    <w:bookmarkStart w:id="126" w:name="page127"/>
    <w:bookmarkEnd w:id="126"/>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 by 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eligible Guarantor Institution (banks,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brokers, savings and loan associations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credit unions) with membership in an approved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 pursuant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Securities and Exchange Commission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Rule 17Ad-15 if Notes are to be delivered, other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than to and in the name of the registered holder.</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NOTICE: The signature on the assignment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300" w:top="1440" w:right="439" w:bottom="1440" w:gutter="0" w:footer="0" w:header="0"/>
        </w:sectPr>
      </w:pPr>
    </w:p>
    <w:bookmarkStart w:id="127" w:name="page128"/>
    <w:bookmarkEnd w:id="127"/>
    <w:p>
      <w:pPr>
        <w:spacing w:after="0" w:line="245" w:lineRule="exact"/>
        <w:rPr>
          <w:sz w:val="20"/>
          <w:szCs w:val="20"/>
          <w:color w:val="auto"/>
        </w:rPr>
      </w:pPr>
    </w:p>
    <w:p>
      <w:pPr>
        <w:jc w:val="right"/>
        <w:ind w:right="2939"/>
        <w:spacing w:after="0"/>
        <w:rPr>
          <w:sz w:val="20"/>
          <w:szCs w:val="20"/>
          <w:color w:val="auto"/>
        </w:rPr>
      </w:pPr>
      <w:r>
        <w:rPr>
          <w:rFonts w:ascii="Arial" w:cs="Arial" w:eastAsia="Arial" w:hAnsi="Arial"/>
          <w:sz w:val="17"/>
          <w:szCs w:val="17"/>
          <w:b w:val="1"/>
          <w:bCs w:val="1"/>
          <w:color w:val="auto"/>
        </w:rPr>
        <w:t>[EXHIBIT A – FORM OF INDENTURE]</w:t>
      </w:r>
      <w:r>
        <w:rPr>
          <w:rFonts w:ascii="Arial" w:cs="Arial" w:eastAsia="Arial" w:hAnsi="Arial"/>
          <w:sz w:val="22"/>
          <w:szCs w:val="22"/>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185420</wp:posOffset>
            </wp:positionV>
            <wp:extent cx="134747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43" w:lineRule="exact"/>
        <w:rPr>
          <w:sz w:val="20"/>
          <w:szCs w:val="20"/>
          <w:color w:val="auto"/>
        </w:rPr>
      </w:pPr>
    </w:p>
    <w:p>
      <w:pPr>
        <w:ind w:left="126" w:hanging="126"/>
        <w:spacing w:after="0"/>
        <w:tabs>
          <w:tab w:leader="none" w:pos="126" w:val="left"/>
        </w:tabs>
        <w:numPr>
          <w:ilvl w:val="0"/>
          <w:numId w:val="82"/>
        </w:numPr>
        <w:rPr>
          <w:rFonts w:ascii="Arial" w:cs="Arial" w:eastAsia="Arial" w:hAnsi="Arial"/>
          <w:sz w:val="16"/>
          <w:szCs w:val="16"/>
          <w:color w:val="auto"/>
          <w:vertAlign w:val="superscript"/>
        </w:rPr>
      </w:pPr>
      <w:r>
        <w:rPr>
          <w:rFonts w:ascii="Arial" w:cs="Arial" w:eastAsia="Arial" w:hAnsi="Arial"/>
          <w:sz w:val="13"/>
          <w:szCs w:val="13"/>
          <w:color w:val="auto"/>
        </w:rPr>
        <w:t>Include for notes issued prior to Indenture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86"/>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645"/>
          </w:cols>
          <w:pgMar w:left="814" w:top="1440" w:right="1440" w:bottom="1440" w:gutter="0" w:footer="0" w:header="0"/>
        </w:sectPr>
      </w:pPr>
    </w:p>
    <w:bookmarkStart w:id="128" w:name="page129"/>
    <w:bookmarkEnd w:id="128"/>
    <w:p>
      <w:pPr>
        <w:spacing w:after="0"/>
        <w:tabs>
          <w:tab w:leader="none" w:pos="2360" w:val="left"/>
        </w:tabs>
        <w:rPr>
          <w:sz w:val="20"/>
          <w:szCs w:val="20"/>
          <w:color w:val="auto"/>
        </w:rPr>
      </w:pPr>
      <w:r>
        <w:rPr>
          <w:rFonts w:ascii="Arial" w:cs="Arial" w:eastAsia="Arial" w:hAnsi="Arial"/>
          <w:sz w:val="17"/>
          <w:szCs w:val="17"/>
          <w:b w:val="1"/>
          <w:bCs w:val="1"/>
          <w:color w:val="auto"/>
        </w:rPr>
        <w:t>CONFIDENTIAL</w:t>
      </w:r>
      <w:r>
        <w:rPr>
          <w:sz w:val="20"/>
          <w:szCs w:val="20"/>
          <w:color w:val="auto"/>
        </w:rPr>
        <w:tab/>
      </w: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INVESTMENT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and among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EOS ENERGY ENTERPRISES,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SPRING CREEK CAPITAL, LLC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July 6, 2021</w:t>
      </w:r>
    </w:p>
    <w:p>
      <w:pPr>
        <w:sectPr>
          <w:pgSz w:w="11900" w:h="16838" w:orient="portrait"/>
          <w:cols w:equalWidth="0" w:num="1">
            <w:col w:w="11280"/>
          </w:cols>
          <w:pgMar w:left="300" w:top="129" w:right="319" w:bottom="1440" w:gutter="0" w:footer="0" w:header="0"/>
        </w:sectPr>
      </w:pPr>
    </w:p>
    <w:bookmarkStart w:id="129" w:name="page130"/>
    <w:bookmarkEnd w:id="129"/>
    <w:p>
      <w:pPr>
        <w:jc w:val="center"/>
        <w:ind w:right="6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158750</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760" w:type="dxa"/>
            <w:vAlign w:val="bottom"/>
            <w:gridSpan w:val="2"/>
          </w:tcPr>
          <w:p>
            <w:pPr>
              <w:ind w:left="2440"/>
              <w:spacing w:after="0"/>
              <w:rPr>
                <w:sz w:val="20"/>
                <w:szCs w:val="20"/>
                <w:color w:val="auto"/>
              </w:rPr>
            </w:pPr>
            <w:r>
              <w:rPr>
                <w:rFonts w:ascii="Arial" w:cs="Arial" w:eastAsia="Arial" w:hAnsi="Arial"/>
                <w:sz w:val="17"/>
                <w:szCs w:val="17"/>
                <w:color w:val="auto"/>
                <w:w w:val="75"/>
              </w:rPr>
              <w:t>Page</w:t>
            </w:r>
          </w:p>
        </w:tc>
      </w:tr>
      <w:tr>
        <w:trPr>
          <w:trHeight w:val="335"/>
        </w:trPr>
        <w:tc>
          <w:tcPr>
            <w:tcW w:w="980" w:type="dxa"/>
            <w:vAlign w:val="bottom"/>
          </w:tcPr>
          <w:p>
            <w:pPr>
              <w:spacing w:after="0"/>
              <w:rPr>
                <w:sz w:val="24"/>
                <w:szCs w:val="24"/>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1</w:t>
            </w:r>
          </w:p>
        </w:tc>
        <w:tc>
          <w:tcPr>
            <w:tcW w:w="2440" w:type="dxa"/>
            <w:vAlign w:val="bottom"/>
          </w:tcPr>
          <w:p>
            <w:pPr>
              <w:ind w:left="2140"/>
              <w:spacing w:after="0"/>
              <w:rPr>
                <w:sz w:val="20"/>
                <w:szCs w:val="20"/>
                <w:color w:val="auto"/>
              </w:rPr>
            </w:pPr>
            <w:r>
              <w:rPr>
                <w:rFonts w:ascii="Arial" w:cs="Arial" w:eastAsia="Arial" w:hAnsi="Arial"/>
                <w:sz w:val="17"/>
                <w:szCs w:val="17"/>
                <w:color w:val="auto"/>
              </w:rPr>
              <w:t>1</w:t>
            </w:r>
          </w:p>
        </w:tc>
        <w:tc>
          <w:tcPr>
            <w:tcW w:w="320" w:type="dxa"/>
            <w:vAlign w:val="bottom"/>
            <w:tcBorders>
              <w:top w:val="single" w:sz="8" w:color="auto"/>
            </w:tcBorders>
          </w:tcPr>
          <w:p>
            <w:pPr>
              <w:spacing w:after="0"/>
              <w:rPr>
                <w:sz w:val="24"/>
                <w:szCs w:val="24"/>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5"/>
              </w:rPr>
              <w:t>Definitions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1.01.</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Definitions.</w:t>
            </w:r>
          </w:p>
        </w:tc>
        <w:tc>
          <w:tcPr>
            <w:tcW w:w="2440" w:type="dxa"/>
            <w:vAlign w:val="bottom"/>
          </w:tcPr>
          <w:p>
            <w:pPr>
              <w:ind w:left="214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General Interpretive Principles.</w:t>
            </w:r>
          </w:p>
        </w:tc>
        <w:tc>
          <w:tcPr>
            <w:tcW w:w="2440" w:type="dxa"/>
            <w:vAlign w:val="bottom"/>
          </w:tcPr>
          <w:p>
            <w:pPr>
              <w:ind w:left="2140"/>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21"/>
                <w:szCs w:val="21"/>
                <w:color w:val="auto"/>
              </w:rPr>
            </w:pPr>
          </w:p>
        </w:tc>
      </w:tr>
      <w:tr>
        <w:trPr>
          <w:trHeight w:val="230"/>
        </w:trPr>
        <w:tc>
          <w:tcPr>
            <w:tcW w:w="980" w:type="dxa"/>
            <w:vAlign w:val="bottom"/>
          </w:tcPr>
          <w:p>
            <w:pPr>
              <w:spacing w:after="0"/>
              <w:rPr>
                <w:sz w:val="20"/>
                <w:szCs w:val="20"/>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2</w:t>
            </w:r>
          </w:p>
        </w:tc>
        <w:tc>
          <w:tcPr>
            <w:tcW w:w="2440" w:type="dxa"/>
            <w:vAlign w:val="bottom"/>
          </w:tcPr>
          <w:p>
            <w:pPr>
              <w:ind w:left="2140"/>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75"/>
              <w:spacing w:after="0"/>
              <w:rPr>
                <w:sz w:val="20"/>
                <w:szCs w:val="20"/>
                <w:color w:val="auto"/>
              </w:rPr>
            </w:pPr>
            <w:r>
              <w:rPr>
                <w:rFonts w:ascii="Arial" w:cs="Arial" w:eastAsia="Arial" w:hAnsi="Arial"/>
                <w:sz w:val="17"/>
                <w:szCs w:val="17"/>
                <w:color w:val="auto"/>
                <w:w w:val="87"/>
              </w:rPr>
              <w:t>Sale and Purchase of the Notes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Sale and Purchase of the Notes.</w:t>
            </w:r>
          </w:p>
        </w:tc>
        <w:tc>
          <w:tcPr>
            <w:tcW w:w="2440" w:type="dxa"/>
            <w:vAlign w:val="bottom"/>
          </w:tcPr>
          <w:p>
            <w:pPr>
              <w:ind w:left="2140"/>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2.02.</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Closing.</w:t>
            </w:r>
          </w:p>
        </w:tc>
        <w:tc>
          <w:tcPr>
            <w:tcW w:w="2440" w:type="dxa"/>
            <w:vAlign w:val="bottom"/>
          </w:tcPr>
          <w:p>
            <w:pPr>
              <w:ind w:left="2140"/>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2.03.</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Termination.</w:t>
            </w:r>
          </w:p>
        </w:tc>
        <w:tc>
          <w:tcPr>
            <w:tcW w:w="2440" w:type="dxa"/>
            <w:vAlign w:val="bottom"/>
          </w:tcPr>
          <w:p>
            <w:pPr>
              <w:ind w:left="214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21"/>
                <w:szCs w:val="21"/>
                <w:color w:val="auto"/>
              </w:rPr>
            </w:pPr>
          </w:p>
        </w:tc>
      </w:tr>
      <w:tr>
        <w:trPr>
          <w:trHeight w:val="230"/>
        </w:trPr>
        <w:tc>
          <w:tcPr>
            <w:tcW w:w="980" w:type="dxa"/>
            <w:vAlign w:val="bottom"/>
          </w:tcPr>
          <w:p>
            <w:pPr>
              <w:spacing w:after="0"/>
              <w:rPr>
                <w:sz w:val="20"/>
                <w:szCs w:val="20"/>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3</w:t>
            </w:r>
          </w:p>
        </w:tc>
        <w:tc>
          <w:tcPr>
            <w:tcW w:w="2440" w:type="dxa"/>
            <w:vAlign w:val="bottom"/>
          </w:tcPr>
          <w:p>
            <w:pPr>
              <w:ind w:left="214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75"/>
              <w:spacing w:after="0"/>
              <w:rPr>
                <w:sz w:val="20"/>
                <w:szCs w:val="20"/>
                <w:color w:val="auto"/>
              </w:rPr>
            </w:pPr>
            <w:r>
              <w:rPr>
                <w:rFonts w:ascii="Arial" w:cs="Arial" w:eastAsia="Arial" w:hAnsi="Arial"/>
                <w:sz w:val="17"/>
                <w:szCs w:val="17"/>
                <w:color w:val="auto"/>
                <w:w w:val="87"/>
              </w:rPr>
              <w:t>Representations and Warranties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Representations and Warranties of the Company.</w:t>
            </w:r>
          </w:p>
        </w:tc>
        <w:tc>
          <w:tcPr>
            <w:tcW w:w="2440" w:type="dxa"/>
            <w:vAlign w:val="bottom"/>
          </w:tcPr>
          <w:p>
            <w:pPr>
              <w:ind w:left="214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Representations and Warranties of the Purchaser.</w:t>
            </w:r>
          </w:p>
        </w:tc>
        <w:tc>
          <w:tcPr>
            <w:tcW w:w="2440" w:type="dxa"/>
            <w:vAlign w:val="bottom"/>
          </w:tcPr>
          <w:p>
            <w:pPr>
              <w:ind w:left="214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21"/>
                <w:szCs w:val="21"/>
                <w:color w:val="auto"/>
              </w:rPr>
            </w:pPr>
          </w:p>
        </w:tc>
      </w:tr>
      <w:tr>
        <w:trPr>
          <w:trHeight w:val="230"/>
        </w:trPr>
        <w:tc>
          <w:tcPr>
            <w:tcW w:w="980" w:type="dxa"/>
            <w:vAlign w:val="bottom"/>
          </w:tcPr>
          <w:p>
            <w:pPr>
              <w:spacing w:after="0"/>
              <w:rPr>
                <w:sz w:val="20"/>
                <w:szCs w:val="20"/>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4</w:t>
            </w:r>
          </w:p>
        </w:tc>
        <w:tc>
          <w:tcPr>
            <w:tcW w:w="2440" w:type="dxa"/>
            <w:vAlign w:val="bottom"/>
          </w:tcPr>
          <w:p>
            <w:pPr>
              <w:ind w:left="214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75"/>
              <w:spacing w:after="0"/>
              <w:rPr>
                <w:sz w:val="20"/>
                <w:szCs w:val="20"/>
                <w:color w:val="auto"/>
              </w:rPr>
            </w:pPr>
            <w:r>
              <w:rPr>
                <w:rFonts w:ascii="Arial" w:cs="Arial" w:eastAsia="Arial" w:hAnsi="Arial"/>
                <w:sz w:val="17"/>
                <w:szCs w:val="17"/>
                <w:color w:val="auto"/>
                <w:w w:val="92"/>
              </w:rPr>
              <w:t>Additional Agreements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Taking of Necessary Action.</w:t>
            </w:r>
          </w:p>
        </w:tc>
        <w:tc>
          <w:tcPr>
            <w:tcW w:w="2440" w:type="dxa"/>
            <w:vAlign w:val="bottom"/>
          </w:tcPr>
          <w:p>
            <w:pPr>
              <w:ind w:left="214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4.02.</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Restricted Period.</w:t>
            </w:r>
          </w:p>
        </w:tc>
        <w:tc>
          <w:tcPr>
            <w:tcW w:w="2440" w:type="dxa"/>
            <w:vAlign w:val="bottom"/>
          </w:tcPr>
          <w:p>
            <w:pPr>
              <w:ind w:left="214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4.03.</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Standstill.</w:t>
            </w:r>
          </w:p>
        </w:tc>
        <w:tc>
          <w:tcPr>
            <w:tcW w:w="2440" w:type="dxa"/>
            <w:vAlign w:val="bottom"/>
          </w:tcPr>
          <w:p>
            <w:pPr>
              <w:ind w:left="2140"/>
              <w:spacing w:after="0"/>
              <w:rPr>
                <w:sz w:val="20"/>
                <w:szCs w:val="20"/>
                <w:color w:val="auto"/>
              </w:rPr>
            </w:pPr>
            <w:r>
              <w:rPr>
                <w:rFonts w:ascii="Arial" w:cs="Arial" w:eastAsia="Arial" w:hAnsi="Arial"/>
                <w:sz w:val="17"/>
                <w:szCs w:val="17"/>
                <w:color w:val="auto"/>
              </w:rPr>
              <w:t>22</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4.04.</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Securities Laws.</w:t>
            </w:r>
          </w:p>
        </w:tc>
        <w:tc>
          <w:tcPr>
            <w:tcW w:w="2440" w:type="dxa"/>
            <w:vAlign w:val="bottom"/>
          </w:tcPr>
          <w:p>
            <w:pPr>
              <w:ind w:left="2140"/>
              <w:spacing w:after="0"/>
              <w:rPr>
                <w:sz w:val="20"/>
                <w:szCs w:val="20"/>
                <w:color w:val="auto"/>
              </w:rPr>
            </w:pPr>
            <w:r>
              <w:rPr>
                <w:rFonts w:ascii="Arial" w:cs="Arial" w:eastAsia="Arial" w:hAnsi="Arial"/>
                <w:sz w:val="17"/>
                <w:szCs w:val="17"/>
                <w:color w:val="auto"/>
              </w:rPr>
              <w:t>25</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Lost, Stolen, Destroyed or Mutilated Securities.</w:t>
            </w:r>
          </w:p>
        </w:tc>
        <w:tc>
          <w:tcPr>
            <w:tcW w:w="2440" w:type="dxa"/>
            <w:vAlign w:val="bottom"/>
          </w:tcPr>
          <w:p>
            <w:pPr>
              <w:ind w:left="2140"/>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4.06.</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Antitrust Approval.</w:t>
            </w:r>
          </w:p>
        </w:tc>
        <w:tc>
          <w:tcPr>
            <w:tcW w:w="2440" w:type="dxa"/>
            <w:vAlign w:val="bottom"/>
          </w:tcPr>
          <w:p>
            <w:pPr>
              <w:ind w:left="2140"/>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Certain Tax Matters.</w:t>
            </w:r>
          </w:p>
        </w:tc>
        <w:tc>
          <w:tcPr>
            <w:tcW w:w="2440" w:type="dxa"/>
            <w:vAlign w:val="bottom"/>
          </w:tcPr>
          <w:p>
            <w:pPr>
              <w:ind w:left="2140"/>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4.08.</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Confidentiality.</w:t>
            </w:r>
          </w:p>
        </w:tc>
        <w:tc>
          <w:tcPr>
            <w:tcW w:w="2440" w:type="dxa"/>
            <w:vAlign w:val="bottom"/>
          </w:tcPr>
          <w:p>
            <w:pPr>
              <w:ind w:left="2140"/>
              <w:spacing w:after="0"/>
              <w:rPr>
                <w:sz w:val="20"/>
                <w:szCs w:val="20"/>
                <w:color w:val="auto"/>
              </w:rPr>
            </w:pPr>
            <w:r>
              <w:rPr>
                <w:rFonts w:ascii="Arial" w:cs="Arial" w:eastAsia="Arial" w:hAnsi="Arial"/>
                <w:sz w:val="17"/>
                <w:szCs w:val="17"/>
                <w:color w:val="auto"/>
              </w:rPr>
              <w:t>27</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4.09.</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NASDAQ Approval.</w:t>
            </w:r>
          </w:p>
        </w:tc>
        <w:tc>
          <w:tcPr>
            <w:tcW w:w="2440" w:type="dxa"/>
            <w:vAlign w:val="bottom"/>
          </w:tcPr>
          <w:p>
            <w:pPr>
              <w:ind w:left="214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i w:val="1"/>
                <w:iCs w:val="1"/>
                <w:color w:val="auto"/>
              </w:rPr>
              <w:t>Authorized and Reserved Company Common Stock.</w:t>
            </w:r>
          </w:p>
        </w:tc>
        <w:tc>
          <w:tcPr>
            <w:tcW w:w="2440" w:type="dxa"/>
            <w:vAlign w:val="bottom"/>
          </w:tcPr>
          <w:p>
            <w:pPr>
              <w:ind w:left="214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4.11.</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Sole Investor.</w:t>
            </w:r>
          </w:p>
        </w:tc>
        <w:tc>
          <w:tcPr>
            <w:tcW w:w="2440" w:type="dxa"/>
            <w:vAlign w:val="bottom"/>
          </w:tcPr>
          <w:p>
            <w:pPr>
              <w:ind w:left="214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1"/>
                <w:szCs w:val="21"/>
                <w:color w:val="auto"/>
              </w:rPr>
            </w:pPr>
          </w:p>
        </w:tc>
      </w:tr>
      <w:tr>
        <w:trPr>
          <w:trHeight w:val="230"/>
        </w:trPr>
        <w:tc>
          <w:tcPr>
            <w:tcW w:w="980" w:type="dxa"/>
            <w:vAlign w:val="bottom"/>
          </w:tcPr>
          <w:p>
            <w:pPr>
              <w:spacing w:after="0"/>
              <w:rPr>
                <w:sz w:val="20"/>
                <w:szCs w:val="20"/>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5</w:t>
            </w:r>
          </w:p>
        </w:tc>
        <w:tc>
          <w:tcPr>
            <w:tcW w:w="2440" w:type="dxa"/>
            <w:vAlign w:val="bottom"/>
          </w:tcPr>
          <w:p>
            <w:pPr>
              <w:ind w:left="214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1"/>
              </w:rPr>
              <w:t>Registration Rights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5.01.</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Registration Statement.</w:t>
            </w:r>
          </w:p>
        </w:tc>
        <w:tc>
          <w:tcPr>
            <w:tcW w:w="2440" w:type="dxa"/>
            <w:vAlign w:val="bottom"/>
          </w:tcPr>
          <w:p>
            <w:pPr>
              <w:ind w:left="2140"/>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i w:val="1"/>
                <w:iCs w:val="1"/>
                <w:color w:val="auto"/>
              </w:rPr>
              <w:t>Registration Limitations and Obligations.</w:t>
            </w:r>
          </w:p>
        </w:tc>
        <w:tc>
          <w:tcPr>
            <w:tcW w:w="2440" w:type="dxa"/>
            <w:vAlign w:val="bottom"/>
          </w:tcPr>
          <w:p>
            <w:pPr>
              <w:ind w:left="2140"/>
              <w:spacing w:after="0"/>
              <w:rPr>
                <w:sz w:val="20"/>
                <w:szCs w:val="20"/>
                <w:color w:val="auto"/>
              </w:rPr>
            </w:pPr>
            <w:r>
              <w:rPr>
                <w:rFonts w:ascii="Arial" w:cs="Arial" w:eastAsia="Arial" w:hAnsi="Arial"/>
                <w:sz w:val="17"/>
                <w:szCs w:val="17"/>
                <w:color w:val="auto"/>
              </w:rPr>
              <w:t>30</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5.03.</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Registration Procedures.</w:t>
            </w:r>
          </w:p>
        </w:tc>
        <w:tc>
          <w:tcPr>
            <w:tcW w:w="2440" w:type="dxa"/>
            <w:vAlign w:val="bottom"/>
          </w:tcPr>
          <w:p>
            <w:pPr>
              <w:ind w:left="2140"/>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5.04.</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Expenses.</w:t>
            </w:r>
          </w:p>
        </w:tc>
        <w:tc>
          <w:tcPr>
            <w:tcW w:w="2440" w:type="dxa"/>
            <w:vAlign w:val="bottom"/>
          </w:tcPr>
          <w:p>
            <w:pPr>
              <w:ind w:left="2140"/>
              <w:spacing w:after="0"/>
              <w:rPr>
                <w:sz w:val="20"/>
                <w:szCs w:val="20"/>
                <w:color w:val="auto"/>
              </w:rPr>
            </w:pPr>
            <w:r>
              <w:rPr>
                <w:rFonts w:ascii="Arial" w:cs="Arial" w:eastAsia="Arial" w:hAnsi="Arial"/>
                <w:sz w:val="17"/>
                <w:szCs w:val="17"/>
                <w:color w:val="auto"/>
              </w:rPr>
              <w:t>35</w:t>
            </w:r>
          </w:p>
        </w:tc>
        <w:tc>
          <w:tcPr>
            <w:tcW w:w="320" w:type="dxa"/>
            <w:vAlign w:val="bottom"/>
          </w:tcPr>
          <w:p>
            <w:pPr>
              <w:spacing w:after="0"/>
              <w:rPr>
                <w:sz w:val="21"/>
                <w:szCs w:val="21"/>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5.05.</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Registration Indemnification.</w:t>
            </w:r>
          </w:p>
        </w:tc>
        <w:tc>
          <w:tcPr>
            <w:tcW w:w="2440" w:type="dxa"/>
            <w:vAlign w:val="bottom"/>
          </w:tcPr>
          <w:p>
            <w:pPr>
              <w:ind w:left="2140"/>
              <w:spacing w:after="0"/>
              <w:rPr>
                <w:sz w:val="20"/>
                <w:szCs w:val="20"/>
                <w:color w:val="auto"/>
              </w:rPr>
            </w:pPr>
            <w:r>
              <w:rPr>
                <w:rFonts w:ascii="Arial" w:cs="Arial" w:eastAsia="Arial" w:hAnsi="Arial"/>
                <w:sz w:val="17"/>
                <w:szCs w:val="17"/>
                <w:color w:val="auto"/>
              </w:rPr>
              <w:t>35</w:t>
            </w:r>
          </w:p>
        </w:tc>
        <w:tc>
          <w:tcPr>
            <w:tcW w:w="320" w:type="dxa"/>
            <w:vAlign w:val="bottom"/>
          </w:tcPr>
          <w:p>
            <w:pPr>
              <w:spacing w:after="0"/>
              <w:rPr>
                <w:sz w:val="21"/>
                <w:szCs w:val="21"/>
                <w:color w:val="auto"/>
              </w:rPr>
            </w:pPr>
          </w:p>
        </w:tc>
      </w:tr>
      <w:tr>
        <w:trPr>
          <w:trHeight w:val="244"/>
        </w:trPr>
        <w:tc>
          <w:tcPr>
            <w:tcW w:w="8460" w:type="dxa"/>
            <w:vAlign w:val="bottom"/>
            <w:gridSpan w:val="2"/>
          </w:tcPr>
          <w:p>
            <w:pPr>
              <w:spacing w:after="0"/>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Facilitation of Sales Pursuant to Rule 144.</w:t>
            </w:r>
          </w:p>
        </w:tc>
        <w:tc>
          <w:tcPr>
            <w:tcW w:w="2440" w:type="dxa"/>
            <w:vAlign w:val="bottom"/>
          </w:tcPr>
          <w:p>
            <w:pPr>
              <w:ind w:left="2140"/>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21"/>
                <w:szCs w:val="21"/>
                <w:color w:val="auto"/>
              </w:rPr>
            </w:pPr>
          </w:p>
        </w:tc>
      </w:tr>
      <w:tr>
        <w:trPr>
          <w:trHeight w:val="230"/>
        </w:trPr>
        <w:tc>
          <w:tcPr>
            <w:tcW w:w="980" w:type="dxa"/>
            <w:vAlign w:val="bottom"/>
          </w:tcPr>
          <w:p>
            <w:pPr>
              <w:spacing w:after="0"/>
              <w:rPr>
                <w:sz w:val="20"/>
                <w:szCs w:val="20"/>
                <w:color w:val="auto"/>
              </w:rPr>
            </w:pPr>
          </w:p>
        </w:tc>
        <w:tc>
          <w:tcPr>
            <w:tcW w:w="7480" w:type="dxa"/>
            <w:vAlign w:val="bottom"/>
          </w:tcPr>
          <w:p>
            <w:pPr>
              <w:jc w:val="center"/>
              <w:ind w:left="955"/>
              <w:spacing w:after="0"/>
              <w:rPr>
                <w:sz w:val="20"/>
                <w:szCs w:val="20"/>
                <w:color w:val="auto"/>
              </w:rPr>
            </w:pPr>
            <w:r>
              <w:rPr>
                <w:rFonts w:ascii="Arial" w:cs="Arial" w:eastAsia="Arial" w:hAnsi="Arial"/>
                <w:sz w:val="17"/>
                <w:szCs w:val="17"/>
                <w:color w:val="auto"/>
                <w:w w:val="97"/>
              </w:rPr>
              <w:t>ARTICLE 6</w:t>
            </w:r>
          </w:p>
        </w:tc>
        <w:tc>
          <w:tcPr>
            <w:tcW w:w="2440" w:type="dxa"/>
            <w:vAlign w:val="bottom"/>
          </w:tcPr>
          <w:p>
            <w:pPr>
              <w:ind w:left="2140"/>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20"/>
                <w:szCs w:val="20"/>
                <w:color w:val="auto"/>
              </w:rPr>
            </w:pPr>
          </w:p>
        </w:tc>
      </w:tr>
      <w:tr>
        <w:trPr>
          <w:trHeight w:val="215"/>
        </w:trPr>
        <w:tc>
          <w:tcPr>
            <w:tcW w:w="980" w:type="dxa"/>
            <w:vAlign w:val="bottom"/>
          </w:tcPr>
          <w:p>
            <w:pPr>
              <w:spacing w:after="0"/>
              <w:rPr>
                <w:sz w:val="18"/>
                <w:szCs w:val="18"/>
                <w:color w:val="auto"/>
              </w:rPr>
            </w:pPr>
          </w:p>
        </w:tc>
        <w:tc>
          <w:tcPr>
            <w:tcW w:w="7480" w:type="dxa"/>
            <w:vAlign w:val="bottom"/>
          </w:tcPr>
          <w:p>
            <w:pPr>
              <w:jc w:val="center"/>
              <w:ind w:left="975"/>
              <w:spacing w:after="0"/>
              <w:rPr>
                <w:sz w:val="20"/>
                <w:szCs w:val="20"/>
                <w:color w:val="auto"/>
              </w:rPr>
            </w:pPr>
            <w:r>
              <w:rPr>
                <w:rFonts w:ascii="Arial" w:cs="Arial" w:eastAsia="Arial" w:hAnsi="Arial"/>
                <w:sz w:val="17"/>
                <w:szCs w:val="17"/>
                <w:color w:val="auto"/>
                <w:w w:val="90"/>
              </w:rPr>
              <w:t>Miscellaneous</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6.01.</w:t>
            </w:r>
          </w:p>
        </w:tc>
        <w:tc>
          <w:tcPr>
            <w:tcW w:w="7480" w:type="dxa"/>
            <w:vAlign w:val="bottom"/>
          </w:tcPr>
          <w:p>
            <w:pPr>
              <w:ind w:left="80"/>
              <w:spacing w:after="0"/>
              <w:rPr>
                <w:sz w:val="20"/>
                <w:szCs w:val="20"/>
                <w:color w:val="auto"/>
              </w:rPr>
            </w:pPr>
            <w:r>
              <w:rPr>
                <w:rFonts w:ascii="Arial" w:cs="Arial" w:eastAsia="Arial" w:hAnsi="Arial"/>
                <w:sz w:val="17"/>
                <w:szCs w:val="17"/>
                <w:i w:val="1"/>
                <w:iCs w:val="1"/>
                <w:color w:val="auto"/>
              </w:rPr>
              <w:t>Survival of Representations and Warranties.</w:t>
            </w:r>
          </w:p>
        </w:tc>
        <w:tc>
          <w:tcPr>
            <w:tcW w:w="2440" w:type="dxa"/>
            <w:vAlign w:val="bottom"/>
          </w:tcPr>
          <w:p>
            <w:pPr>
              <w:ind w:left="2140"/>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20"/>
          </w:cols>
          <w:pgMar w:left="360" w:top="1148" w:right="319" w:bottom="1440" w:gutter="0" w:footer="0" w:header="0"/>
        </w:sectPr>
      </w:pPr>
    </w:p>
    <w:bookmarkStart w:id="130" w:name="page131"/>
    <w:bookmarkEnd w:id="130"/>
    <w:tbl>
      <w:tblPr>
        <w:tblLayout w:type="fixed"/>
        <w:tblInd w:w="60" w:type="dxa"/>
        <w:tblCellMar>
          <w:top w:w="0" w:type="dxa"/>
          <w:left w:w="0" w:type="dxa"/>
          <w:bottom w:w="0" w:type="dxa"/>
          <w:right w:w="0" w:type="dxa"/>
        </w:tblCellMar>
      </w:tblPr>
      <w:tr>
        <w:trPr>
          <w:trHeight w:val="215"/>
        </w:trPr>
        <w:tc>
          <w:tcPr>
            <w:tcW w:w="980" w:type="dxa"/>
            <w:vAlign w:val="bottom"/>
          </w:tcPr>
          <w:p>
            <w:pPr>
              <w:spacing w:after="0"/>
              <w:rPr>
                <w:sz w:val="20"/>
                <w:szCs w:val="20"/>
                <w:color w:val="auto"/>
              </w:rPr>
            </w:pPr>
            <w:r>
              <w:rPr>
                <w:rFonts w:ascii="Arial" w:cs="Arial" w:eastAsia="Arial" w:hAnsi="Arial"/>
                <w:sz w:val="17"/>
                <w:szCs w:val="17"/>
                <w:color w:val="auto"/>
                <w:w w:val="96"/>
              </w:rPr>
              <w:t>Section 6.02.</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Notices.</w:t>
            </w:r>
          </w:p>
        </w:tc>
        <w:tc>
          <w:tcPr>
            <w:tcW w:w="29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4"/>
        </w:trPr>
        <w:tc>
          <w:tcPr>
            <w:tcW w:w="7800" w:type="dxa"/>
            <w:vAlign w:val="bottom"/>
            <w:gridSpan w:val="2"/>
          </w:tcPr>
          <w:p>
            <w:pPr>
              <w:spacing w:after="0"/>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Entire Agreement; Third Party Beneficiaries; Amendment.</w:t>
            </w:r>
          </w:p>
        </w:tc>
        <w:tc>
          <w:tcPr>
            <w:tcW w:w="29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6.04.</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Counterparts.</w:t>
            </w:r>
          </w:p>
        </w:tc>
        <w:tc>
          <w:tcPr>
            <w:tcW w:w="29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6.05.</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Public Announcements.</w:t>
            </w:r>
          </w:p>
        </w:tc>
        <w:tc>
          <w:tcPr>
            <w:tcW w:w="29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6.06.</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Expenses.</w:t>
            </w:r>
          </w:p>
        </w:tc>
        <w:tc>
          <w:tcPr>
            <w:tcW w:w="29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4"/>
        </w:trPr>
        <w:tc>
          <w:tcPr>
            <w:tcW w:w="7800" w:type="dxa"/>
            <w:vAlign w:val="bottom"/>
            <w:gridSpan w:val="2"/>
          </w:tcPr>
          <w:p>
            <w:pPr>
              <w:spacing w:after="0"/>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Successors and Assigns.</w:t>
            </w:r>
          </w:p>
        </w:tc>
        <w:tc>
          <w:tcPr>
            <w:tcW w:w="29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4"/>
        </w:trPr>
        <w:tc>
          <w:tcPr>
            <w:tcW w:w="7800" w:type="dxa"/>
            <w:vAlign w:val="bottom"/>
            <w:gridSpan w:val="2"/>
          </w:tcPr>
          <w:p>
            <w:pPr>
              <w:spacing w:after="0"/>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i w:val="1"/>
                <w:iCs w:val="1"/>
                <w:color w:val="auto"/>
              </w:rPr>
              <w:t>Governing Law; Jurisdiction; Waiver of Jury Trial.</w:t>
            </w:r>
          </w:p>
        </w:tc>
        <w:tc>
          <w:tcPr>
            <w:tcW w:w="29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6.09.</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Severability.</w:t>
            </w:r>
          </w:p>
        </w:tc>
        <w:tc>
          <w:tcPr>
            <w:tcW w:w="29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6.10.</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Specific Performance.</w:t>
            </w:r>
          </w:p>
        </w:tc>
        <w:tc>
          <w:tcPr>
            <w:tcW w:w="29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6.11.</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Headings.</w:t>
            </w:r>
          </w:p>
        </w:tc>
        <w:tc>
          <w:tcPr>
            <w:tcW w:w="29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44"/>
        </w:trPr>
        <w:tc>
          <w:tcPr>
            <w:tcW w:w="980" w:type="dxa"/>
            <w:vAlign w:val="bottom"/>
          </w:tcPr>
          <w:p>
            <w:pPr>
              <w:spacing w:after="0"/>
              <w:rPr>
                <w:sz w:val="20"/>
                <w:szCs w:val="20"/>
                <w:color w:val="auto"/>
              </w:rPr>
            </w:pPr>
            <w:r>
              <w:rPr>
                <w:rFonts w:ascii="Arial" w:cs="Arial" w:eastAsia="Arial" w:hAnsi="Arial"/>
                <w:sz w:val="17"/>
                <w:szCs w:val="17"/>
                <w:color w:val="auto"/>
                <w:w w:val="96"/>
              </w:rPr>
              <w:t>Section 6.12.</w:t>
            </w:r>
          </w:p>
        </w:tc>
        <w:tc>
          <w:tcPr>
            <w:tcW w:w="6820" w:type="dxa"/>
            <w:vAlign w:val="bottom"/>
          </w:tcPr>
          <w:p>
            <w:pPr>
              <w:ind w:left="80"/>
              <w:spacing w:after="0"/>
              <w:rPr>
                <w:sz w:val="20"/>
                <w:szCs w:val="20"/>
                <w:color w:val="auto"/>
              </w:rPr>
            </w:pPr>
            <w:r>
              <w:rPr>
                <w:rFonts w:ascii="Arial" w:cs="Arial" w:eastAsia="Arial" w:hAnsi="Arial"/>
                <w:sz w:val="17"/>
                <w:szCs w:val="17"/>
                <w:i w:val="1"/>
                <w:iCs w:val="1"/>
                <w:color w:val="auto"/>
              </w:rPr>
              <w:t>Non-Recourse.</w:t>
            </w:r>
          </w:p>
        </w:tc>
        <w:tc>
          <w:tcPr>
            <w:tcW w:w="2960" w:type="dxa"/>
            <w:vAlign w:val="bottom"/>
          </w:tcPr>
          <w:p>
            <w:pPr>
              <w:jc w:val="right"/>
              <w:spacing w:after="0"/>
              <w:rPr>
                <w:sz w:val="20"/>
                <w:szCs w:val="20"/>
                <w:color w:val="auto"/>
              </w:rPr>
            </w:pPr>
            <w:r>
              <w:rPr>
                <w:rFonts w:ascii="Arial" w:cs="Arial" w:eastAsia="Arial" w:hAnsi="Arial"/>
                <w:sz w:val="17"/>
                <w:szCs w:val="17"/>
                <w:color w:val="auto"/>
              </w:rPr>
              <w:t>43</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Exhibit A: Form of Note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B: Form of Joinder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Schedule A: Purchaser Beneficial Ownership Table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Schedule B: List of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20"/>
          </w:cols>
          <w:pgMar w:left="300" w:top="1194" w:right="77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7"/>
          <w:szCs w:val="17"/>
          <w:b w:val="1"/>
          <w:bCs w:val="1"/>
          <w:color w:val="auto"/>
        </w:rPr>
        <w:t>INVESTMENT AGREEMENT</w:t>
      </w:r>
    </w:p>
    <w:p>
      <w:pPr>
        <w:spacing w:after="0" w:line="176" w:lineRule="exact"/>
        <w:rPr>
          <w:sz w:val="20"/>
          <w:szCs w:val="20"/>
          <w:color w:val="auto"/>
        </w:rPr>
      </w:pPr>
    </w:p>
    <w:p>
      <w:pPr>
        <w:jc w:val="both"/>
        <w:ind w:right="220" w:firstLine="509"/>
        <w:spacing w:after="0" w:line="278" w:lineRule="auto"/>
        <w:rPr>
          <w:sz w:val="20"/>
          <w:szCs w:val="20"/>
          <w:color w:val="auto"/>
        </w:rPr>
      </w:pPr>
      <w:r>
        <w:rPr>
          <w:rFonts w:ascii="Arial" w:cs="Arial" w:eastAsia="Arial" w:hAnsi="Arial"/>
          <w:sz w:val="16"/>
          <w:szCs w:val="16"/>
          <w:color w:val="110E13"/>
        </w:rPr>
        <w:t>This INVESTMENT AGREEMENT (this “</w:t>
      </w:r>
      <w:r>
        <w:rPr>
          <w:rFonts w:ascii="Arial" w:cs="Arial" w:eastAsia="Arial" w:hAnsi="Arial"/>
          <w:sz w:val="16"/>
          <w:szCs w:val="16"/>
          <w:b w:val="1"/>
          <w:bCs w:val="1"/>
          <w:color w:val="110E13"/>
        </w:rPr>
        <w:t>Agreement</w:t>
      </w:r>
      <w:r>
        <w:rPr>
          <w:rFonts w:ascii="Arial" w:cs="Arial" w:eastAsia="Arial" w:hAnsi="Arial"/>
          <w:sz w:val="16"/>
          <w:szCs w:val="16"/>
          <w:color w:val="110E13"/>
        </w:rPr>
        <w:t>”)</w:t>
      </w:r>
      <w:r>
        <w:rPr>
          <w:rFonts w:ascii="Arial" w:cs="Arial" w:eastAsia="Arial" w:hAnsi="Arial"/>
          <w:sz w:val="16"/>
          <w:szCs w:val="16"/>
          <w:b w:val="1"/>
          <w:bCs w:val="1"/>
          <w:color w:val="28282A"/>
        </w:rPr>
        <w:t>,</w:t>
      </w:r>
      <w:r>
        <w:rPr>
          <w:rFonts w:ascii="Arial" w:cs="Arial" w:eastAsia="Arial" w:hAnsi="Arial"/>
          <w:sz w:val="16"/>
          <w:szCs w:val="16"/>
          <w:color w:val="110E13"/>
        </w:rPr>
        <w:t xml:space="preserve"> dated as of </w:t>
      </w:r>
      <w:r>
        <w:rPr>
          <w:rFonts w:ascii="Arial" w:cs="Arial" w:eastAsia="Arial" w:hAnsi="Arial"/>
          <w:sz w:val="16"/>
          <w:szCs w:val="16"/>
          <w:color w:val="000000"/>
        </w:rPr>
        <w:t>July 6, 2021</w:t>
      </w:r>
      <w:r>
        <w:rPr>
          <w:rFonts w:ascii="Arial" w:cs="Arial" w:eastAsia="Arial" w:hAnsi="Arial"/>
          <w:sz w:val="16"/>
          <w:szCs w:val="16"/>
          <w:color w:val="28282A"/>
        </w:rPr>
        <w:t>,</w:t>
      </w:r>
      <w:r>
        <w:rPr>
          <w:rFonts w:ascii="Arial" w:cs="Arial" w:eastAsia="Arial" w:hAnsi="Arial"/>
          <w:sz w:val="16"/>
          <w:szCs w:val="16"/>
          <w:color w:val="110E13"/>
        </w:rPr>
        <w:t xml:space="preserve"> is by and among Eos Energy Enterprises, Inc.</w:t>
      </w:r>
      <w:r>
        <w:rPr>
          <w:rFonts w:ascii="Arial" w:cs="Arial" w:eastAsia="Arial" w:hAnsi="Arial"/>
          <w:sz w:val="16"/>
          <w:szCs w:val="16"/>
          <w:color w:val="28282A"/>
        </w:rPr>
        <w:t>,</w:t>
      </w:r>
      <w:r>
        <w:rPr>
          <w:rFonts w:ascii="Arial" w:cs="Arial" w:eastAsia="Arial" w:hAnsi="Arial"/>
          <w:sz w:val="16"/>
          <w:szCs w:val="16"/>
          <w:color w:val="110E13"/>
        </w:rPr>
        <w:t xml:space="preserve"> a Delaware corporation (together with any successor or assign pursuant to </w:t>
      </w:r>
      <w:r>
        <w:rPr>
          <w:rFonts w:ascii="Arial" w:cs="Arial" w:eastAsia="Arial" w:hAnsi="Arial"/>
          <w:sz w:val="16"/>
          <w:szCs w:val="16"/>
          <w:color w:val="000000"/>
        </w:rPr>
        <w:t>Section 6.07</w:t>
      </w:r>
      <w:r>
        <w:rPr>
          <w:rFonts w:ascii="Arial" w:cs="Arial" w:eastAsia="Arial" w:hAnsi="Arial"/>
          <w:sz w:val="16"/>
          <w:szCs w:val="16"/>
          <w:color w:val="28282A"/>
        </w:rPr>
        <w:t>,</w:t>
      </w:r>
      <w:r>
        <w:rPr>
          <w:rFonts w:ascii="Arial" w:cs="Arial" w:eastAsia="Arial" w:hAnsi="Arial"/>
          <w:sz w:val="16"/>
          <w:szCs w:val="16"/>
          <w:color w:val="110E13"/>
        </w:rPr>
        <w:t xml:space="preserve"> the </w:t>
      </w:r>
      <w:r>
        <w:rPr>
          <w:rFonts w:ascii="Arial" w:cs="Arial" w:eastAsia="Arial" w:hAnsi="Arial"/>
          <w:sz w:val="16"/>
          <w:szCs w:val="16"/>
          <w:color w:val="28282A"/>
        </w:rPr>
        <w:t>“</w:t>
      </w:r>
      <w:r>
        <w:rPr>
          <w:rFonts w:ascii="Arial" w:cs="Arial" w:eastAsia="Arial" w:hAnsi="Arial"/>
          <w:sz w:val="16"/>
          <w:szCs w:val="16"/>
          <w:b w:val="1"/>
          <w:bCs w:val="1"/>
          <w:color w:val="110E13"/>
        </w:rPr>
        <w:t>Company</w:t>
      </w:r>
      <w:r>
        <w:rPr>
          <w:rFonts w:ascii="Arial" w:cs="Arial" w:eastAsia="Arial" w:hAnsi="Arial"/>
          <w:sz w:val="16"/>
          <w:szCs w:val="16"/>
          <w:color w:val="110E13"/>
        </w:rPr>
        <w:t>”)</w:t>
      </w:r>
      <w:r>
        <w:rPr>
          <w:rFonts w:ascii="Arial" w:cs="Arial" w:eastAsia="Arial" w:hAnsi="Arial"/>
          <w:sz w:val="16"/>
          <w:szCs w:val="16"/>
          <w:b w:val="1"/>
          <w:bCs w:val="1"/>
          <w:color w:val="28282A"/>
        </w:rPr>
        <w:t>,</w:t>
      </w:r>
      <w:r>
        <w:rPr>
          <w:rFonts w:ascii="Arial" w:cs="Arial" w:eastAsia="Arial" w:hAnsi="Arial"/>
          <w:sz w:val="16"/>
          <w:szCs w:val="16"/>
          <w:color w:val="110E13"/>
        </w:rPr>
        <w:t xml:space="preserve"> and </w:t>
      </w:r>
      <w:r>
        <w:rPr>
          <w:rFonts w:ascii="Arial" w:cs="Arial" w:eastAsia="Arial" w:hAnsi="Arial"/>
          <w:sz w:val="16"/>
          <w:szCs w:val="16"/>
          <w:color w:val="000000"/>
        </w:rPr>
        <w:t>Spring Creek Capital, LLC</w:t>
      </w:r>
      <w:r>
        <w:rPr>
          <w:rFonts w:ascii="Arial" w:cs="Arial" w:eastAsia="Arial" w:hAnsi="Arial"/>
          <w:sz w:val="16"/>
          <w:szCs w:val="16"/>
          <w:color w:val="28282A"/>
        </w:rPr>
        <w:t>,</w:t>
      </w:r>
      <w:r>
        <w:rPr>
          <w:rFonts w:ascii="Arial" w:cs="Arial" w:eastAsia="Arial" w:hAnsi="Arial"/>
          <w:sz w:val="16"/>
          <w:szCs w:val="16"/>
          <w:color w:val="110E13"/>
        </w:rPr>
        <w:t xml:space="preserve"> a Delaware limited liability company (together with its successors and any permitted </w:t>
      </w:r>
      <w:r>
        <w:rPr>
          <w:rFonts w:ascii="Arial" w:cs="Arial" w:eastAsia="Arial" w:hAnsi="Arial"/>
          <w:sz w:val="16"/>
          <w:szCs w:val="16"/>
          <w:color w:val="000000"/>
        </w:rPr>
        <w:t>transferee</w:t>
      </w:r>
      <w:r>
        <w:rPr>
          <w:rFonts w:ascii="Arial" w:cs="Arial" w:eastAsia="Arial" w:hAnsi="Arial"/>
          <w:sz w:val="16"/>
          <w:szCs w:val="16"/>
          <w:color w:val="110E13"/>
        </w:rPr>
        <w:t xml:space="preserve"> that becomes a Purchaser party hereto in accordance with </w:t>
      </w:r>
      <w:r>
        <w:rPr>
          <w:rFonts w:ascii="Arial" w:cs="Arial" w:eastAsia="Arial" w:hAnsi="Arial"/>
          <w:sz w:val="16"/>
          <w:szCs w:val="16"/>
          <w:color w:val="000000"/>
        </w:rPr>
        <w:t>Section 4.02</w:t>
      </w:r>
      <w:r>
        <w:rPr>
          <w:rFonts w:ascii="Arial" w:cs="Arial" w:eastAsia="Arial" w:hAnsi="Arial"/>
          <w:sz w:val="16"/>
          <w:szCs w:val="16"/>
          <w:color w:val="110E13"/>
        </w:rPr>
        <w:t xml:space="preserve"> and </w:t>
      </w:r>
      <w:r>
        <w:rPr>
          <w:rFonts w:ascii="Arial" w:cs="Arial" w:eastAsia="Arial" w:hAnsi="Arial"/>
          <w:sz w:val="16"/>
          <w:szCs w:val="16"/>
          <w:color w:val="000000"/>
        </w:rPr>
        <w:t>Section 6.07</w:t>
      </w:r>
      <w:r>
        <w:rPr>
          <w:rFonts w:ascii="Arial" w:cs="Arial" w:eastAsia="Arial" w:hAnsi="Arial"/>
          <w:sz w:val="16"/>
          <w:szCs w:val="16"/>
          <w:color w:val="28282A"/>
        </w:rPr>
        <w:t>,</w:t>
      </w:r>
      <w:r>
        <w:rPr>
          <w:rFonts w:ascii="Arial" w:cs="Arial" w:eastAsia="Arial" w:hAnsi="Arial"/>
          <w:sz w:val="16"/>
          <w:szCs w:val="16"/>
          <w:color w:val="110E13"/>
        </w:rPr>
        <w:t xml:space="preserve"> the </w:t>
      </w:r>
      <w:r>
        <w:rPr>
          <w:rFonts w:ascii="Arial" w:cs="Arial" w:eastAsia="Arial" w:hAnsi="Arial"/>
          <w:sz w:val="16"/>
          <w:szCs w:val="16"/>
          <w:color w:val="28282A"/>
        </w:rPr>
        <w:t>“</w:t>
      </w:r>
      <w:r>
        <w:rPr>
          <w:rFonts w:ascii="Arial" w:cs="Arial" w:eastAsia="Arial" w:hAnsi="Arial"/>
          <w:sz w:val="16"/>
          <w:szCs w:val="16"/>
          <w:b w:val="1"/>
          <w:bCs w:val="1"/>
          <w:color w:val="110E13"/>
        </w:rPr>
        <w:t>Purchaser</w:t>
      </w:r>
      <w:r>
        <w:rPr>
          <w:rFonts w:ascii="Arial" w:cs="Arial" w:eastAsia="Arial" w:hAnsi="Arial"/>
          <w:sz w:val="16"/>
          <w:szCs w:val="16"/>
          <w:color w:val="110E13"/>
        </w:rPr>
        <w:t xml:space="preserve">”). Capitalized terms not otherwise defined where used shall have the meanings ascribed thereto in </w:t>
      </w:r>
      <w:r>
        <w:rPr>
          <w:rFonts w:ascii="Arial" w:cs="Arial" w:eastAsia="Arial" w:hAnsi="Arial"/>
          <w:sz w:val="16"/>
          <w:szCs w:val="16"/>
          <w:color w:val="000000"/>
        </w:rPr>
        <w:t>Article 1</w:t>
      </w:r>
      <w:r>
        <w:rPr>
          <w:rFonts w:ascii="Arial" w:cs="Arial" w:eastAsia="Arial" w:hAnsi="Arial"/>
          <w:sz w:val="16"/>
          <w:szCs w:val="16"/>
          <w:color w:val="110E13"/>
        </w:rPr>
        <w:t>.</w:t>
      </w:r>
    </w:p>
    <w:p>
      <w:pPr>
        <w:spacing w:after="0" w:line="128" w:lineRule="exact"/>
        <w:rPr>
          <w:sz w:val="20"/>
          <w:szCs w:val="20"/>
          <w:color w:val="auto"/>
        </w:rPr>
      </w:pPr>
    </w:p>
    <w:p>
      <w:pPr>
        <w:ind w:right="200" w:firstLine="509"/>
        <w:spacing w:after="0" w:line="310" w:lineRule="auto"/>
        <w:rPr>
          <w:sz w:val="20"/>
          <w:szCs w:val="20"/>
          <w:color w:val="auto"/>
        </w:rPr>
      </w:pPr>
      <w:r>
        <w:rPr>
          <w:rFonts w:ascii="Arial" w:cs="Arial" w:eastAsia="Arial" w:hAnsi="Arial"/>
          <w:sz w:val="15"/>
          <w:szCs w:val="15"/>
          <w:color w:val="110E13"/>
        </w:rPr>
        <w:t>WHEREAS</w:t>
      </w:r>
      <w:r>
        <w:rPr>
          <w:rFonts w:ascii="Arial" w:cs="Arial" w:eastAsia="Arial" w:hAnsi="Arial"/>
          <w:sz w:val="15"/>
          <w:szCs w:val="15"/>
          <w:color w:val="28282A"/>
        </w:rPr>
        <w:t>,</w:t>
      </w:r>
      <w:r>
        <w:rPr>
          <w:rFonts w:ascii="Arial" w:cs="Arial" w:eastAsia="Arial" w:hAnsi="Arial"/>
          <w:sz w:val="15"/>
          <w:szCs w:val="15"/>
          <w:color w:val="110E13"/>
        </w:rPr>
        <w:t xml:space="preserve"> the Purchaser desires to purchase from the Company</w:t>
      </w:r>
      <w:r>
        <w:rPr>
          <w:rFonts w:ascii="Arial" w:cs="Arial" w:eastAsia="Arial" w:hAnsi="Arial"/>
          <w:sz w:val="15"/>
          <w:szCs w:val="15"/>
          <w:color w:val="28282A"/>
        </w:rPr>
        <w:t>,</w:t>
      </w:r>
      <w:r>
        <w:rPr>
          <w:rFonts w:ascii="Arial" w:cs="Arial" w:eastAsia="Arial" w:hAnsi="Arial"/>
          <w:sz w:val="15"/>
          <w:szCs w:val="15"/>
          <w:color w:val="110E13"/>
        </w:rPr>
        <w:t xml:space="preserve"> and the Company desires to issue and sell to the Purchaser</w:t>
      </w:r>
      <w:r>
        <w:rPr>
          <w:rFonts w:ascii="Arial" w:cs="Arial" w:eastAsia="Arial" w:hAnsi="Arial"/>
          <w:sz w:val="15"/>
          <w:szCs w:val="15"/>
          <w:color w:val="28282A"/>
        </w:rPr>
        <w:t>,</w:t>
      </w:r>
      <w:r>
        <w:rPr>
          <w:rFonts w:ascii="Arial" w:cs="Arial" w:eastAsia="Arial" w:hAnsi="Arial"/>
          <w:sz w:val="15"/>
          <w:szCs w:val="15"/>
          <w:color w:val="110E13"/>
        </w:rPr>
        <w:t xml:space="preserve"> $100</w:t>
      </w:r>
      <w:r>
        <w:rPr>
          <w:rFonts w:ascii="Arial" w:cs="Arial" w:eastAsia="Arial" w:hAnsi="Arial"/>
          <w:sz w:val="15"/>
          <w:szCs w:val="15"/>
          <w:color w:val="28282A"/>
        </w:rPr>
        <w:t>,</w:t>
      </w:r>
      <w:r>
        <w:rPr>
          <w:rFonts w:ascii="Arial" w:cs="Arial" w:eastAsia="Arial" w:hAnsi="Arial"/>
          <w:sz w:val="15"/>
          <w:szCs w:val="15"/>
          <w:color w:val="110E13"/>
        </w:rPr>
        <w:t>000</w:t>
      </w:r>
      <w:r>
        <w:rPr>
          <w:rFonts w:ascii="Arial" w:cs="Arial" w:eastAsia="Arial" w:hAnsi="Arial"/>
          <w:sz w:val="15"/>
          <w:szCs w:val="15"/>
          <w:color w:val="28282A"/>
        </w:rPr>
        <w:t>,</w:t>
      </w:r>
      <w:r>
        <w:rPr>
          <w:rFonts w:ascii="Arial" w:cs="Arial" w:eastAsia="Arial" w:hAnsi="Arial"/>
          <w:sz w:val="15"/>
          <w:szCs w:val="15"/>
          <w:color w:val="110E13"/>
        </w:rPr>
        <w:t xml:space="preserve">000 aggregate principal amount of the Company’s 5%/6% Convertible Senior PIK Toggle Notes due June 30, 2026 (referred to herein </w:t>
      </w:r>
      <w:r>
        <w:rPr>
          <w:rFonts w:ascii="Arial" w:cs="Arial" w:eastAsia="Arial" w:hAnsi="Arial"/>
          <w:sz w:val="15"/>
          <w:szCs w:val="15"/>
          <w:color w:val="000000"/>
        </w:rPr>
        <w:t>as</w:t>
      </w:r>
      <w:r>
        <w:rPr>
          <w:rFonts w:ascii="Arial" w:cs="Arial" w:eastAsia="Arial" w:hAnsi="Arial"/>
          <w:sz w:val="15"/>
          <w:szCs w:val="15"/>
          <w:color w:val="110E13"/>
        </w:rPr>
        <w:t xml:space="preserve"> the “</w:t>
      </w:r>
      <w:r>
        <w:rPr>
          <w:rFonts w:ascii="Arial" w:cs="Arial" w:eastAsia="Arial" w:hAnsi="Arial"/>
          <w:sz w:val="15"/>
          <w:szCs w:val="15"/>
          <w:b w:val="1"/>
          <w:bCs w:val="1"/>
          <w:color w:val="110E13"/>
        </w:rPr>
        <w:t>Note</w:t>
      </w:r>
      <w:r>
        <w:rPr>
          <w:rFonts w:ascii="Arial" w:cs="Arial" w:eastAsia="Arial" w:hAnsi="Arial"/>
          <w:sz w:val="15"/>
          <w:szCs w:val="15"/>
          <w:color w:val="110E13"/>
        </w:rPr>
        <w:t>” or the “</w:t>
      </w:r>
      <w:r>
        <w:rPr>
          <w:rFonts w:ascii="Arial" w:cs="Arial" w:eastAsia="Arial" w:hAnsi="Arial"/>
          <w:sz w:val="15"/>
          <w:szCs w:val="15"/>
          <w:b w:val="1"/>
          <w:bCs w:val="1"/>
          <w:color w:val="110E13"/>
        </w:rPr>
        <w:t>Notes</w:t>
      </w:r>
      <w:r>
        <w:rPr>
          <w:rFonts w:ascii="Arial" w:cs="Arial" w:eastAsia="Arial" w:hAnsi="Arial"/>
          <w:sz w:val="15"/>
          <w:szCs w:val="15"/>
          <w:color w:val="110E13"/>
        </w:rPr>
        <w:t>”) in the form attached as Exhibit A and to be issued in accordance with the terms and conditions of the form of Indenture attached as an exhibit thereto and this Agreement</w:t>
      </w:r>
      <w:r>
        <w:rPr>
          <w:rFonts w:ascii="Arial" w:cs="Arial" w:eastAsia="Arial" w:hAnsi="Arial"/>
          <w:sz w:val="15"/>
          <w:szCs w:val="15"/>
          <w:color w:val="28282A"/>
        </w:rPr>
        <w:t>; and</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WHEREAS</w:t>
      </w:r>
      <w:r>
        <w:rPr>
          <w:rFonts w:ascii="Arial" w:cs="Arial" w:eastAsia="Arial" w:hAnsi="Arial"/>
          <w:sz w:val="17"/>
          <w:szCs w:val="17"/>
          <w:color w:val="28282A"/>
        </w:rPr>
        <w:t>,</w:t>
      </w:r>
      <w:r>
        <w:rPr>
          <w:rFonts w:ascii="Arial" w:cs="Arial" w:eastAsia="Arial" w:hAnsi="Arial"/>
          <w:sz w:val="17"/>
          <w:szCs w:val="17"/>
          <w:color w:val="110E13"/>
        </w:rPr>
        <w:t xml:space="preserve"> the Company and the Purchaser desire to set forth certain agreements </w:t>
      </w:r>
      <w:r>
        <w:rPr>
          <w:rFonts w:ascii="Arial" w:cs="Arial" w:eastAsia="Arial" w:hAnsi="Arial"/>
          <w:sz w:val="17"/>
          <w:szCs w:val="17"/>
          <w:color w:val="000000"/>
        </w:rPr>
        <w:t>herein</w:t>
      </w:r>
      <w:r>
        <w:rPr>
          <w:rFonts w:ascii="Arial" w:cs="Arial" w:eastAsia="Arial" w:hAnsi="Arial"/>
          <w:sz w:val="17"/>
          <w:szCs w:val="17"/>
          <w:color w:val="110E13"/>
        </w:rPr>
        <w:t>.</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110E13"/>
        </w:rPr>
        <w:t>NOW</w:t>
      </w:r>
      <w:r>
        <w:rPr>
          <w:rFonts w:ascii="Arial" w:cs="Arial" w:eastAsia="Arial" w:hAnsi="Arial"/>
          <w:sz w:val="17"/>
          <w:szCs w:val="17"/>
          <w:color w:val="28282A"/>
        </w:rPr>
        <w:t>,</w:t>
      </w:r>
      <w:r>
        <w:rPr>
          <w:rFonts w:ascii="Arial" w:cs="Arial" w:eastAsia="Arial" w:hAnsi="Arial"/>
          <w:sz w:val="17"/>
          <w:szCs w:val="17"/>
          <w:color w:val="110E13"/>
        </w:rPr>
        <w:t xml:space="preserve"> </w:t>
      </w:r>
      <w:r>
        <w:rPr>
          <w:rFonts w:ascii="Arial" w:cs="Arial" w:eastAsia="Arial" w:hAnsi="Arial"/>
          <w:sz w:val="17"/>
          <w:szCs w:val="17"/>
          <w:color w:val="000000"/>
        </w:rPr>
        <w:t>THEREFORE</w:t>
      </w:r>
      <w:r>
        <w:rPr>
          <w:rFonts w:ascii="Arial" w:cs="Arial" w:eastAsia="Arial" w:hAnsi="Arial"/>
          <w:sz w:val="17"/>
          <w:szCs w:val="17"/>
          <w:color w:val="28282A"/>
        </w:rPr>
        <w:t>,</w:t>
      </w:r>
      <w:r>
        <w:rPr>
          <w:rFonts w:ascii="Arial" w:cs="Arial" w:eastAsia="Arial" w:hAnsi="Arial"/>
          <w:sz w:val="17"/>
          <w:szCs w:val="17"/>
          <w:color w:val="110E13"/>
        </w:rPr>
        <w:t xml:space="preserve"> in consideration of the premises and the representations</w:t>
      </w:r>
      <w:r>
        <w:rPr>
          <w:rFonts w:ascii="Arial" w:cs="Arial" w:eastAsia="Arial" w:hAnsi="Arial"/>
          <w:sz w:val="17"/>
          <w:szCs w:val="17"/>
          <w:color w:val="28282A"/>
        </w:rPr>
        <w:t>,</w:t>
      </w:r>
      <w:r>
        <w:rPr>
          <w:rFonts w:ascii="Arial" w:cs="Arial" w:eastAsia="Arial" w:hAnsi="Arial"/>
          <w:sz w:val="17"/>
          <w:szCs w:val="17"/>
          <w:color w:val="110E13"/>
        </w:rPr>
        <w:t xml:space="preserve"> warranties and agreements herein contained and intending to be legally bound hereby</w:t>
      </w:r>
      <w:r>
        <w:rPr>
          <w:rFonts w:ascii="Arial" w:cs="Arial" w:eastAsia="Arial" w:hAnsi="Arial"/>
          <w:sz w:val="17"/>
          <w:szCs w:val="17"/>
          <w:color w:val="28282A"/>
        </w:rPr>
        <w:t>,</w:t>
      </w:r>
      <w:r>
        <w:rPr>
          <w:rFonts w:ascii="Arial" w:cs="Arial" w:eastAsia="Arial" w:hAnsi="Arial"/>
          <w:sz w:val="17"/>
          <w:szCs w:val="17"/>
          <w:color w:val="110E13"/>
        </w:rPr>
        <w:t xml:space="preserve"> the parties hereby agree as follows</w:t>
      </w:r>
      <w:r>
        <w:rPr>
          <w:rFonts w:ascii="Arial" w:cs="Arial" w:eastAsia="Arial" w:hAnsi="Arial"/>
          <w:sz w:val="17"/>
          <w:szCs w:val="17"/>
          <w:color w:val="28282A"/>
        </w:rPr>
        <w:t>:</w:t>
      </w:r>
    </w:p>
    <w:p>
      <w:pPr>
        <w:spacing w:after="0" w:line="142" w:lineRule="exact"/>
        <w:rPr>
          <w:sz w:val="20"/>
          <w:szCs w:val="20"/>
          <w:color w:val="auto"/>
        </w:rPr>
      </w:pPr>
    </w:p>
    <w:p>
      <w:pPr>
        <w:ind w:left="4760"/>
        <w:spacing w:after="0"/>
        <w:tabs>
          <w:tab w:leader="none" w:pos="5740" w:val="left"/>
        </w:tabs>
        <w:rPr>
          <w:sz w:val="20"/>
          <w:szCs w:val="20"/>
          <w:color w:val="auto"/>
        </w:rPr>
      </w:pPr>
      <w:r>
        <w:rPr>
          <w:rFonts w:ascii="Arial" w:cs="Arial" w:eastAsia="Arial" w:hAnsi="Arial"/>
          <w:sz w:val="17"/>
          <w:szCs w:val="17"/>
          <w:color w:val="auto"/>
        </w:rPr>
        <w:t>Article 1.</w:t>
      </w:r>
      <w:r>
        <w:rPr>
          <w:sz w:val="20"/>
          <w:szCs w:val="20"/>
          <w:color w:val="auto"/>
        </w:rPr>
        <w:tab/>
      </w:r>
      <w:r>
        <w:rPr>
          <w:rFonts w:ascii="Arial" w:cs="Arial" w:eastAsia="Arial" w:hAnsi="Arial"/>
          <w:sz w:val="16"/>
          <w:szCs w:val="16"/>
          <w:color w:val="110F13"/>
        </w:rPr>
        <w:t>Definitio</w:t>
      </w:r>
      <w:r>
        <w:rPr>
          <w:rFonts w:ascii="Arial" w:cs="Arial" w:eastAsia="Arial" w:hAnsi="Arial"/>
          <w:sz w:val="16"/>
          <w:szCs w:val="16"/>
          <w:color w:val="28282A"/>
        </w:rPr>
        <w:t>n</w:t>
      </w:r>
      <w:r>
        <w:rPr>
          <w:rFonts w:ascii="Arial" w:cs="Arial" w:eastAsia="Arial" w:hAnsi="Arial"/>
          <w:sz w:val="16"/>
          <w:szCs w:val="16"/>
          <w:color w:val="110F13"/>
        </w:rPr>
        <w:t>s</w:t>
      </w:r>
    </w:p>
    <w:p>
      <w:pPr>
        <w:spacing w:after="0" w:line="186"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w:t>
      </w:r>
      <w:r>
        <w:rPr>
          <w:sz w:val="20"/>
          <w:szCs w:val="20"/>
          <w:color w:val="auto"/>
        </w:rPr>
        <w:tab/>
      </w:r>
      <w:r>
        <w:rPr>
          <w:rFonts w:ascii="Arial" w:cs="Arial" w:eastAsia="Arial" w:hAnsi="Arial"/>
          <w:sz w:val="15"/>
          <w:szCs w:val="15"/>
          <w:i w:val="1"/>
          <w:iCs w:val="1"/>
          <w:color w:val="auto"/>
        </w:rPr>
        <w:t>Definition</w:t>
      </w:r>
      <w:r>
        <w:rPr>
          <w:rFonts w:ascii="Arial" w:cs="Arial" w:eastAsia="Arial" w:hAnsi="Arial"/>
          <w:sz w:val="15"/>
          <w:szCs w:val="15"/>
          <w:i w:val="1"/>
          <w:iCs w:val="1"/>
          <w:color w:val="28282A"/>
        </w:rPr>
        <w:t>s</w:t>
      </w:r>
      <w:r>
        <w:rPr>
          <w:rFonts w:ascii="Arial" w:cs="Arial" w:eastAsia="Arial" w:hAnsi="Arial"/>
          <w:sz w:val="15"/>
          <w:szCs w:val="15"/>
          <w:i w:val="1"/>
          <w:iCs w:val="1"/>
          <w:color w:val="auto"/>
        </w:rPr>
        <w:t xml:space="preserve">. </w:t>
      </w:r>
      <w:r>
        <w:rPr>
          <w:rFonts w:ascii="Arial" w:cs="Arial" w:eastAsia="Arial" w:hAnsi="Arial"/>
          <w:sz w:val="15"/>
          <w:szCs w:val="15"/>
          <w:color w:val="auto"/>
        </w:rPr>
        <w:t>As used in this Agreement</w:t>
      </w:r>
      <w:r>
        <w:rPr>
          <w:rFonts w:ascii="Arial" w:cs="Arial" w:eastAsia="Arial" w:hAnsi="Arial"/>
          <w:sz w:val="15"/>
          <w:szCs w:val="15"/>
          <w:color w:val="28282A"/>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following terms shall have the meanings set forth below:</w:t>
      </w:r>
    </w:p>
    <w:p>
      <w:pPr>
        <w:spacing w:after="0" w:line="172" w:lineRule="exact"/>
        <w:rPr>
          <w:sz w:val="20"/>
          <w:szCs w:val="20"/>
          <w:color w:val="auto"/>
        </w:rPr>
      </w:pPr>
    </w:p>
    <w:p>
      <w:pPr>
        <w:ind w:right="20" w:firstLine="509"/>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Activist Investor</w:t>
      </w:r>
      <w:r>
        <w:rPr>
          <w:rFonts w:ascii="Arial" w:cs="Arial" w:eastAsia="Arial" w:hAnsi="Arial"/>
          <w:sz w:val="15"/>
          <w:szCs w:val="15"/>
          <w:color w:val="auto"/>
        </w:rPr>
        <w:t>” means, as of any date of determination, a Person (other than the Purchaser and the Purchaser Affiliates) that has, directly or indirectly through its Affiliates, whether individually or as a member of a “group” (as defined in Section 13(d)(3) of the Exchange Act),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 (iii) 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ectPr>
          <w:pgSz w:w="11900" w:h="16838" w:orient="portrait"/>
          <w:cols w:equalWidth="0" w:num="1">
            <w:col w:w="11240"/>
          </w:cols>
          <w:pgMar w:left="300" w:top="1148" w:right="359" w:bottom="1440" w:gutter="0" w:footer="0" w:header="0"/>
        </w:sectPr>
      </w:pPr>
    </w:p>
    <w:bookmarkStart w:id="132" w:name="page133"/>
    <w:bookmarkEnd w:id="132"/>
    <w:p>
      <w:pPr>
        <w:ind w:right="80" w:firstLine="509"/>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w:t>
      </w:r>
      <w:r>
        <w:rPr>
          <w:rFonts w:ascii="Arial" w:cs="Arial" w:eastAsia="Arial" w:hAnsi="Arial"/>
          <w:sz w:val="16"/>
          <w:szCs w:val="16"/>
          <w:color w:val="28282A"/>
        </w:rPr>
        <w:t>,</w:t>
      </w:r>
      <w:r>
        <w:rPr>
          <w:rFonts w:ascii="Arial" w:cs="Arial" w:eastAsia="Arial" w:hAnsi="Arial"/>
          <w:sz w:val="16"/>
          <w:szCs w:val="16"/>
          <w:color w:val="auto"/>
        </w:rPr>
        <w:t xml:space="preserve"> with respect to any Person</w:t>
      </w:r>
      <w:r>
        <w:rPr>
          <w:rFonts w:ascii="Arial" w:cs="Arial" w:eastAsia="Arial" w:hAnsi="Arial"/>
          <w:sz w:val="16"/>
          <w:szCs w:val="16"/>
          <w:color w:val="28282A"/>
        </w:rPr>
        <w:t>,</w:t>
      </w:r>
      <w:r>
        <w:rPr>
          <w:rFonts w:ascii="Arial" w:cs="Arial" w:eastAsia="Arial" w:hAnsi="Arial"/>
          <w:sz w:val="16"/>
          <w:szCs w:val="16"/>
          <w:color w:val="auto"/>
        </w:rPr>
        <w:t xml:space="preserve"> any other Person which directly or indirectly controls or is controlled by or is under common control with such Person. Notwithstanding the foregoing</w:t>
      </w:r>
      <w:r>
        <w:rPr>
          <w:rFonts w:ascii="Arial" w:cs="Arial" w:eastAsia="Arial" w:hAnsi="Arial"/>
          <w:sz w:val="16"/>
          <w:szCs w:val="16"/>
          <w:color w:val="28282A"/>
        </w:rPr>
        <w:t>,</w:t>
      </w:r>
      <w:r>
        <w:rPr>
          <w:rFonts w:ascii="Arial" w:cs="Arial" w:eastAsia="Arial" w:hAnsi="Arial"/>
          <w:sz w:val="16"/>
          <w:szCs w:val="16"/>
          <w:color w:val="auto"/>
        </w:rPr>
        <w:t xml:space="preserve"> (i) the Company and the Company’s Subsidiaries shall not be considered Affiliates of the Purchaser or any of the Purchaser’s Affiliates and (x) for purposes of the definitions of “Beneficially Own</w:t>
      </w:r>
      <w:r>
        <w:rPr>
          <w:rFonts w:ascii="Arial" w:cs="Arial" w:eastAsia="Arial" w:hAnsi="Arial"/>
          <w:sz w:val="16"/>
          <w:szCs w:val="16"/>
          <w:color w:val="28282A"/>
        </w:rPr>
        <w:t>”,</w:t>
      </w:r>
      <w:r>
        <w:rPr>
          <w:rFonts w:ascii="Arial" w:cs="Arial" w:eastAsia="Arial" w:hAnsi="Arial"/>
          <w:sz w:val="16"/>
          <w:szCs w:val="16"/>
          <w:color w:val="auto"/>
        </w:rPr>
        <w:t xml:space="preserve"> “Purchaser Group</w:t>
      </w:r>
      <w:r>
        <w:rPr>
          <w:rFonts w:ascii="Arial" w:cs="Arial" w:eastAsia="Arial" w:hAnsi="Arial"/>
          <w:sz w:val="16"/>
          <w:szCs w:val="16"/>
          <w:color w:val="28282A"/>
        </w:rPr>
        <w:t>”</w:t>
      </w:r>
      <w:r>
        <w:rPr>
          <w:rFonts w:ascii="Arial" w:cs="Arial" w:eastAsia="Arial" w:hAnsi="Arial"/>
          <w:sz w:val="16"/>
          <w:szCs w:val="16"/>
          <w:color w:val="auto"/>
        </w:rPr>
        <w:t xml:space="preserve"> and “Third Party” and Sections 3.02(d)</w:t>
      </w:r>
      <w:r>
        <w:rPr>
          <w:rFonts w:ascii="Arial" w:cs="Arial" w:eastAsia="Arial" w:hAnsi="Arial"/>
          <w:sz w:val="16"/>
          <w:szCs w:val="16"/>
          <w:color w:val="28282A"/>
        </w:rPr>
        <w:t>,</w:t>
      </w:r>
      <w:r>
        <w:rPr>
          <w:rFonts w:ascii="Arial" w:cs="Arial" w:eastAsia="Arial" w:hAnsi="Arial"/>
          <w:sz w:val="16"/>
          <w:szCs w:val="16"/>
          <w:color w:val="auto"/>
        </w:rPr>
        <w:t xml:space="preserve"> 3.02(f) </w:t>
      </w:r>
      <w:r>
        <w:rPr>
          <w:rFonts w:ascii="Arial" w:cs="Arial" w:eastAsia="Arial" w:hAnsi="Arial"/>
          <w:sz w:val="16"/>
          <w:szCs w:val="16"/>
          <w:color w:val="28282A"/>
        </w:rPr>
        <w:t>and</w:t>
      </w:r>
      <w:r>
        <w:rPr>
          <w:rFonts w:ascii="Arial" w:cs="Arial" w:eastAsia="Arial" w:hAnsi="Arial"/>
          <w:sz w:val="16"/>
          <w:szCs w:val="16"/>
          <w:color w:val="auto"/>
        </w:rPr>
        <w:t xml:space="preserve"> 4.02</w:t>
      </w:r>
      <w:r>
        <w:rPr>
          <w:rFonts w:ascii="Arial" w:cs="Arial" w:eastAsia="Arial" w:hAnsi="Arial"/>
          <w:sz w:val="16"/>
          <w:szCs w:val="16"/>
          <w:color w:val="28282A"/>
        </w:rPr>
        <w:t>,</w:t>
      </w:r>
      <w:r>
        <w:rPr>
          <w:rFonts w:ascii="Arial" w:cs="Arial" w:eastAsia="Arial" w:hAnsi="Arial"/>
          <w:sz w:val="16"/>
          <w:szCs w:val="16"/>
          <w:color w:val="auto"/>
        </w:rPr>
        <w:t xml:space="preserve"> no portfolio company of the Purchaser or their respective Affiliates shall be deemed an Affiliate of the Purchaser and its other Affiliates so long as such portfolio company (y) has not been directed</w:t>
      </w:r>
      <w:r>
        <w:rPr>
          <w:rFonts w:ascii="Arial" w:cs="Arial" w:eastAsia="Arial" w:hAnsi="Arial"/>
          <w:sz w:val="16"/>
          <w:szCs w:val="16"/>
          <w:color w:val="28282A"/>
        </w:rPr>
        <w:t>,</w:t>
      </w:r>
      <w:r>
        <w:rPr>
          <w:rFonts w:ascii="Arial" w:cs="Arial" w:eastAsia="Arial" w:hAnsi="Arial"/>
          <w:sz w:val="16"/>
          <w:szCs w:val="16"/>
          <w:color w:val="auto"/>
        </w:rPr>
        <w:t xml:space="preserve"> encouraged</w:t>
      </w:r>
      <w:r>
        <w:rPr>
          <w:rFonts w:ascii="Arial" w:cs="Arial" w:eastAsia="Arial" w:hAnsi="Arial"/>
          <w:sz w:val="16"/>
          <w:szCs w:val="16"/>
          <w:color w:val="28282A"/>
        </w:rPr>
        <w:t>,</w:t>
      </w:r>
      <w:r>
        <w:rPr>
          <w:rFonts w:ascii="Arial" w:cs="Arial" w:eastAsia="Arial" w:hAnsi="Arial"/>
          <w:sz w:val="16"/>
          <w:szCs w:val="16"/>
          <w:color w:val="auto"/>
        </w:rPr>
        <w:t xml:space="preserve"> instructed</w:t>
      </w:r>
      <w:r>
        <w:rPr>
          <w:rFonts w:ascii="Arial" w:cs="Arial" w:eastAsia="Arial" w:hAnsi="Arial"/>
          <w:sz w:val="16"/>
          <w:szCs w:val="16"/>
          <w:color w:val="28282A"/>
        </w:rPr>
        <w:t>,</w:t>
      </w:r>
      <w:r>
        <w:rPr>
          <w:rFonts w:ascii="Arial" w:cs="Arial" w:eastAsia="Arial" w:hAnsi="Arial"/>
          <w:sz w:val="16"/>
          <w:szCs w:val="16"/>
          <w:color w:val="auto"/>
        </w:rPr>
        <w:t xml:space="preserve"> assisted</w:t>
      </w:r>
      <w:r>
        <w:rPr>
          <w:rFonts w:ascii="Arial" w:cs="Arial" w:eastAsia="Arial" w:hAnsi="Arial"/>
          <w:sz w:val="16"/>
          <w:szCs w:val="16"/>
          <w:color w:val="28282A"/>
        </w:rPr>
        <w:t>,</w:t>
      </w:r>
      <w:r>
        <w:rPr>
          <w:rFonts w:ascii="Arial" w:cs="Arial" w:eastAsia="Arial" w:hAnsi="Arial"/>
          <w:sz w:val="16"/>
          <w:szCs w:val="16"/>
          <w:color w:val="auto"/>
        </w:rPr>
        <w:t xml:space="preserve"> advised or supported by</w:t>
      </w:r>
      <w:r>
        <w:rPr>
          <w:rFonts w:ascii="Arial" w:cs="Arial" w:eastAsia="Arial" w:hAnsi="Arial"/>
          <w:sz w:val="16"/>
          <w:szCs w:val="16"/>
          <w:color w:val="28282A"/>
        </w:rPr>
        <w:t>,</w:t>
      </w:r>
      <w:r>
        <w:rPr>
          <w:rFonts w:ascii="Arial" w:cs="Arial" w:eastAsia="Arial" w:hAnsi="Arial"/>
          <w:sz w:val="16"/>
          <w:szCs w:val="16"/>
          <w:color w:val="auto"/>
        </w:rPr>
        <w:t xml:space="preserve"> or coordinated with</w:t>
      </w:r>
      <w:r>
        <w:rPr>
          <w:rFonts w:ascii="Arial" w:cs="Arial" w:eastAsia="Arial" w:hAnsi="Arial"/>
          <w:sz w:val="16"/>
          <w:szCs w:val="16"/>
          <w:color w:val="28282A"/>
        </w:rPr>
        <w:t>,</w:t>
      </w:r>
      <w:r>
        <w:rPr>
          <w:rFonts w:ascii="Arial" w:cs="Arial" w:eastAsia="Arial" w:hAnsi="Arial"/>
          <w:sz w:val="16"/>
          <w:szCs w:val="16"/>
          <w:color w:val="auto"/>
        </w:rPr>
        <w:t xml:space="preserve"> the Purchaser or any of its Affiliates in carrying out any act prohibited by this Agreement</w:t>
      </w:r>
      <w:r>
        <w:rPr>
          <w:rFonts w:ascii="Arial" w:cs="Arial" w:eastAsia="Arial" w:hAnsi="Arial"/>
          <w:sz w:val="16"/>
          <w:szCs w:val="16"/>
          <w:color w:val="28282A"/>
        </w:rPr>
        <w:t>, (a)</w:t>
      </w:r>
      <w:r>
        <w:rPr>
          <w:rFonts w:ascii="Arial" w:cs="Arial" w:eastAsia="Arial" w:hAnsi="Arial"/>
          <w:sz w:val="16"/>
          <w:szCs w:val="16"/>
          <w:color w:val="auto"/>
        </w:rPr>
        <w:t xml:space="preserve"> is not a member of a group (as such term is defined in Section 13(d)(3) of the Exchange Act) with either the Purchaser or any of its Affiliates with respect to any securities of the Company</w:t>
      </w:r>
      <w:r>
        <w:rPr>
          <w:rFonts w:ascii="Arial" w:cs="Arial" w:eastAsia="Arial" w:hAnsi="Arial"/>
          <w:sz w:val="16"/>
          <w:szCs w:val="16"/>
          <w:color w:val="2A2A2B"/>
        </w:rPr>
        <w:t>,</w:t>
      </w:r>
      <w:r>
        <w:rPr>
          <w:rFonts w:ascii="Arial" w:cs="Arial" w:eastAsia="Arial" w:hAnsi="Arial"/>
          <w:sz w:val="16"/>
          <w:szCs w:val="16"/>
          <w:color w:val="auto"/>
        </w:rPr>
        <w:t xml:space="preserve"> and (z) has not received from the Purchaser or any Affiliate of the Purchaser</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any Confidential Information. As used in this definition</w:t>
      </w:r>
      <w:r>
        <w:rPr>
          <w:rFonts w:ascii="Arial" w:cs="Arial" w:eastAsia="Arial" w:hAnsi="Arial"/>
          <w:sz w:val="16"/>
          <w:szCs w:val="16"/>
          <w:color w:val="2A2A2B"/>
        </w:rPr>
        <w:t>,</w:t>
      </w:r>
      <w:r>
        <w:rPr>
          <w:rFonts w:ascii="Arial" w:cs="Arial" w:eastAsia="Arial" w:hAnsi="Arial"/>
          <w:sz w:val="16"/>
          <w:szCs w:val="16"/>
          <w:color w:val="auto"/>
        </w:rPr>
        <w:t xml:space="preserve"> “control” (including its correlative meanings</w:t>
      </w:r>
      <w:r>
        <w:rPr>
          <w:rFonts w:ascii="Arial" w:cs="Arial" w:eastAsia="Arial" w:hAnsi="Arial"/>
          <w:sz w:val="16"/>
          <w:szCs w:val="16"/>
          <w:color w:val="2A2A2B"/>
        </w:rPr>
        <w:t>, “</w:t>
      </w:r>
      <w:r>
        <w:rPr>
          <w:rFonts w:ascii="Arial" w:cs="Arial" w:eastAsia="Arial" w:hAnsi="Arial"/>
          <w:sz w:val="16"/>
          <w:szCs w:val="16"/>
          <w:color w:val="auto"/>
        </w:rPr>
        <w:t>controlled by” and “under common control with</w:t>
      </w:r>
      <w:r>
        <w:rPr>
          <w:rFonts w:ascii="Arial" w:cs="Arial" w:eastAsia="Arial" w:hAnsi="Arial"/>
          <w:sz w:val="16"/>
          <w:szCs w:val="16"/>
          <w:color w:val="2A2A2B"/>
        </w:rPr>
        <w:t>”</w:t>
      </w:r>
      <w:r>
        <w:rPr>
          <w:rFonts w:ascii="Arial" w:cs="Arial" w:eastAsia="Arial" w:hAnsi="Arial"/>
          <w:sz w:val="16"/>
          <w:szCs w:val="16"/>
          <w:color w:val="auto"/>
        </w:rPr>
        <w:t>) shall mean possession</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of power to direct or cause the direction of management or policies (whether through ownership of securities or partnership or other ownership interests</w:t>
      </w:r>
      <w:r>
        <w:rPr>
          <w:rFonts w:ascii="Arial" w:cs="Arial" w:eastAsia="Arial" w:hAnsi="Arial"/>
          <w:sz w:val="16"/>
          <w:szCs w:val="16"/>
          <w:color w:val="2A2A2B"/>
        </w:rPr>
        <w:t>,</w:t>
      </w:r>
      <w:r>
        <w:rPr>
          <w:rFonts w:ascii="Arial" w:cs="Arial" w:eastAsia="Arial" w:hAnsi="Arial"/>
          <w:sz w:val="16"/>
          <w:szCs w:val="16"/>
          <w:color w:val="auto"/>
        </w:rPr>
        <w:t xml:space="preserve"> by contract or otherwise).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Agreement</w:t>
      </w:r>
      <w:r>
        <w:rPr>
          <w:rFonts w:ascii="Arial" w:cs="Arial" w:eastAsia="Arial" w:hAnsi="Arial"/>
          <w:sz w:val="17"/>
          <w:szCs w:val="17"/>
          <w:color w:val="2A2A2B"/>
        </w:rPr>
        <w:t>”</w:t>
      </w:r>
      <w:r>
        <w:rPr>
          <w:rFonts w:ascii="Arial" w:cs="Arial" w:eastAsia="Arial" w:hAnsi="Arial"/>
          <w:sz w:val="17"/>
          <w:szCs w:val="17"/>
          <w:color w:val="110E13"/>
        </w:rPr>
        <w:t xml:space="preserve"> </w:t>
      </w:r>
      <w:r>
        <w:rPr>
          <w:rFonts w:ascii="Arial" w:cs="Arial" w:eastAsia="Arial" w:hAnsi="Arial"/>
          <w:sz w:val="17"/>
          <w:szCs w:val="17"/>
          <w:color w:val="000000"/>
        </w:rPr>
        <w:t>shall</w:t>
      </w:r>
      <w:r>
        <w:rPr>
          <w:rFonts w:ascii="Arial" w:cs="Arial" w:eastAsia="Arial" w:hAnsi="Arial"/>
          <w:sz w:val="17"/>
          <w:szCs w:val="17"/>
          <w:color w:val="110E13"/>
        </w:rPr>
        <w:t xml:space="preserve"> have the meaning set forth in the preamble hereto.</w:t>
      </w:r>
    </w:p>
    <w:p>
      <w:pPr>
        <w:spacing w:after="0" w:line="17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w:t>
      </w:r>
      <w:r>
        <w:rPr>
          <w:rFonts w:ascii="Arial" w:cs="Arial" w:eastAsia="Arial" w:hAnsi="Arial"/>
          <w:sz w:val="17"/>
          <w:szCs w:val="17"/>
          <w:color w:val="auto"/>
        </w:rPr>
        <w:t>” means, with respect to a Registration Statement, that such Registration Statement is effective and there is no stop order with respect thereto and such Registration Statement does not contain an untrue statement of a material fact or omit to state a material fact required to be stated therein, such that such Registration Statement will be available for the resale of Registrable Securities.</w:t>
      </w:r>
    </w:p>
    <w:p>
      <w:pPr>
        <w:spacing w:after="0" w:line="13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b w:val="1"/>
          <w:bCs w:val="1"/>
          <w:color w:val="110E13"/>
        </w:rPr>
        <w:t>“Beneficially Own</w:t>
      </w:r>
      <w:r>
        <w:rPr>
          <w:rFonts w:ascii="Arial" w:cs="Arial" w:eastAsia="Arial" w:hAnsi="Arial"/>
          <w:sz w:val="17"/>
          <w:szCs w:val="17"/>
          <w:b w:val="1"/>
          <w:bCs w:val="1"/>
          <w:color w:val="2A2A2B"/>
        </w:rPr>
        <w:t>”, “</w:t>
      </w:r>
      <w:r>
        <w:rPr>
          <w:rFonts w:ascii="Arial" w:cs="Arial" w:eastAsia="Arial" w:hAnsi="Arial"/>
          <w:sz w:val="17"/>
          <w:szCs w:val="17"/>
          <w:b w:val="1"/>
          <w:bCs w:val="1"/>
          <w:color w:val="110E13"/>
        </w:rPr>
        <w:t>Beneficially Owned</w:t>
      </w:r>
      <w:r>
        <w:rPr>
          <w:rFonts w:ascii="Arial" w:cs="Arial" w:eastAsia="Arial" w:hAnsi="Arial"/>
          <w:sz w:val="17"/>
          <w:szCs w:val="17"/>
          <w:b w:val="1"/>
          <w:bCs w:val="1"/>
          <w:color w:val="2A2A2B"/>
        </w:rPr>
        <w:t>”, "Beneficial Owner"</w:t>
      </w:r>
      <w:r>
        <w:rPr>
          <w:rFonts w:ascii="Arial" w:cs="Arial" w:eastAsia="Arial" w:hAnsi="Arial"/>
          <w:sz w:val="17"/>
          <w:szCs w:val="17"/>
          <w:b w:val="1"/>
          <w:bCs w:val="1"/>
          <w:color w:val="110E13"/>
        </w:rPr>
        <w:t xml:space="preserve"> or “Beneficial Ownership</w:t>
      </w:r>
      <w:r>
        <w:rPr>
          <w:rFonts w:ascii="Arial" w:cs="Arial" w:eastAsia="Arial" w:hAnsi="Arial"/>
          <w:sz w:val="17"/>
          <w:szCs w:val="17"/>
          <w:b w:val="1"/>
          <w:bCs w:val="1"/>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have the meaning set forth in Rule 13d-3 of the rules</w:t>
      </w:r>
      <w:r>
        <w:rPr>
          <w:rFonts w:ascii="Arial" w:cs="Arial" w:eastAsia="Arial" w:hAnsi="Arial"/>
          <w:sz w:val="17"/>
          <w:szCs w:val="17"/>
          <w:b w:val="1"/>
          <w:bCs w:val="1"/>
          <w:color w:val="110E13"/>
        </w:rPr>
        <w:t xml:space="preserve"> </w:t>
      </w:r>
      <w:r>
        <w:rPr>
          <w:rFonts w:ascii="Arial" w:cs="Arial" w:eastAsia="Arial" w:hAnsi="Arial"/>
          <w:sz w:val="17"/>
          <w:szCs w:val="17"/>
          <w:color w:val="110E13"/>
        </w:rPr>
        <w:t>and regulations promulgated under the Exchange Act</w:t>
      </w:r>
      <w:r>
        <w:rPr>
          <w:rFonts w:ascii="Arial" w:cs="Arial" w:eastAsia="Arial" w:hAnsi="Arial"/>
          <w:sz w:val="17"/>
          <w:szCs w:val="17"/>
          <w:color w:val="2A2A2B"/>
        </w:rPr>
        <w:t>,</w:t>
      </w:r>
      <w:r>
        <w:rPr>
          <w:rFonts w:ascii="Arial" w:cs="Arial" w:eastAsia="Arial" w:hAnsi="Arial"/>
          <w:sz w:val="17"/>
          <w:szCs w:val="17"/>
          <w:color w:val="110E13"/>
        </w:rPr>
        <w:t xml:space="preserve"> as in effect on the date hereof. Solely for purposes of determining the number of shares of Company Common Stock issuable upon conversion of </w:t>
      </w:r>
      <w:r>
        <w:rPr>
          <w:rFonts w:ascii="Arial" w:cs="Arial" w:eastAsia="Arial" w:hAnsi="Arial"/>
          <w:sz w:val="17"/>
          <w:szCs w:val="17"/>
          <w:color w:val="000000"/>
        </w:rPr>
        <w:t>the</w:t>
      </w:r>
      <w:r>
        <w:rPr>
          <w:rFonts w:ascii="Arial" w:cs="Arial" w:eastAsia="Arial" w:hAnsi="Arial"/>
          <w:sz w:val="17"/>
          <w:szCs w:val="17"/>
          <w:color w:val="110E13"/>
        </w:rPr>
        <w:t xml:space="preserve"> Notes Beneficially Owned by the Purchaser and its Affiliates</w:t>
      </w:r>
      <w:r>
        <w:rPr>
          <w:rFonts w:ascii="Arial" w:cs="Arial" w:eastAsia="Arial" w:hAnsi="Arial"/>
          <w:sz w:val="17"/>
          <w:szCs w:val="17"/>
          <w:color w:val="2A2A2B"/>
        </w:rPr>
        <w:t>,</w:t>
      </w:r>
      <w:r>
        <w:rPr>
          <w:rFonts w:ascii="Arial" w:cs="Arial" w:eastAsia="Arial" w:hAnsi="Arial"/>
          <w:sz w:val="17"/>
          <w:szCs w:val="17"/>
          <w:color w:val="110E13"/>
        </w:rPr>
        <w:t xml:space="preserve"> the Notes shall be treated as if upon conversion the only settlement option under the Notes and Indenture were solely Physical Settlement (as defined in the Indenture). For the avoidance of doubt</w:t>
      </w:r>
      <w:r>
        <w:rPr>
          <w:rFonts w:ascii="Arial" w:cs="Arial" w:eastAsia="Arial" w:hAnsi="Arial"/>
          <w:sz w:val="17"/>
          <w:szCs w:val="17"/>
          <w:color w:val="2A2A2B"/>
        </w:rPr>
        <w:t>,</w:t>
      </w:r>
      <w:r>
        <w:rPr>
          <w:rFonts w:ascii="Arial" w:cs="Arial" w:eastAsia="Arial" w:hAnsi="Arial"/>
          <w:sz w:val="17"/>
          <w:szCs w:val="17"/>
          <w:color w:val="110E13"/>
        </w:rPr>
        <w:t xml:space="preserve"> for purposes of this Agreement</w:t>
      </w:r>
      <w:r>
        <w:rPr>
          <w:rFonts w:ascii="Arial" w:cs="Arial" w:eastAsia="Arial" w:hAnsi="Arial"/>
          <w:sz w:val="17"/>
          <w:szCs w:val="17"/>
          <w:color w:val="2A2A2B"/>
        </w:rPr>
        <w:t>,</w:t>
      </w:r>
      <w:r>
        <w:rPr>
          <w:rFonts w:ascii="Arial" w:cs="Arial" w:eastAsia="Arial" w:hAnsi="Arial"/>
          <w:sz w:val="17"/>
          <w:szCs w:val="17"/>
          <w:color w:val="110E13"/>
        </w:rPr>
        <w:t xml:space="preserve"> the Purchaser (or any other person) shall at all times be deemed to have Beneficial Ownership of shares of Company Common Stock issuable upon conversion of the Notes directly or indirectly held by them irrespective of any restrictions on transfer or other terms contained in this Agreement or the other Transaction Documents.</w:t>
      </w:r>
    </w:p>
    <w:p>
      <w:pPr>
        <w:spacing w:after="0" w:line="14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Blackout Period</w:t>
      </w:r>
      <w:r>
        <w:rPr>
          <w:rFonts w:ascii="Arial" w:cs="Arial" w:eastAsia="Arial" w:hAnsi="Arial"/>
          <w:sz w:val="17"/>
          <w:szCs w:val="17"/>
          <w:color w:val="auto"/>
        </w:rPr>
        <w:t>” means in the event that the Company determines in good faith that filing a Registration Statement or making it Available could reasonably be expected to adversely affect or interfere with any financing of the Company or any transaction under consideration by the Company or would require disclosure of information that has not been, and is not otherwise then required to be, disclosed to the public, the premature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148" w:right="319" w:bottom="1440" w:gutter="0" w:footer="0" w:header="0"/>
        </w:sectPr>
      </w:pPr>
    </w:p>
    <w:bookmarkStart w:id="133" w:name="page134"/>
    <w:bookmarkEnd w:id="133"/>
    <w:p>
      <w:pPr>
        <w:ind w:right="20"/>
        <w:spacing w:after="0" w:line="259" w:lineRule="auto"/>
        <w:rPr>
          <w:sz w:val="20"/>
          <w:szCs w:val="20"/>
          <w:color w:val="auto"/>
        </w:rPr>
      </w:pPr>
      <w:r>
        <w:rPr>
          <w:rFonts w:ascii="Arial" w:cs="Arial" w:eastAsia="Arial" w:hAnsi="Arial"/>
          <w:sz w:val="17"/>
          <w:szCs w:val="17"/>
          <w:color w:val="auto"/>
        </w:rPr>
        <w:t>disclosure of which would adversely affect the Company or the Registration Statement is otherwise not available for use, a period of up to ninety (90) days; provided that a Blackout Period may not be called by the Company more than twice in any period of twelve (12) consecutive months and the aggregate length of Blackout Periods in any period of twelve (12) consecutive months may not exceed one hundred and twenty (120) days.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Board of Directors”</w:t>
      </w:r>
      <w:r>
        <w:rPr>
          <w:rFonts w:ascii="Arial" w:cs="Arial" w:eastAsia="Arial" w:hAnsi="Arial"/>
          <w:sz w:val="17"/>
          <w:szCs w:val="17"/>
          <w:b w:val="1"/>
          <w:bCs w:val="1"/>
          <w:color w:val="28282A"/>
        </w:rPr>
        <w:t xml:space="preserve"> </w:t>
      </w:r>
      <w:r>
        <w:rPr>
          <w:rFonts w:ascii="Arial" w:cs="Arial" w:eastAsia="Arial" w:hAnsi="Arial"/>
          <w:sz w:val="17"/>
          <w:szCs w:val="17"/>
          <w:color w:val="000000"/>
        </w:rPr>
        <w:t>shall</w:t>
      </w:r>
      <w:r>
        <w:rPr>
          <w:rFonts w:ascii="Arial" w:cs="Arial" w:eastAsia="Arial" w:hAnsi="Arial"/>
          <w:sz w:val="17"/>
          <w:szCs w:val="17"/>
          <w:b w:val="1"/>
          <w:bCs w:val="1"/>
          <w:color w:val="28282A"/>
        </w:rPr>
        <w:t xml:space="preserve"> </w:t>
      </w:r>
      <w:r>
        <w:rPr>
          <w:rFonts w:ascii="Arial" w:cs="Arial" w:eastAsia="Arial" w:hAnsi="Arial"/>
          <w:sz w:val="17"/>
          <w:szCs w:val="17"/>
          <w:color w:val="110E13"/>
        </w:rPr>
        <w:t>mean the board of directors of the Company.</w:t>
      </w:r>
    </w:p>
    <w:p>
      <w:pPr>
        <w:spacing w:after="0" w:line="176" w:lineRule="exact"/>
        <w:rPr>
          <w:sz w:val="20"/>
          <w:szCs w:val="20"/>
          <w:color w:val="auto"/>
        </w:rPr>
      </w:pPr>
    </w:p>
    <w:p>
      <w:pPr>
        <w:ind w:right="720" w:firstLine="509"/>
        <w:spacing w:after="0" w:line="276" w:lineRule="auto"/>
        <w:rPr>
          <w:sz w:val="20"/>
          <w:szCs w:val="20"/>
          <w:color w:val="auto"/>
        </w:rPr>
      </w:pPr>
      <w:r>
        <w:rPr>
          <w:rFonts w:ascii="Arial" w:cs="Arial" w:eastAsia="Arial" w:hAnsi="Arial"/>
          <w:sz w:val="17"/>
          <w:szCs w:val="17"/>
          <w:b w:val="1"/>
          <w:bCs w:val="1"/>
          <w:color w:val="110E13"/>
        </w:rPr>
        <w:t xml:space="preserve">“Business Day” </w:t>
      </w:r>
      <w:r>
        <w:rPr>
          <w:rFonts w:ascii="Arial" w:cs="Arial" w:eastAsia="Arial" w:hAnsi="Arial"/>
          <w:sz w:val="17"/>
          <w:szCs w:val="17"/>
          <w:color w:val="110E13"/>
        </w:rPr>
        <w:t>shall mean any day</w:t>
      </w:r>
      <w:r>
        <w:rPr>
          <w:rFonts w:ascii="Arial" w:cs="Arial" w:eastAsia="Arial" w:hAnsi="Arial"/>
          <w:sz w:val="17"/>
          <w:szCs w:val="17"/>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other than a Saturday</w:t>
      </w:r>
      <w:r>
        <w:rPr>
          <w:rFonts w:ascii="Arial" w:cs="Arial" w:eastAsia="Arial" w:hAnsi="Arial"/>
          <w:sz w:val="17"/>
          <w:szCs w:val="17"/>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Sunday or a day on which banking institutions in The City of New York</w:t>
      </w:r>
      <w:r>
        <w:rPr>
          <w:rFonts w:ascii="Arial" w:cs="Arial" w:eastAsia="Arial" w:hAnsi="Arial"/>
          <w:sz w:val="17"/>
          <w:szCs w:val="17"/>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New York are</w:t>
      </w:r>
      <w:r>
        <w:rPr>
          <w:rFonts w:ascii="Arial" w:cs="Arial" w:eastAsia="Arial" w:hAnsi="Arial"/>
          <w:sz w:val="17"/>
          <w:szCs w:val="17"/>
          <w:b w:val="1"/>
          <w:bCs w:val="1"/>
          <w:color w:val="110E13"/>
        </w:rPr>
        <w:t xml:space="preserve"> </w:t>
      </w:r>
      <w:r>
        <w:rPr>
          <w:rFonts w:ascii="Arial" w:cs="Arial" w:eastAsia="Arial" w:hAnsi="Arial"/>
          <w:sz w:val="17"/>
          <w:szCs w:val="17"/>
          <w:color w:val="110E13"/>
        </w:rPr>
        <w:t>authorized or obligated by law or executive order to remain closed.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“Change in Control” </w:t>
      </w:r>
      <w:r>
        <w:rPr>
          <w:rFonts w:ascii="Arial" w:cs="Arial" w:eastAsia="Arial" w:hAnsi="Arial"/>
          <w:sz w:val="17"/>
          <w:szCs w:val="17"/>
          <w:color w:val="110E13"/>
        </w:rPr>
        <w:t>shall mean a “Fundamental Change” as defined in the Notes.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“Closing” </w:t>
      </w:r>
      <w:r>
        <w:rPr>
          <w:rFonts w:ascii="Arial" w:cs="Arial" w:eastAsia="Arial" w:hAnsi="Arial"/>
          <w:sz w:val="17"/>
          <w:szCs w:val="17"/>
          <w:color w:val="110E13"/>
        </w:rPr>
        <w:t>shall have</w:t>
      </w:r>
      <w:r>
        <w:rPr>
          <w:rFonts w:ascii="Arial" w:cs="Arial" w:eastAsia="Arial" w:hAnsi="Arial"/>
          <w:sz w:val="17"/>
          <w:szCs w:val="17"/>
          <w:b w:val="1"/>
          <w:bCs w:val="1"/>
          <w:color w:val="110E13"/>
        </w:rPr>
        <w:t xml:space="preserve"> </w:t>
      </w:r>
      <w:r>
        <w:rPr>
          <w:rFonts w:ascii="Arial" w:cs="Arial" w:eastAsia="Arial" w:hAnsi="Arial"/>
          <w:sz w:val="17"/>
          <w:szCs w:val="17"/>
          <w:color w:val="000000"/>
        </w:rPr>
        <w:t>the</w:t>
      </w:r>
      <w:r>
        <w:rPr>
          <w:rFonts w:ascii="Arial" w:cs="Arial" w:eastAsia="Arial" w:hAnsi="Arial"/>
          <w:sz w:val="17"/>
          <w:szCs w:val="17"/>
          <w:b w:val="1"/>
          <w:bCs w:val="1"/>
          <w:color w:val="110E13"/>
        </w:rPr>
        <w:t xml:space="preserve"> </w:t>
      </w:r>
      <w:r>
        <w:rPr>
          <w:rFonts w:ascii="Arial" w:cs="Arial" w:eastAsia="Arial" w:hAnsi="Arial"/>
          <w:sz w:val="17"/>
          <w:szCs w:val="17"/>
          <w:color w:val="110E13"/>
        </w:rPr>
        <w:t>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2.02(a)</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Closing Date</w:t>
      </w:r>
      <w:r>
        <w:rPr>
          <w:rFonts w:ascii="Arial" w:cs="Arial" w:eastAsia="Arial" w:hAnsi="Arial"/>
          <w:sz w:val="17"/>
          <w:szCs w:val="17"/>
          <w:color w:val="110E13"/>
        </w:rPr>
        <w:t xml:space="preserve">” shall </w:t>
      </w:r>
      <w:r>
        <w:rPr>
          <w:rFonts w:ascii="Arial" w:cs="Arial" w:eastAsia="Arial" w:hAnsi="Arial"/>
          <w:sz w:val="17"/>
          <w:szCs w:val="17"/>
          <w:color w:val="000000"/>
        </w:rPr>
        <w:t>have</w:t>
      </w:r>
      <w:r>
        <w:rPr>
          <w:rFonts w:ascii="Arial" w:cs="Arial" w:eastAsia="Arial" w:hAnsi="Arial"/>
          <w:sz w:val="17"/>
          <w:szCs w:val="17"/>
          <w:color w:val="110E13"/>
        </w:rPr>
        <w:t xml:space="preserve"> the meaning set forth in </w:t>
      </w:r>
      <w:r>
        <w:rPr>
          <w:rFonts w:ascii="Arial" w:cs="Arial" w:eastAsia="Arial" w:hAnsi="Arial"/>
          <w:sz w:val="17"/>
          <w:szCs w:val="17"/>
          <w:color w:val="000000"/>
        </w:rPr>
        <w:t>Section 2.02(a)</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Company</w:t>
      </w:r>
      <w:r>
        <w:rPr>
          <w:rFonts w:ascii="Arial" w:cs="Arial" w:eastAsia="Arial" w:hAnsi="Arial"/>
          <w:sz w:val="17"/>
          <w:szCs w:val="17"/>
          <w:color w:val="28282A"/>
        </w:rPr>
        <w:t>”</w:t>
      </w:r>
      <w:r>
        <w:rPr>
          <w:rFonts w:ascii="Arial" w:cs="Arial" w:eastAsia="Arial" w:hAnsi="Arial"/>
          <w:sz w:val="17"/>
          <w:szCs w:val="17"/>
          <w:color w:val="110E13"/>
        </w:rPr>
        <w:t xml:space="preserve"> shall have the meaning set forth in the preamble hereto.</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Company Common Stock</w:t>
      </w:r>
      <w:r>
        <w:rPr>
          <w:rFonts w:ascii="Arial" w:cs="Arial" w:eastAsia="Arial" w:hAnsi="Arial"/>
          <w:sz w:val="17"/>
          <w:szCs w:val="17"/>
          <w:color w:val="110E13"/>
        </w:rPr>
        <w:t xml:space="preserve">” </w:t>
      </w:r>
      <w:r>
        <w:rPr>
          <w:rFonts w:ascii="Arial" w:cs="Arial" w:eastAsia="Arial" w:hAnsi="Arial"/>
          <w:sz w:val="17"/>
          <w:szCs w:val="17"/>
          <w:color w:val="000000"/>
        </w:rPr>
        <w:t>shall</w:t>
      </w:r>
      <w:r>
        <w:rPr>
          <w:rFonts w:ascii="Arial" w:cs="Arial" w:eastAsia="Arial" w:hAnsi="Arial"/>
          <w:sz w:val="17"/>
          <w:szCs w:val="17"/>
          <w:color w:val="110E13"/>
        </w:rPr>
        <w:t xml:space="preserve"> mean the common stock</w:t>
      </w:r>
      <w:r>
        <w:rPr>
          <w:rFonts w:ascii="Arial" w:cs="Arial" w:eastAsia="Arial" w:hAnsi="Arial"/>
          <w:sz w:val="17"/>
          <w:szCs w:val="17"/>
          <w:color w:val="282828"/>
        </w:rPr>
        <w:t>,</w:t>
      </w:r>
      <w:r>
        <w:rPr>
          <w:rFonts w:ascii="Arial" w:cs="Arial" w:eastAsia="Arial" w:hAnsi="Arial"/>
          <w:sz w:val="17"/>
          <w:szCs w:val="17"/>
          <w:color w:val="110E13"/>
        </w:rPr>
        <w:t xml:space="preserve"> par value $0</w:t>
      </w:r>
      <w:r>
        <w:rPr>
          <w:rFonts w:ascii="Arial" w:cs="Arial" w:eastAsia="Arial" w:hAnsi="Arial"/>
          <w:sz w:val="17"/>
          <w:szCs w:val="17"/>
          <w:color w:val="282828"/>
        </w:rPr>
        <w:t>.</w:t>
      </w:r>
      <w:r>
        <w:rPr>
          <w:rFonts w:ascii="Arial" w:cs="Arial" w:eastAsia="Arial" w:hAnsi="Arial"/>
          <w:sz w:val="17"/>
          <w:szCs w:val="17"/>
          <w:color w:val="110E13"/>
        </w:rPr>
        <w:t>0001 per share</w:t>
      </w:r>
      <w:r>
        <w:rPr>
          <w:rFonts w:ascii="Arial" w:cs="Arial" w:eastAsia="Arial" w:hAnsi="Arial"/>
          <w:sz w:val="17"/>
          <w:szCs w:val="17"/>
          <w:color w:val="282828"/>
        </w:rPr>
        <w:t>,</w:t>
      </w:r>
      <w:r>
        <w:rPr>
          <w:rFonts w:ascii="Arial" w:cs="Arial" w:eastAsia="Arial" w:hAnsi="Arial"/>
          <w:sz w:val="17"/>
          <w:szCs w:val="17"/>
          <w:color w:val="110E13"/>
        </w:rPr>
        <w:t xml:space="preserve"> of the Company.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282828"/>
        </w:rPr>
        <w:t>“</w:t>
      </w:r>
      <w:r>
        <w:rPr>
          <w:rFonts w:ascii="Arial" w:cs="Arial" w:eastAsia="Arial" w:hAnsi="Arial"/>
          <w:sz w:val="17"/>
          <w:szCs w:val="17"/>
          <w:b w:val="1"/>
          <w:bCs w:val="1"/>
          <w:color w:val="110E13"/>
        </w:rPr>
        <w:t>Company Reports</w:t>
      </w:r>
      <w:r>
        <w:rPr>
          <w:rFonts w:ascii="Arial" w:cs="Arial" w:eastAsia="Arial" w:hAnsi="Arial"/>
          <w:sz w:val="17"/>
          <w:szCs w:val="17"/>
          <w:color w:val="110E13"/>
        </w:rPr>
        <w:t>” shall</w:t>
      </w:r>
      <w:r>
        <w:rPr>
          <w:rFonts w:ascii="Arial" w:cs="Arial" w:eastAsia="Arial" w:hAnsi="Arial"/>
          <w:sz w:val="17"/>
          <w:szCs w:val="17"/>
          <w:color w:val="282828"/>
        </w:rPr>
        <w:t xml:space="preserve"> </w:t>
      </w:r>
      <w:r>
        <w:rPr>
          <w:rFonts w:ascii="Arial" w:cs="Arial" w:eastAsia="Arial" w:hAnsi="Arial"/>
          <w:sz w:val="17"/>
          <w:szCs w:val="17"/>
          <w:color w:val="000000"/>
        </w:rPr>
        <w:t>have</w:t>
      </w:r>
      <w:r>
        <w:rPr>
          <w:rFonts w:ascii="Arial" w:cs="Arial" w:eastAsia="Arial" w:hAnsi="Arial"/>
          <w:sz w:val="17"/>
          <w:szCs w:val="17"/>
          <w:color w:val="282828"/>
        </w:rPr>
        <w:t xml:space="preserve"> </w:t>
      </w:r>
      <w:r>
        <w:rPr>
          <w:rFonts w:ascii="Arial" w:cs="Arial" w:eastAsia="Arial" w:hAnsi="Arial"/>
          <w:sz w:val="17"/>
          <w:szCs w:val="17"/>
          <w:color w:val="110E13"/>
        </w:rPr>
        <w:t>the meaning set forth in</w:t>
      </w:r>
      <w:r>
        <w:rPr>
          <w:rFonts w:ascii="Arial" w:cs="Arial" w:eastAsia="Arial" w:hAnsi="Arial"/>
          <w:sz w:val="17"/>
          <w:szCs w:val="17"/>
          <w:color w:val="282828"/>
        </w:rPr>
        <w:t xml:space="preserve"> </w:t>
      </w:r>
      <w:r>
        <w:rPr>
          <w:rFonts w:ascii="Arial" w:cs="Arial" w:eastAsia="Arial" w:hAnsi="Arial"/>
          <w:sz w:val="17"/>
          <w:szCs w:val="17"/>
          <w:color w:val="000000"/>
        </w:rPr>
        <w:t>Section 3.01(g)(i)</w:t>
      </w:r>
      <w:r>
        <w:rPr>
          <w:rFonts w:ascii="Arial" w:cs="Arial" w:eastAsia="Arial" w:hAnsi="Arial"/>
          <w:sz w:val="17"/>
          <w:szCs w:val="17"/>
          <w:color w:val="110E13"/>
        </w:rPr>
        <w:t>.</w:t>
      </w:r>
    </w:p>
    <w:p>
      <w:pPr>
        <w:spacing w:after="0" w:line="176" w:lineRule="exact"/>
        <w:rPr>
          <w:sz w:val="20"/>
          <w:szCs w:val="20"/>
          <w:color w:val="auto"/>
        </w:rPr>
      </w:pPr>
    </w:p>
    <w:p>
      <w:pPr>
        <w:jc w:val="both"/>
        <w:ind w:right="60" w:firstLine="509"/>
        <w:spacing w:after="0" w:line="262" w:lineRule="auto"/>
        <w:rPr>
          <w:sz w:val="20"/>
          <w:szCs w:val="20"/>
          <w:color w:val="auto"/>
        </w:rPr>
      </w:pPr>
      <w:r>
        <w:rPr>
          <w:rFonts w:ascii="Arial" w:cs="Arial" w:eastAsia="Arial" w:hAnsi="Arial"/>
          <w:sz w:val="17"/>
          <w:szCs w:val="17"/>
          <w:b w:val="1"/>
          <w:bCs w:val="1"/>
          <w:color w:val="282828"/>
        </w:rPr>
        <w:t>“</w:t>
      </w:r>
      <w:r>
        <w:rPr>
          <w:rFonts w:ascii="Arial" w:cs="Arial" w:eastAsia="Arial" w:hAnsi="Arial"/>
          <w:sz w:val="17"/>
          <w:szCs w:val="17"/>
          <w:b w:val="1"/>
          <w:bCs w:val="1"/>
          <w:color w:val="110E13"/>
        </w:rPr>
        <w:t>Company Securities”</w:t>
      </w:r>
      <w:r>
        <w:rPr>
          <w:rFonts w:ascii="Arial" w:cs="Arial" w:eastAsia="Arial" w:hAnsi="Arial"/>
          <w:sz w:val="17"/>
          <w:szCs w:val="17"/>
          <w:b w:val="1"/>
          <w:bCs w:val="1"/>
          <w:color w:val="282828"/>
        </w:rPr>
        <w:t xml:space="preserve"> </w:t>
      </w:r>
      <w:r>
        <w:rPr>
          <w:rFonts w:ascii="Arial" w:cs="Arial" w:eastAsia="Arial" w:hAnsi="Arial"/>
          <w:sz w:val="17"/>
          <w:szCs w:val="17"/>
          <w:color w:val="110E13"/>
        </w:rPr>
        <w:t>shall mean (i) the Company Common Stock</w:t>
      </w:r>
      <w:r>
        <w:rPr>
          <w:rFonts w:ascii="Arial" w:cs="Arial" w:eastAsia="Arial" w:hAnsi="Arial"/>
          <w:sz w:val="17"/>
          <w:szCs w:val="17"/>
          <w:color w:val="282828"/>
        </w:rPr>
        <w:t>,</w:t>
      </w:r>
      <w:r>
        <w:rPr>
          <w:rFonts w:ascii="Arial" w:cs="Arial" w:eastAsia="Arial" w:hAnsi="Arial"/>
          <w:sz w:val="17"/>
          <w:szCs w:val="17"/>
          <w:b w:val="1"/>
          <w:bCs w:val="1"/>
          <w:color w:val="282828"/>
        </w:rPr>
        <w:t xml:space="preserve"> </w:t>
      </w:r>
      <w:r>
        <w:rPr>
          <w:rFonts w:ascii="Arial" w:cs="Arial" w:eastAsia="Arial" w:hAnsi="Arial"/>
          <w:sz w:val="17"/>
          <w:szCs w:val="17"/>
          <w:color w:val="110E13"/>
        </w:rPr>
        <w:t>(ii) securities</w:t>
      </w:r>
      <w:r>
        <w:rPr>
          <w:rFonts w:ascii="Arial" w:cs="Arial" w:eastAsia="Arial" w:hAnsi="Arial"/>
          <w:sz w:val="17"/>
          <w:szCs w:val="17"/>
          <w:b w:val="1"/>
          <w:bCs w:val="1"/>
          <w:color w:val="282828"/>
        </w:rPr>
        <w:t xml:space="preserve"> </w:t>
      </w:r>
      <w:r>
        <w:rPr>
          <w:rFonts w:ascii="Arial" w:cs="Arial" w:eastAsia="Arial" w:hAnsi="Arial"/>
          <w:sz w:val="17"/>
          <w:szCs w:val="17"/>
          <w:color w:val="000000"/>
        </w:rPr>
        <w:t>convertible</w:t>
      </w:r>
      <w:r>
        <w:rPr>
          <w:rFonts w:ascii="Arial" w:cs="Arial" w:eastAsia="Arial" w:hAnsi="Arial"/>
          <w:sz w:val="17"/>
          <w:szCs w:val="17"/>
          <w:b w:val="1"/>
          <w:bCs w:val="1"/>
          <w:color w:val="282828"/>
        </w:rPr>
        <w:t xml:space="preserve"> </w:t>
      </w:r>
      <w:r>
        <w:rPr>
          <w:rFonts w:ascii="Arial" w:cs="Arial" w:eastAsia="Arial" w:hAnsi="Arial"/>
          <w:sz w:val="17"/>
          <w:szCs w:val="17"/>
          <w:color w:val="110E13"/>
        </w:rPr>
        <w:t>into or exchangeable for Company Common Stock</w:t>
      </w:r>
      <w:r>
        <w:rPr>
          <w:rFonts w:ascii="Arial" w:cs="Arial" w:eastAsia="Arial" w:hAnsi="Arial"/>
          <w:sz w:val="17"/>
          <w:szCs w:val="17"/>
          <w:color w:val="282828"/>
        </w:rPr>
        <w:t>,</w:t>
      </w:r>
      <w:r>
        <w:rPr>
          <w:rFonts w:ascii="Arial" w:cs="Arial" w:eastAsia="Arial" w:hAnsi="Arial"/>
          <w:sz w:val="17"/>
          <w:szCs w:val="17"/>
          <w:b w:val="1"/>
          <w:bCs w:val="1"/>
          <w:color w:val="282828"/>
        </w:rPr>
        <w:t xml:space="preserve"> </w:t>
      </w:r>
      <w:r>
        <w:rPr>
          <w:rFonts w:ascii="Arial" w:cs="Arial" w:eastAsia="Arial" w:hAnsi="Arial"/>
          <w:sz w:val="17"/>
          <w:szCs w:val="17"/>
          <w:color w:val="110E13"/>
        </w:rPr>
        <w:t>including</w:t>
      </w:r>
      <w:r>
        <w:rPr>
          <w:rFonts w:ascii="Arial" w:cs="Arial" w:eastAsia="Arial" w:hAnsi="Arial"/>
          <w:sz w:val="17"/>
          <w:szCs w:val="17"/>
          <w:b w:val="1"/>
          <w:bCs w:val="1"/>
          <w:color w:val="282828"/>
        </w:rPr>
        <w:t xml:space="preserve"> </w:t>
      </w:r>
      <w:r>
        <w:rPr>
          <w:rFonts w:ascii="Arial" w:cs="Arial" w:eastAsia="Arial" w:hAnsi="Arial"/>
          <w:sz w:val="17"/>
          <w:szCs w:val="17"/>
          <w:color w:val="110E13"/>
        </w:rPr>
        <w:t>the Notes</w:t>
      </w:r>
      <w:r>
        <w:rPr>
          <w:rFonts w:ascii="Arial" w:cs="Arial" w:eastAsia="Arial" w:hAnsi="Arial"/>
          <w:sz w:val="17"/>
          <w:szCs w:val="17"/>
          <w:color w:val="282828"/>
        </w:rPr>
        <w:t>,</w:t>
      </w:r>
      <w:r>
        <w:rPr>
          <w:rFonts w:ascii="Arial" w:cs="Arial" w:eastAsia="Arial" w:hAnsi="Arial"/>
          <w:sz w:val="17"/>
          <w:szCs w:val="17"/>
          <w:color w:val="110E13"/>
        </w:rPr>
        <w:t xml:space="preserve"> (iii) any other equity or equity-linked securities issued by the Company and (iv) any options</w:t>
      </w:r>
      <w:r>
        <w:rPr>
          <w:rFonts w:ascii="Arial" w:cs="Arial" w:eastAsia="Arial" w:hAnsi="Arial"/>
          <w:sz w:val="17"/>
          <w:szCs w:val="17"/>
          <w:color w:val="282828"/>
        </w:rPr>
        <w:t>,</w:t>
      </w:r>
      <w:r>
        <w:rPr>
          <w:rFonts w:ascii="Arial" w:cs="Arial" w:eastAsia="Arial" w:hAnsi="Arial"/>
          <w:sz w:val="17"/>
          <w:szCs w:val="17"/>
          <w:color w:val="110E13"/>
        </w:rPr>
        <w:t xml:space="preserve"> warrants or other rights to acquire Company Common Stock or any other equity or equity-linked securities issued by the Company.</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Confidential Information</w:t>
      </w:r>
      <w:r>
        <w:rPr>
          <w:rFonts w:ascii="Arial" w:cs="Arial" w:eastAsia="Arial" w:hAnsi="Arial"/>
          <w:sz w:val="17"/>
          <w:szCs w:val="17"/>
          <w:color w:val="282828"/>
        </w:rPr>
        <w:t>”</w:t>
      </w:r>
      <w:r>
        <w:rPr>
          <w:rFonts w:ascii="Arial" w:cs="Arial" w:eastAsia="Arial" w:hAnsi="Arial"/>
          <w:sz w:val="17"/>
          <w:szCs w:val="17"/>
          <w:color w:val="110E13"/>
        </w:rPr>
        <w:t xml:space="preserve"> shall have the meaning set forth in </w:t>
      </w:r>
      <w:r>
        <w:rPr>
          <w:rFonts w:ascii="Arial" w:cs="Arial" w:eastAsia="Arial" w:hAnsi="Arial"/>
          <w:sz w:val="17"/>
          <w:szCs w:val="17"/>
          <w:color w:val="000000"/>
        </w:rPr>
        <w:t>Section 4.08(b)</w:t>
      </w:r>
      <w:r>
        <w:rPr>
          <w:rFonts w:ascii="Arial" w:cs="Arial" w:eastAsia="Arial" w:hAnsi="Arial"/>
          <w:sz w:val="17"/>
          <w:szCs w:val="17"/>
          <w:color w:val="110E13"/>
        </w:rPr>
        <w:t>.</w:t>
      </w:r>
    </w:p>
    <w:p>
      <w:pPr>
        <w:spacing w:after="0" w:line="176" w:lineRule="exact"/>
        <w:rPr>
          <w:sz w:val="20"/>
          <w:szCs w:val="20"/>
          <w:color w:val="auto"/>
        </w:rPr>
      </w:pPr>
    </w:p>
    <w:p>
      <w:pPr>
        <w:ind w:firstLine="509"/>
        <w:spacing w:after="0" w:line="276" w:lineRule="auto"/>
        <w:rPr>
          <w:sz w:val="20"/>
          <w:szCs w:val="20"/>
          <w:color w:val="auto"/>
        </w:rPr>
      </w:pPr>
      <w:r>
        <w:rPr>
          <w:rFonts w:ascii="Arial" w:cs="Arial" w:eastAsia="Arial" w:hAnsi="Arial"/>
          <w:sz w:val="17"/>
          <w:szCs w:val="17"/>
          <w:b w:val="1"/>
          <w:bCs w:val="1"/>
          <w:color w:val="110E13"/>
        </w:rPr>
        <w:t xml:space="preserve">“Confidentiality Agreement” </w:t>
      </w:r>
      <w:r>
        <w:rPr>
          <w:rFonts w:ascii="Arial" w:cs="Arial" w:eastAsia="Arial" w:hAnsi="Arial"/>
          <w:sz w:val="17"/>
          <w:szCs w:val="17"/>
          <w:color w:val="000000"/>
        </w:rPr>
        <w:t>shall</w:t>
      </w:r>
      <w:r>
        <w:rPr>
          <w:rFonts w:ascii="Arial" w:cs="Arial" w:eastAsia="Arial" w:hAnsi="Arial"/>
          <w:sz w:val="17"/>
          <w:szCs w:val="17"/>
          <w:b w:val="1"/>
          <w:bCs w:val="1"/>
          <w:color w:val="110E13"/>
        </w:rPr>
        <w:t xml:space="preserve"> </w:t>
      </w:r>
      <w:r>
        <w:rPr>
          <w:rFonts w:ascii="Arial" w:cs="Arial" w:eastAsia="Arial" w:hAnsi="Arial"/>
          <w:sz w:val="17"/>
          <w:szCs w:val="17"/>
          <w:color w:val="110E13"/>
        </w:rPr>
        <w:t>mean the Mutual Confidentiality And Non-Disclosure Agreement entered into between the Company and Koch Strategic</w:t>
      </w:r>
      <w:r>
        <w:rPr>
          <w:rFonts w:ascii="Arial" w:cs="Arial" w:eastAsia="Arial" w:hAnsi="Arial"/>
          <w:sz w:val="17"/>
          <w:szCs w:val="17"/>
          <w:b w:val="1"/>
          <w:bCs w:val="1"/>
          <w:color w:val="110E13"/>
        </w:rPr>
        <w:t xml:space="preserve"> </w:t>
      </w:r>
      <w:r>
        <w:rPr>
          <w:rFonts w:ascii="Arial" w:cs="Arial" w:eastAsia="Arial" w:hAnsi="Arial"/>
          <w:sz w:val="17"/>
          <w:szCs w:val="17"/>
          <w:color w:val="110E13"/>
        </w:rPr>
        <w:t>Platforms, LLC</w:t>
      </w:r>
      <w:r>
        <w:rPr>
          <w:rFonts w:ascii="Arial" w:cs="Arial" w:eastAsia="Arial" w:hAnsi="Arial"/>
          <w:sz w:val="17"/>
          <w:szCs w:val="17"/>
          <w:color w:val="282828"/>
        </w:rPr>
        <w:t>,</w:t>
      </w:r>
      <w:r>
        <w:rPr>
          <w:rFonts w:ascii="Arial" w:cs="Arial" w:eastAsia="Arial" w:hAnsi="Arial"/>
          <w:sz w:val="17"/>
          <w:szCs w:val="17"/>
          <w:color w:val="110E13"/>
        </w:rPr>
        <w:t xml:space="preserve"> dated as of May </w:t>
      </w:r>
      <w:r>
        <w:rPr>
          <w:rFonts w:ascii="Arial" w:cs="Arial" w:eastAsia="Arial" w:hAnsi="Arial"/>
          <w:sz w:val="17"/>
          <w:szCs w:val="17"/>
          <w:color w:val="000000"/>
        </w:rPr>
        <w:t>5</w:t>
      </w:r>
      <w:r>
        <w:rPr>
          <w:rFonts w:ascii="Arial" w:cs="Arial" w:eastAsia="Arial" w:hAnsi="Arial"/>
          <w:sz w:val="17"/>
          <w:szCs w:val="17"/>
          <w:color w:val="110E13"/>
        </w:rPr>
        <w:t>, 2021.</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8"/>
        </w:rPr>
        <w:t>“</w:t>
      </w:r>
      <w:r>
        <w:rPr>
          <w:rFonts w:ascii="Arial" w:cs="Arial" w:eastAsia="Arial" w:hAnsi="Arial"/>
          <w:sz w:val="17"/>
          <w:szCs w:val="17"/>
          <w:b w:val="1"/>
          <w:bCs w:val="1"/>
          <w:color w:val="110E13"/>
        </w:rPr>
        <w:t>DGCL”</w:t>
      </w:r>
      <w:r>
        <w:rPr>
          <w:rFonts w:ascii="Arial" w:cs="Arial" w:eastAsia="Arial" w:hAnsi="Arial"/>
          <w:sz w:val="17"/>
          <w:szCs w:val="17"/>
          <w:b w:val="1"/>
          <w:bCs w:val="1"/>
          <w:color w:val="282828"/>
        </w:rPr>
        <w:t xml:space="preserve"> </w:t>
      </w:r>
      <w:r>
        <w:rPr>
          <w:rFonts w:ascii="Arial" w:cs="Arial" w:eastAsia="Arial" w:hAnsi="Arial"/>
          <w:sz w:val="17"/>
          <w:szCs w:val="17"/>
          <w:color w:val="110E13"/>
        </w:rPr>
        <w:t>shall mean the Delaware General Corporation Law.</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“Disqualification Event” </w:t>
      </w:r>
      <w:r>
        <w:rPr>
          <w:rFonts w:ascii="Arial" w:cs="Arial" w:eastAsia="Arial" w:hAnsi="Arial"/>
          <w:sz w:val="17"/>
          <w:szCs w:val="17"/>
          <w:color w:val="110E13"/>
        </w:rPr>
        <w:t>shall</w:t>
      </w:r>
      <w:r>
        <w:rPr>
          <w:rFonts w:ascii="Arial" w:cs="Arial" w:eastAsia="Arial" w:hAnsi="Arial"/>
          <w:sz w:val="17"/>
          <w:szCs w:val="17"/>
          <w:b w:val="1"/>
          <w:bCs w:val="1"/>
          <w:color w:val="110E13"/>
        </w:rPr>
        <w:t xml:space="preserve"> </w:t>
      </w:r>
      <w:r>
        <w:rPr>
          <w:rFonts w:ascii="Arial" w:cs="Arial" w:eastAsia="Arial" w:hAnsi="Arial"/>
          <w:sz w:val="17"/>
          <w:szCs w:val="17"/>
          <w:color w:val="000000"/>
        </w:rPr>
        <w:t>have</w:t>
      </w:r>
      <w:r>
        <w:rPr>
          <w:rFonts w:ascii="Arial" w:cs="Arial" w:eastAsia="Arial" w:hAnsi="Arial"/>
          <w:sz w:val="17"/>
          <w:szCs w:val="17"/>
          <w:b w:val="1"/>
          <w:bCs w:val="1"/>
          <w:color w:val="110E13"/>
        </w:rPr>
        <w:t xml:space="preserve"> </w:t>
      </w:r>
      <w:r>
        <w:rPr>
          <w:rFonts w:ascii="Arial" w:cs="Arial" w:eastAsia="Arial" w:hAnsi="Arial"/>
          <w:sz w:val="17"/>
          <w:szCs w:val="17"/>
          <w:color w:val="110E13"/>
        </w:rPr>
        <w:t>the meaning set forth in Section 3.02(d)(iii).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“Enforceability Exceptions</w:t>
      </w:r>
      <w:r>
        <w:rPr>
          <w:rFonts w:ascii="Arial" w:cs="Arial" w:eastAsia="Arial" w:hAnsi="Arial"/>
          <w:sz w:val="17"/>
          <w:szCs w:val="17"/>
          <w:b w:val="1"/>
          <w:bCs w:val="1"/>
          <w:color w:val="282828"/>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3.01(c)</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“Exchange Act” </w:t>
      </w:r>
      <w:r>
        <w:rPr>
          <w:rFonts w:ascii="Arial" w:cs="Arial" w:eastAsia="Arial" w:hAnsi="Arial"/>
          <w:sz w:val="17"/>
          <w:szCs w:val="17"/>
          <w:color w:val="110E13"/>
        </w:rPr>
        <w:t>shall mean the U.S.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00" w:top="1152" w:right="359" w:bottom="1440" w:gutter="0" w:footer="0" w:header="0"/>
        </w:sectPr>
      </w:pPr>
    </w:p>
    <w:bookmarkStart w:id="134" w:name="page135"/>
    <w:bookmarkEnd w:id="134"/>
    <w:p>
      <w:pPr>
        <w:ind w:left="520"/>
        <w:spacing w:after="0"/>
        <w:rPr>
          <w:sz w:val="20"/>
          <w:szCs w:val="20"/>
          <w:color w:val="auto"/>
        </w:rPr>
      </w:pPr>
      <w:r>
        <w:rPr>
          <w:rFonts w:ascii="Arial" w:cs="Arial" w:eastAsia="Arial" w:hAnsi="Arial"/>
          <w:sz w:val="17"/>
          <w:szCs w:val="17"/>
          <w:b w:val="1"/>
          <w:bCs w:val="1"/>
          <w:color w:val="110E13"/>
        </w:rPr>
        <w:t xml:space="preserve">“Extraordinary Transaction” </w:t>
      </w:r>
      <w:r>
        <w:rPr>
          <w:rFonts w:ascii="Arial" w:cs="Arial" w:eastAsia="Arial" w:hAnsi="Arial"/>
          <w:sz w:val="17"/>
          <w:szCs w:val="17"/>
          <w:color w:val="110E13"/>
        </w:rPr>
        <w:t>shall have the meaning set forth in Section 4.03(a)(v).</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“FCPA” </w:t>
      </w:r>
      <w:r>
        <w:rPr>
          <w:rFonts w:ascii="Arial" w:cs="Arial" w:eastAsia="Arial" w:hAnsi="Arial"/>
          <w:sz w:val="17"/>
          <w:szCs w:val="17"/>
          <w:color w:val="110E13"/>
        </w:rPr>
        <w:t>shall have the meaning set forth in Section 3.01(j)(ii).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“GAAP</w:t>
      </w:r>
      <w:r>
        <w:rPr>
          <w:rFonts w:ascii="Arial" w:cs="Arial" w:eastAsia="Arial" w:hAnsi="Arial"/>
          <w:sz w:val="17"/>
          <w:szCs w:val="17"/>
          <w:b w:val="1"/>
          <w:bCs w:val="1"/>
          <w:color w:val="282828"/>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mean U.S. generally accepted accounting principles.</w:t>
      </w:r>
    </w:p>
    <w:p>
      <w:pPr>
        <w:spacing w:after="0" w:line="176" w:lineRule="exact"/>
        <w:rPr>
          <w:sz w:val="20"/>
          <w:szCs w:val="20"/>
          <w:color w:val="auto"/>
        </w:rPr>
      </w:pPr>
    </w:p>
    <w:p>
      <w:pPr>
        <w:ind w:right="220" w:firstLine="509"/>
        <w:spacing w:after="0" w:line="276" w:lineRule="auto"/>
        <w:rPr>
          <w:sz w:val="20"/>
          <w:szCs w:val="20"/>
          <w:color w:val="auto"/>
        </w:rPr>
      </w:pPr>
      <w:r>
        <w:rPr>
          <w:rFonts w:ascii="Arial" w:cs="Arial" w:eastAsia="Arial" w:hAnsi="Arial"/>
          <w:sz w:val="17"/>
          <w:szCs w:val="17"/>
          <w:b w:val="1"/>
          <w:bCs w:val="1"/>
          <w:color w:val="110E13"/>
        </w:rPr>
        <w:t xml:space="preserve">“Governmental Entity” </w:t>
      </w:r>
      <w:r>
        <w:rPr>
          <w:rFonts w:ascii="Arial" w:cs="Arial" w:eastAsia="Arial" w:hAnsi="Arial"/>
          <w:sz w:val="17"/>
          <w:szCs w:val="17"/>
          <w:color w:val="110E13"/>
        </w:rPr>
        <w:t>shall mean any court</w:t>
      </w:r>
      <w:r>
        <w:rPr>
          <w:rFonts w:ascii="Arial" w:cs="Arial" w:eastAsia="Arial" w:hAnsi="Arial"/>
          <w:sz w:val="17"/>
          <w:szCs w:val="17"/>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administrative agency or commission or other governmental authority or instrumentality</w:t>
      </w:r>
      <w:r>
        <w:rPr>
          <w:rFonts w:ascii="Arial" w:cs="Arial" w:eastAsia="Arial" w:hAnsi="Arial"/>
          <w:sz w:val="17"/>
          <w:szCs w:val="17"/>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whether federal</w:t>
      </w:r>
      <w:r>
        <w:rPr>
          <w:rFonts w:ascii="Arial" w:cs="Arial" w:eastAsia="Arial" w:hAnsi="Arial"/>
          <w:sz w:val="17"/>
          <w:szCs w:val="17"/>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state</w:t>
      </w:r>
      <w:r>
        <w:rPr>
          <w:rFonts w:ascii="Arial" w:cs="Arial" w:eastAsia="Arial" w:hAnsi="Arial"/>
          <w:sz w:val="17"/>
          <w:szCs w:val="17"/>
          <w:color w:val="2A2A2B"/>
        </w:rPr>
        <w:t>,</w:t>
      </w:r>
      <w:r>
        <w:rPr>
          <w:rFonts w:ascii="Arial" w:cs="Arial" w:eastAsia="Arial" w:hAnsi="Arial"/>
          <w:sz w:val="17"/>
          <w:szCs w:val="17"/>
          <w:color w:val="110E13"/>
        </w:rPr>
        <w:t xml:space="preserve"> local or foreign</w:t>
      </w:r>
      <w:r>
        <w:rPr>
          <w:rFonts w:ascii="Arial" w:cs="Arial" w:eastAsia="Arial" w:hAnsi="Arial"/>
          <w:sz w:val="17"/>
          <w:szCs w:val="17"/>
          <w:color w:val="2A2A2B"/>
        </w:rPr>
        <w:t>,</w:t>
      </w:r>
      <w:r>
        <w:rPr>
          <w:rFonts w:ascii="Arial" w:cs="Arial" w:eastAsia="Arial" w:hAnsi="Arial"/>
          <w:sz w:val="17"/>
          <w:szCs w:val="17"/>
          <w:color w:val="110E13"/>
        </w:rPr>
        <w:t xml:space="preserve"> and any applicable industry self-regulatory organization.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HSR Act</w:t>
      </w:r>
      <w:r>
        <w:rPr>
          <w:rFonts w:ascii="Arial" w:cs="Arial" w:eastAsia="Arial" w:hAnsi="Arial"/>
          <w:sz w:val="17"/>
          <w:szCs w:val="17"/>
          <w:color w:val="110E13"/>
        </w:rPr>
        <w:t>” shall mean the Hart-Scott-Rodino Antitrust Improvements Act of 1976.</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Persons</w:t>
      </w:r>
      <w:r>
        <w:rPr>
          <w:rFonts w:ascii="Arial" w:cs="Arial" w:eastAsia="Arial" w:hAnsi="Arial"/>
          <w:sz w:val="17"/>
          <w:szCs w:val="17"/>
          <w:color w:val="auto"/>
        </w:rPr>
        <w:t>” shall have the meaning set forth in Section 5.05(a).</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“Indenture</w:t>
      </w:r>
      <w:r>
        <w:rPr>
          <w:rFonts w:ascii="Arial" w:cs="Arial" w:eastAsia="Arial" w:hAnsi="Arial"/>
          <w:sz w:val="17"/>
          <w:szCs w:val="17"/>
          <w:b w:val="1"/>
          <w:bCs w:val="1"/>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mean an indenture in the form attached to Exhibit A hereto.</w:t>
      </w:r>
    </w:p>
    <w:p>
      <w:pPr>
        <w:spacing w:after="0" w:line="17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b w:val="1"/>
          <w:bCs w:val="1"/>
          <w:color w:val="auto"/>
        </w:rPr>
        <w:t xml:space="preserve">“Intellectual Property” </w:t>
      </w:r>
      <w:r>
        <w:rPr>
          <w:rFonts w:ascii="Arial" w:cs="Arial" w:eastAsia="Arial" w:hAnsi="Arial"/>
          <w:sz w:val="17"/>
          <w:szCs w:val="17"/>
          <w:color w:val="auto"/>
        </w:rPr>
        <w:t>means trademarks, service marks, trade names, trade dress, domain names and other indi</w:t>
      </w:r>
      <w:r>
        <w:rPr>
          <w:rFonts w:ascii="Arial" w:cs="Arial" w:eastAsia="Arial" w:hAnsi="Arial"/>
          <w:sz w:val="17"/>
          <w:szCs w:val="17"/>
          <w:color w:val="110E13"/>
        </w:rPr>
        <w:t>cations of origin, and the goodwill</w:t>
      </w:r>
      <w:r>
        <w:rPr>
          <w:rFonts w:ascii="Arial" w:cs="Arial" w:eastAsia="Arial" w:hAnsi="Arial"/>
          <w:sz w:val="17"/>
          <w:szCs w:val="17"/>
          <w:b w:val="1"/>
          <w:bCs w:val="1"/>
          <w:color w:val="auto"/>
        </w:rPr>
        <w:t xml:space="preserve"> </w:t>
      </w:r>
      <w:r>
        <w:rPr>
          <w:rFonts w:ascii="Arial" w:cs="Arial" w:eastAsia="Arial" w:hAnsi="Arial"/>
          <w:sz w:val="17"/>
          <w:szCs w:val="17"/>
          <w:color w:val="110E13"/>
        </w:rPr>
        <w:t>associated with the foregoing, mask works, inventions, patents, trade secrets, copyrights, know-how, rights in computer software and code (including any registrations or applications for registration of any of the foregoing) or any other similar type of proprietary intellectual property rights, in each case anywhere in the world.</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110E13"/>
        </w:rPr>
        <w:t>“IRS Form</w:t>
      </w:r>
      <w:r>
        <w:rPr>
          <w:rFonts w:ascii="Arial" w:cs="Arial" w:eastAsia="Arial" w:hAnsi="Arial"/>
          <w:sz w:val="16"/>
          <w:szCs w:val="16"/>
          <w:b w:val="1"/>
          <w:bCs w:val="1"/>
          <w:color w:val="2A2A2B"/>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shall mean the properly executed and completed Internal Revenue Service Form W-9 or the appropriate IRS Form W-8</w:t>
      </w:r>
      <w:r>
        <w:rPr>
          <w:rFonts w:ascii="Arial" w:cs="Arial" w:eastAsia="Arial" w:hAnsi="Arial"/>
          <w:sz w:val="16"/>
          <w:szCs w:val="16"/>
          <w:color w:val="2A2A2B"/>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as applicable.</w:t>
      </w:r>
    </w:p>
    <w:p>
      <w:pPr>
        <w:spacing w:after="0" w:line="198" w:lineRule="exact"/>
        <w:rPr>
          <w:sz w:val="20"/>
          <w:szCs w:val="20"/>
          <w:color w:val="auto"/>
        </w:rPr>
      </w:pPr>
    </w:p>
    <w:p>
      <w:pPr>
        <w:ind w:left="100" w:right="200" w:firstLine="500"/>
        <w:spacing w:after="0" w:line="275" w:lineRule="auto"/>
        <w:rPr>
          <w:sz w:val="20"/>
          <w:szCs w:val="20"/>
          <w:color w:val="auto"/>
        </w:rPr>
      </w:pPr>
      <w:r>
        <w:rPr>
          <w:rFonts w:ascii="Arial" w:cs="Arial" w:eastAsia="Arial" w:hAnsi="Arial"/>
          <w:sz w:val="17"/>
          <w:szCs w:val="17"/>
          <w:b w:val="1"/>
          <w:bCs w:val="1"/>
          <w:color w:val="110E13"/>
        </w:rPr>
        <w:t xml:space="preserve">“Joinder” </w:t>
      </w:r>
      <w:r>
        <w:rPr>
          <w:rFonts w:ascii="Arial" w:cs="Arial" w:eastAsia="Arial" w:hAnsi="Arial"/>
          <w:sz w:val="17"/>
          <w:szCs w:val="17"/>
          <w:color w:val="110E13"/>
        </w:rPr>
        <w:t>shall mean</w:t>
      </w:r>
      <w:r>
        <w:rPr>
          <w:rFonts w:ascii="Arial" w:cs="Arial" w:eastAsia="Arial" w:hAnsi="Arial"/>
          <w:sz w:val="17"/>
          <w:szCs w:val="17"/>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with respect to any Person permitted to sign such document in accordance with the terms hereof</w:t>
      </w:r>
      <w:r>
        <w:rPr>
          <w:rFonts w:ascii="Arial" w:cs="Arial" w:eastAsia="Arial" w:hAnsi="Arial"/>
          <w:sz w:val="17"/>
          <w:szCs w:val="17"/>
          <w:color w:val="2A2A2B"/>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a joinder executed and delivered</w:t>
      </w:r>
      <w:r>
        <w:rPr>
          <w:rFonts w:ascii="Arial" w:cs="Arial" w:eastAsia="Arial" w:hAnsi="Arial"/>
          <w:sz w:val="17"/>
          <w:szCs w:val="17"/>
          <w:b w:val="1"/>
          <w:bCs w:val="1"/>
          <w:color w:val="110E13"/>
        </w:rPr>
        <w:t xml:space="preserve"> </w:t>
      </w:r>
      <w:r>
        <w:rPr>
          <w:rFonts w:ascii="Arial" w:cs="Arial" w:eastAsia="Arial" w:hAnsi="Arial"/>
          <w:sz w:val="17"/>
          <w:szCs w:val="17"/>
          <w:color w:val="110E13"/>
        </w:rPr>
        <w:t>by such Person</w:t>
      </w:r>
      <w:r>
        <w:rPr>
          <w:rFonts w:ascii="Arial" w:cs="Arial" w:eastAsia="Arial" w:hAnsi="Arial"/>
          <w:sz w:val="17"/>
          <w:szCs w:val="17"/>
          <w:color w:val="2A2A2B"/>
        </w:rPr>
        <w:t>,</w:t>
      </w:r>
      <w:r>
        <w:rPr>
          <w:rFonts w:ascii="Arial" w:cs="Arial" w:eastAsia="Arial" w:hAnsi="Arial"/>
          <w:sz w:val="17"/>
          <w:szCs w:val="17"/>
          <w:color w:val="110E13"/>
        </w:rPr>
        <w:t xml:space="preserve"> providing such Person to have all the rights and obligations of a Purchaser under this Agreement</w:t>
      </w:r>
      <w:r>
        <w:rPr>
          <w:rFonts w:ascii="Arial" w:cs="Arial" w:eastAsia="Arial" w:hAnsi="Arial"/>
          <w:sz w:val="17"/>
          <w:szCs w:val="17"/>
          <w:color w:val="2A2A2B"/>
        </w:rPr>
        <w:t>,</w:t>
      </w:r>
      <w:r>
        <w:rPr>
          <w:rFonts w:ascii="Arial" w:cs="Arial" w:eastAsia="Arial" w:hAnsi="Arial"/>
          <w:sz w:val="17"/>
          <w:szCs w:val="17"/>
          <w:color w:val="110E13"/>
        </w:rPr>
        <w:t xml:space="preserve"> in the form and substance substantially as attached hereto as Exhibit B or such other form as may be agreed to by the Company and the Purchaser.</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shall have the meaning set forth in Section 5.05(a).</w:t>
      </w:r>
    </w:p>
    <w:p>
      <w:pPr>
        <w:spacing w:after="0" w:line="18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b w:val="1"/>
          <w:bCs w:val="1"/>
          <w:color w:val="110E13"/>
        </w:rPr>
        <w:t>“Material Adverse Effect</w:t>
      </w:r>
      <w:r>
        <w:rPr>
          <w:rFonts w:ascii="Arial" w:cs="Arial" w:eastAsia="Arial" w:hAnsi="Arial"/>
          <w:sz w:val="16"/>
          <w:szCs w:val="16"/>
          <w:b w:val="1"/>
          <w:bCs w:val="1"/>
          <w:color w:val="2A2A2D"/>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shall mean any events</w:t>
      </w:r>
      <w:r>
        <w:rPr>
          <w:rFonts w:ascii="Arial" w:cs="Arial" w:eastAsia="Arial" w:hAnsi="Arial"/>
          <w:sz w:val="16"/>
          <w:szCs w:val="16"/>
          <w:color w:val="2A2A2D"/>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changes or developments that</w:t>
      </w:r>
      <w:r>
        <w:rPr>
          <w:rFonts w:ascii="Arial" w:cs="Arial" w:eastAsia="Arial" w:hAnsi="Arial"/>
          <w:sz w:val="16"/>
          <w:szCs w:val="16"/>
          <w:color w:val="3B3B3D"/>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individually or in the aggregate</w:t>
      </w:r>
      <w:r>
        <w:rPr>
          <w:rFonts w:ascii="Arial" w:cs="Arial" w:eastAsia="Arial" w:hAnsi="Arial"/>
          <w:sz w:val="16"/>
          <w:szCs w:val="16"/>
          <w:color w:val="2A2A2D"/>
        </w:rPr>
        <w:t>,</w:t>
      </w:r>
      <w:r>
        <w:rPr>
          <w:rFonts w:ascii="Arial" w:cs="Arial" w:eastAsia="Arial" w:hAnsi="Arial"/>
          <w:sz w:val="16"/>
          <w:szCs w:val="16"/>
          <w:b w:val="1"/>
          <w:bCs w:val="1"/>
          <w:color w:val="110E13"/>
        </w:rPr>
        <w:t xml:space="preserve"> </w:t>
      </w:r>
      <w:r>
        <w:rPr>
          <w:rFonts w:ascii="Arial" w:cs="Arial" w:eastAsia="Arial" w:hAnsi="Arial"/>
          <w:sz w:val="16"/>
          <w:szCs w:val="16"/>
          <w:color w:val="110E13"/>
        </w:rPr>
        <w:t>have a material adverse effect on the</w:t>
      </w:r>
      <w:r>
        <w:rPr>
          <w:rFonts w:ascii="Arial" w:cs="Arial" w:eastAsia="Arial" w:hAnsi="Arial"/>
          <w:sz w:val="16"/>
          <w:szCs w:val="16"/>
          <w:b w:val="1"/>
          <w:bCs w:val="1"/>
          <w:color w:val="110E13"/>
        </w:rPr>
        <w:t xml:space="preserve"> </w:t>
      </w:r>
      <w:r>
        <w:rPr>
          <w:rFonts w:ascii="Arial" w:cs="Arial" w:eastAsia="Arial" w:hAnsi="Arial"/>
          <w:sz w:val="16"/>
          <w:szCs w:val="16"/>
          <w:color w:val="110E13"/>
        </w:rPr>
        <w:t>business</w:t>
      </w:r>
      <w:r>
        <w:rPr>
          <w:rFonts w:ascii="Arial" w:cs="Arial" w:eastAsia="Arial" w:hAnsi="Arial"/>
          <w:sz w:val="16"/>
          <w:szCs w:val="16"/>
          <w:color w:val="2A2A2D"/>
        </w:rPr>
        <w:t>,</w:t>
      </w:r>
      <w:r>
        <w:rPr>
          <w:rFonts w:ascii="Arial" w:cs="Arial" w:eastAsia="Arial" w:hAnsi="Arial"/>
          <w:sz w:val="16"/>
          <w:szCs w:val="16"/>
          <w:color w:val="110E13"/>
        </w:rPr>
        <w:t xml:space="preserve"> financial condition or results of operations of the Company and its Subsidiaries</w:t>
      </w:r>
      <w:r>
        <w:rPr>
          <w:rFonts w:ascii="Arial" w:cs="Arial" w:eastAsia="Arial" w:hAnsi="Arial"/>
          <w:sz w:val="16"/>
          <w:szCs w:val="16"/>
          <w:color w:val="2A2A2D"/>
        </w:rPr>
        <w:t>,</w:t>
      </w:r>
      <w:r>
        <w:rPr>
          <w:rFonts w:ascii="Arial" w:cs="Arial" w:eastAsia="Arial" w:hAnsi="Arial"/>
          <w:sz w:val="16"/>
          <w:szCs w:val="16"/>
          <w:color w:val="110E13"/>
        </w:rPr>
        <w:t xml:space="preserve"> taken as a whole</w:t>
      </w:r>
      <w:r>
        <w:rPr>
          <w:rFonts w:ascii="Arial" w:cs="Arial" w:eastAsia="Arial" w:hAnsi="Arial"/>
          <w:sz w:val="16"/>
          <w:szCs w:val="16"/>
          <w:color w:val="2A2A2D"/>
        </w:rPr>
        <w:t>,</w:t>
      </w:r>
      <w:r>
        <w:rPr>
          <w:rFonts w:ascii="Arial" w:cs="Arial" w:eastAsia="Arial" w:hAnsi="Arial"/>
          <w:sz w:val="16"/>
          <w:szCs w:val="16"/>
          <w:color w:val="110E13"/>
        </w:rPr>
        <w:t xml:space="preserve"> other than any event</w:t>
      </w:r>
      <w:r>
        <w:rPr>
          <w:rFonts w:ascii="Arial" w:cs="Arial" w:eastAsia="Arial" w:hAnsi="Arial"/>
          <w:sz w:val="16"/>
          <w:szCs w:val="16"/>
          <w:color w:val="2A2A2D"/>
        </w:rPr>
        <w:t>,</w:t>
      </w:r>
      <w:r>
        <w:rPr>
          <w:rFonts w:ascii="Arial" w:cs="Arial" w:eastAsia="Arial" w:hAnsi="Arial"/>
          <w:sz w:val="16"/>
          <w:szCs w:val="16"/>
          <w:color w:val="110E13"/>
        </w:rPr>
        <w:t xml:space="preserve"> change or development resulting from or arising out of the following</w:t>
      </w:r>
      <w:r>
        <w:rPr>
          <w:rFonts w:ascii="Arial" w:cs="Arial" w:eastAsia="Arial" w:hAnsi="Arial"/>
          <w:sz w:val="16"/>
          <w:szCs w:val="16"/>
          <w:color w:val="2A2A2D"/>
        </w:rPr>
        <w:t>:</w:t>
      </w:r>
      <w:r>
        <w:rPr>
          <w:rFonts w:ascii="Arial" w:cs="Arial" w:eastAsia="Arial" w:hAnsi="Arial"/>
          <w:sz w:val="16"/>
          <w:szCs w:val="16"/>
          <w:color w:val="110E13"/>
        </w:rPr>
        <w:t xml:space="preserve"> (a) events</w:t>
      </w:r>
      <w:r>
        <w:rPr>
          <w:rFonts w:ascii="Arial" w:cs="Arial" w:eastAsia="Arial" w:hAnsi="Arial"/>
          <w:sz w:val="16"/>
          <w:szCs w:val="16"/>
          <w:color w:val="2A2A2D"/>
        </w:rPr>
        <w:t>,</w:t>
      </w:r>
      <w:r>
        <w:rPr>
          <w:rFonts w:ascii="Arial" w:cs="Arial" w:eastAsia="Arial" w:hAnsi="Arial"/>
          <w:sz w:val="16"/>
          <w:szCs w:val="16"/>
          <w:color w:val="110E13"/>
        </w:rPr>
        <w:t xml:space="preserve"> changes or developments generally affecting the economy</w:t>
      </w:r>
      <w:r>
        <w:rPr>
          <w:rFonts w:ascii="Arial" w:cs="Arial" w:eastAsia="Arial" w:hAnsi="Arial"/>
          <w:sz w:val="16"/>
          <w:szCs w:val="16"/>
          <w:color w:val="2A2A2D"/>
        </w:rPr>
        <w:t>,</w:t>
      </w:r>
      <w:r>
        <w:rPr>
          <w:rFonts w:ascii="Arial" w:cs="Arial" w:eastAsia="Arial" w:hAnsi="Arial"/>
          <w:sz w:val="16"/>
          <w:szCs w:val="16"/>
          <w:color w:val="110E13"/>
        </w:rPr>
        <w:t xml:space="preserve"> the financial or securities markets</w:t>
      </w:r>
      <w:r>
        <w:rPr>
          <w:rFonts w:ascii="Arial" w:cs="Arial" w:eastAsia="Arial" w:hAnsi="Arial"/>
          <w:sz w:val="16"/>
          <w:szCs w:val="16"/>
          <w:color w:val="2A2A2D"/>
        </w:rPr>
        <w:t>,</w:t>
      </w:r>
      <w:r>
        <w:rPr>
          <w:rFonts w:ascii="Arial" w:cs="Arial" w:eastAsia="Arial" w:hAnsi="Arial"/>
          <w:sz w:val="16"/>
          <w:szCs w:val="16"/>
          <w:color w:val="110E13"/>
        </w:rPr>
        <w:t xml:space="preserve"> or political</w:t>
      </w:r>
      <w:r>
        <w:rPr>
          <w:rFonts w:ascii="Arial" w:cs="Arial" w:eastAsia="Arial" w:hAnsi="Arial"/>
          <w:sz w:val="16"/>
          <w:szCs w:val="16"/>
          <w:color w:val="2A2A2D"/>
        </w:rPr>
        <w:t>,</w:t>
      </w:r>
      <w:r>
        <w:rPr>
          <w:rFonts w:ascii="Arial" w:cs="Arial" w:eastAsia="Arial" w:hAnsi="Arial"/>
          <w:sz w:val="16"/>
          <w:szCs w:val="16"/>
          <w:color w:val="110E13"/>
        </w:rPr>
        <w:t xml:space="preserve"> legislative or regulatory conditions</w:t>
      </w:r>
      <w:r>
        <w:rPr>
          <w:rFonts w:ascii="Arial" w:cs="Arial" w:eastAsia="Arial" w:hAnsi="Arial"/>
          <w:sz w:val="16"/>
          <w:szCs w:val="16"/>
          <w:color w:val="3B3B3D"/>
        </w:rPr>
        <w:t>,</w:t>
      </w:r>
      <w:r>
        <w:rPr>
          <w:rFonts w:ascii="Arial" w:cs="Arial" w:eastAsia="Arial" w:hAnsi="Arial"/>
          <w:sz w:val="16"/>
          <w:szCs w:val="16"/>
          <w:color w:val="110E13"/>
        </w:rPr>
        <w:t xml:space="preserve"> in each case in the United States or elsewhere in the world</w:t>
      </w:r>
      <w:r>
        <w:rPr>
          <w:rFonts w:ascii="Arial" w:cs="Arial" w:eastAsia="Arial" w:hAnsi="Arial"/>
          <w:sz w:val="16"/>
          <w:szCs w:val="16"/>
          <w:color w:val="2A2A2D"/>
        </w:rPr>
        <w:t>,</w:t>
      </w:r>
      <w:r>
        <w:rPr>
          <w:rFonts w:ascii="Arial" w:cs="Arial" w:eastAsia="Arial" w:hAnsi="Arial"/>
          <w:sz w:val="16"/>
          <w:szCs w:val="16"/>
          <w:color w:val="110E13"/>
        </w:rPr>
        <w:t xml:space="preserve"> (b) events</w:t>
      </w:r>
      <w:r>
        <w:rPr>
          <w:rFonts w:ascii="Arial" w:cs="Arial" w:eastAsia="Arial" w:hAnsi="Arial"/>
          <w:sz w:val="16"/>
          <w:szCs w:val="16"/>
          <w:color w:val="2A2A2D"/>
        </w:rPr>
        <w:t>,</w:t>
      </w:r>
      <w:r>
        <w:rPr>
          <w:rFonts w:ascii="Arial" w:cs="Arial" w:eastAsia="Arial" w:hAnsi="Arial"/>
          <w:sz w:val="16"/>
          <w:szCs w:val="16"/>
          <w:color w:val="110E13"/>
        </w:rPr>
        <w:t xml:space="preserve"> changes or developments in the industries in which the Company or any of its Subsidiaries conducts its business</w:t>
      </w:r>
      <w:r>
        <w:rPr>
          <w:rFonts w:ascii="Arial" w:cs="Arial" w:eastAsia="Arial" w:hAnsi="Arial"/>
          <w:sz w:val="16"/>
          <w:szCs w:val="16"/>
          <w:color w:val="2A2A2D"/>
        </w:rPr>
        <w:t>,</w:t>
      </w:r>
      <w:r>
        <w:rPr>
          <w:rFonts w:ascii="Arial" w:cs="Arial" w:eastAsia="Arial" w:hAnsi="Arial"/>
          <w:sz w:val="16"/>
          <w:szCs w:val="16"/>
          <w:color w:val="110E13"/>
        </w:rPr>
        <w:t xml:space="preserve"> (c) any adoption</w:t>
      </w:r>
      <w:r>
        <w:rPr>
          <w:rFonts w:ascii="Arial" w:cs="Arial" w:eastAsia="Arial" w:hAnsi="Arial"/>
          <w:sz w:val="16"/>
          <w:szCs w:val="16"/>
          <w:color w:val="2A2A2D"/>
        </w:rPr>
        <w:t>,</w:t>
      </w:r>
      <w:r>
        <w:rPr>
          <w:rFonts w:ascii="Arial" w:cs="Arial" w:eastAsia="Arial" w:hAnsi="Arial"/>
          <w:sz w:val="16"/>
          <w:szCs w:val="16"/>
          <w:color w:val="110E13"/>
        </w:rPr>
        <w:t xml:space="preserve"> implementation</w:t>
      </w:r>
      <w:r>
        <w:rPr>
          <w:rFonts w:ascii="Arial" w:cs="Arial" w:eastAsia="Arial" w:hAnsi="Arial"/>
          <w:sz w:val="16"/>
          <w:szCs w:val="16"/>
          <w:color w:val="2A2A2D"/>
        </w:rPr>
        <w:t>,</w:t>
      </w:r>
      <w:r>
        <w:rPr>
          <w:rFonts w:ascii="Arial" w:cs="Arial" w:eastAsia="Arial" w:hAnsi="Arial"/>
          <w:sz w:val="16"/>
          <w:szCs w:val="16"/>
          <w:color w:val="110E13"/>
        </w:rPr>
        <w:t xml:space="preserve"> promulgation</w:t>
      </w:r>
      <w:r>
        <w:rPr>
          <w:rFonts w:ascii="Arial" w:cs="Arial" w:eastAsia="Arial" w:hAnsi="Arial"/>
          <w:sz w:val="16"/>
          <w:szCs w:val="16"/>
          <w:color w:val="2A2A2D"/>
        </w:rPr>
        <w:t>,</w:t>
      </w:r>
      <w:r>
        <w:rPr>
          <w:rFonts w:ascii="Arial" w:cs="Arial" w:eastAsia="Arial" w:hAnsi="Arial"/>
          <w:sz w:val="16"/>
          <w:szCs w:val="16"/>
          <w:color w:val="110E13"/>
        </w:rPr>
        <w:t xml:space="preserve"> repeal</w:t>
      </w:r>
      <w:r>
        <w:rPr>
          <w:rFonts w:ascii="Arial" w:cs="Arial" w:eastAsia="Arial" w:hAnsi="Arial"/>
          <w:sz w:val="16"/>
          <w:szCs w:val="16"/>
          <w:color w:val="2A2A2D"/>
        </w:rPr>
        <w:t>,</w:t>
      </w:r>
      <w:r>
        <w:rPr>
          <w:rFonts w:ascii="Arial" w:cs="Arial" w:eastAsia="Arial" w:hAnsi="Arial"/>
          <w:sz w:val="16"/>
          <w:szCs w:val="16"/>
          <w:color w:val="110E13"/>
        </w:rPr>
        <w:t xml:space="preserve"> modification</w:t>
      </w:r>
      <w:r>
        <w:rPr>
          <w:rFonts w:ascii="Arial" w:cs="Arial" w:eastAsia="Arial" w:hAnsi="Arial"/>
          <w:sz w:val="16"/>
          <w:szCs w:val="16"/>
          <w:color w:val="2A2A2D"/>
        </w:rPr>
        <w:t>,</w:t>
      </w:r>
      <w:r>
        <w:rPr>
          <w:rFonts w:ascii="Arial" w:cs="Arial" w:eastAsia="Arial" w:hAnsi="Arial"/>
          <w:sz w:val="16"/>
          <w:szCs w:val="16"/>
          <w:color w:val="110E13"/>
        </w:rPr>
        <w:t xml:space="preserve"> reinterpretation 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300" w:top="1148" w:right="419" w:bottom="1440" w:gutter="0" w:footer="0" w:header="0"/>
        </w:sectPr>
      </w:pPr>
    </w:p>
    <w:bookmarkStart w:id="135" w:name="page136"/>
    <w:bookmarkEnd w:id="135"/>
    <w:p>
      <w:pPr>
        <w:spacing w:after="0" w:line="266" w:lineRule="auto"/>
        <w:rPr>
          <w:sz w:val="20"/>
          <w:szCs w:val="20"/>
          <w:color w:val="auto"/>
        </w:rPr>
      </w:pPr>
      <w:r>
        <w:rPr>
          <w:rFonts w:ascii="Arial" w:cs="Arial" w:eastAsia="Arial" w:hAnsi="Arial"/>
          <w:sz w:val="16"/>
          <w:szCs w:val="16"/>
          <w:color w:val="110E13"/>
        </w:rPr>
        <w:t>proposal of any rule</w:t>
      </w:r>
      <w:r>
        <w:rPr>
          <w:rFonts w:ascii="Arial" w:cs="Arial" w:eastAsia="Arial" w:hAnsi="Arial"/>
          <w:sz w:val="16"/>
          <w:szCs w:val="16"/>
          <w:color w:val="2A2A2D"/>
        </w:rPr>
        <w:t>,</w:t>
      </w:r>
      <w:r>
        <w:rPr>
          <w:rFonts w:ascii="Arial" w:cs="Arial" w:eastAsia="Arial" w:hAnsi="Arial"/>
          <w:sz w:val="16"/>
          <w:szCs w:val="16"/>
          <w:color w:val="110E13"/>
        </w:rPr>
        <w:t xml:space="preserve"> regulation</w:t>
      </w:r>
      <w:r>
        <w:rPr>
          <w:rFonts w:ascii="Arial" w:cs="Arial" w:eastAsia="Arial" w:hAnsi="Arial"/>
          <w:sz w:val="16"/>
          <w:szCs w:val="16"/>
          <w:color w:val="2A2A2D"/>
        </w:rPr>
        <w:t>,</w:t>
      </w:r>
      <w:r>
        <w:rPr>
          <w:rFonts w:ascii="Arial" w:cs="Arial" w:eastAsia="Arial" w:hAnsi="Arial"/>
          <w:sz w:val="16"/>
          <w:szCs w:val="16"/>
          <w:color w:val="110E13"/>
        </w:rPr>
        <w:t xml:space="preserve"> ordinance</w:t>
      </w:r>
      <w:r>
        <w:rPr>
          <w:rFonts w:ascii="Arial" w:cs="Arial" w:eastAsia="Arial" w:hAnsi="Arial"/>
          <w:sz w:val="16"/>
          <w:szCs w:val="16"/>
          <w:color w:val="2A2A2D"/>
        </w:rPr>
        <w:t>,</w:t>
      </w:r>
      <w:r>
        <w:rPr>
          <w:rFonts w:ascii="Arial" w:cs="Arial" w:eastAsia="Arial" w:hAnsi="Arial"/>
          <w:sz w:val="16"/>
          <w:szCs w:val="16"/>
          <w:color w:val="110E13"/>
        </w:rPr>
        <w:t xml:space="preserve"> order</w:t>
      </w:r>
      <w:r>
        <w:rPr>
          <w:rFonts w:ascii="Arial" w:cs="Arial" w:eastAsia="Arial" w:hAnsi="Arial"/>
          <w:sz w:val="16"/>
          <w:szCs w:val="16"/>
          <w:color w:val="2A2A2D"/>
        </w:rPr>
        <w:t>,</w:t>
      </w:r>
      <w:r>
        <w:rPr>
          <w:rFonts w:ascii="Arial" w:cs="Arial" w:eastAsia="Arial" w:hAnsi="Arial"/>
          <w:sz w:val="16"/>
          <w:szCs w:val="16"/>
          <w:color w:val="110E13"/>
        </w:rPr>
        <w:t xml:space="preserve"> protocol or any other law of or by any national</w:t>
      </w:r>
      <w:r>
        <w:rPr>
          <w:rFonts w:ascii="Arial" w:cs="Arial" w:eastAsia="Arial" w:hAnsi="Arial"/>
          <w:sz w:val="16"/>
          <w:szCs w:val="16"/>
          <w:color w:val="2A2A2D"/>
        </w:rPr>
        <w:t>,</w:t>
      </w:r>
      <w:r>
        <w:rPr>
          <w:rFonts w:ascii="Arial" w:cs="Arial" w:eastAsia="Arial" w:hAnsi="Arial"/>
          <w:sz w:val="16"/>
          <w:szCs w:val="16"/>
          <w:color w:val="110E13"/>
        </w:rPr>
        <w:t xml:space="preserve"> regional</w:t>
      </w:r>
      <w:r>
        <w:rPr>
          <w:rFonts w:ascii="Arial" w:cs="Arial" w:eastAsia="Arial" w:hAnsi="Arial"/>
          <w:sz w:val="16"/>
          <w:szCs w:val="16"/>
          <w:color w:val="2A2A2D"/>
        </w:rPr>
        <w:t>,</w:t>
      </w:r>
      <w:r>
        <w:rPr>
          <w:rFonts w:ascii="Arial" w:cs="Arial" w:eastAsia="Arial" w:hAnsi="Arial"/>
          <w:sz w:val="16"/>
          <w:szCs w:val="16"/>
          <w:color w:val="110E13"/>
        </w:rPr>
        <w:t xml:space="preserve"> state or local Governmental Entity</w:t>
      </w:r>
      <w:r>
        <w:rPr>
          <w:rFonts w:ascii="Arial" w:cs="Arial" w:eastAsia="Arial" w:hAnsi="Arial"/>
          <w:sz w:val="16"/>
          <w:szCs w:val="16"/>
          <w:color w:val="2A2A2D"/>
        </w:rPr>
        <w:t>,</w:t>
      </w:r>
      <w:r>
        <w:rPr>
          <w:rFonts w:ascii="Arial" w:cs="Arial" w:eastAsia="Arial" w:hAnsi="Arial"/>
          <w:sz w:val="16"/>
          <w:szCs w:val="16"/>
          <w:color w:val="110E13"/>
        </w:rPr>
        <w:t xml:space="preserve"> or market administrator</w:t>
      </w:r>
      <w:r>
        <w:rPr>
          <w:rFonts w:ascii="Arial" w:cs="Arial" w:eastAsia="Arial" w:hAnsi="Arial"/>
          <w:sz w:val="16"/>
          <w:szCs w:val="16"/>
          <w:color w:val="2A2A2D"/>
        </w:rPr>
        <w:t>,</w:t>
      </w:r>
      <w:r>
        <w:rPr>
          <w:rFonts w:ascii="Arial" w:cs="Arial" w:eastAsia="Arial" w:hAnsi="Arial"/>
          <w:sz w:val="16"/>
          <w:szCs w:val="16"/>
          <w:color w:val="110E13"/>
        </w:rPr>
        <w:t xml:space="preserve"> (d) any changes in GAAP or accounting standards or interpretations thereof</w:t>
      </w:r>
      <w:r>
        <w:rPr>
          <w:rFonts w:ascii="Arial" w:cs="Arial" w:eastAsia="Arial" w:hAnsi="Arial"/>
          <w:sz w:val="16"/>
          <w:szCs w:val="16"/>
          <w:color w:val="2A2A2D"/>
        </w:rPr>
        <w:t>,</w:t>
      </w:r>
      <w:r>
        <w:rPr>
          <w:rFonts w:ascii="Arial" w:cs="Arial" w:eastAsia="Arial" w:hAnsi="Arial"/>
          <w:sz w:val="16"/>
          <w:szCs w:val="16"/>
          <w:color w:val="110E13"/>
        </w:rPr>
        <w:t xml:space="preserve"> (e) earthquakes</w:t>
      </w:r>
      <w:r>
        <w:rPr>
          <w:rFonts w:ascii="Arial" w:cs="Arial" w:eastAsia="Arial" w:hAnsi="Arial"/>
          <w:sz w:val="16"/>
          <w:szCs w:val="16"/>
          <w:color w:val="2A2A2D"/>
        </w:rPr>
        <w:t>,</w:t>
      </w:r>
      <w:r>
        <w:rPr>
          <w:rFonts w:ascii="Arial" w:cs="Arial" w:eastAsia="Arial" w:hAnsi="Arial"/>
          <w:sz w:val="16"/>
          <w:szCs w:val="16"/>
          <w:color w:val="110E13"/>
        </w:rPr>
        <w:t xml:space="preserve"> any weather-related or other force majeure event or natural disasters, pandemics or outbreak or escalation of hostilities or acts of war or terrorism</w:t>
      </w:r>
      <w:r>
        <w:rPr>
          <w:rFonts w:ascii="Arial" w:cs="Arial" w:eastAsia="Arial" w:hAnsi="Arial"/>
          <w:sz w:val="16"/>
          <w:szCs w:val="16"/>
          <w:color w:val="2A2A2D"/>
        </w:rPr>
        <w:t>,</w:t>
      </w:r>
      <w:r>
        <w:rPr>
          <w:rFonts w:ascii="Arial" w:cs="Arial" w:eastAsia="Arial" w:hAnsi="Arial"/>
          <w:sz w:val="16"/>
          <w:szCs w:val="16"/>
          <w:color w:val="110E13"/>
        </w:rPr>
        <w:t xml:space="preserve"> (f) the announcement or the existence of</w:t>
      </w:r>
      <w:r>
        <w:rPr>
          <w:rFonts w:ascii="Arial" w:cs="Arial" w:eastAsia="Arial" w:hAnsi="Arial"/>
          <w:sz w:val="16"/>
          <w:szCs w:val="16"/>
          <w:color w:val="2A2A2D"/>
        </w:rPr>
        <w:t>,</w:t>
      </w:r>
      <w:r>
        <w:rPr>
          <w:rFonts w:ascii="Arial" w:cs="Arial" w:eastAsia="Arial" w:hAnsi="Arial"/>
          <w:sz w:val="16"/>
          <w:szCs w:val="16"/>
          <w:color w:val="110E13"/>
        </w:rPr>
        <w:t xml:space="preserve"> compliance with or performance under</w:t>
      </w:r>
      <w:r>
        <w:rPr>
          <w:rFonts w:ascii="Arial" w:cs="Arial" w:eastAsia="Arial" w:hAnsi="Arial"/>
          <w:sz w:val="16"/>
          <w:szCs w:val="16"/>
          <w:color w:val="2A2A2D"/>
        </w:rPr>
        <w:t>,</w:t>
      </w:r>
      <w:r>
        <w:rPr>
          <w:rFonts w:ascii="Arial" w:cs="Arial" w:eastAsia="Arial" w:hAnsi="Arial"/>
          <w:sz w:val="16"/>
          <w:szCs w:val="16"/>
          <w:color w:val="110E13"/>
        </w:rPr>
        <w:t xml:space="preserve"> this Agreement or the transactions contemplated hereby (it being understood and agreed that the exception in this clause (f) shall not apply with respect to any representation or warranty that is intended to address the consequences of the execution</w:t>
      </w:r>
      <w:r>
        <w:rPr>
          <w:rFonts w:ascii="Arial" w:cs="Arial" w:eastAsia="Arial" w:hAnsi="Arial"/>
          <w:sz w:val="16"/>
          <w:szCs w:val="16"/>
          <w:color w:val="2A2A2D"/>
        </w:rPr>
        <w:t>,</w:t>
      </w:r>
      <w:r>
        <w:rPr>
          <w:rFonts w:ascii="Arial" w:cs="Arial" w:eastAsia="Arial" w:hAnsi="Arial"/>
          <w:sz w:val="16"/>
          <w:szCs w:val="16"/>
          <w:color w:val="110E13"/>
        </w:rPr>
        <w:t xml:space="preserve"> delivery or performance of this Agreement or the consummation of the transactions contemplated hereby)</w:t>
      </w:r>
      <w:r>
        <w:rPr>
          <w:rFonts w:ascii="Arial" w:cs="Arial" w:eastAsia="Arial" w:hAnsi="Arial"/>
          <w:sz w:val="16"/>
          <w:szCs w:val="16"/>
          <w:color w:val="2A2A2D"/>
        </w:rPr>
        <w:t>,</w:t>
      </w:r>
      <w:r>
        <w:rPr>
          <w:rFonts w:ascii="Arial" w:cs="Arial" w:eastAsia="Arial" w:hAnsi="Arial"/>
          <w:sz w:val="16"/>
          <w:szCs w:val="16"/>
          <w:color w:val="110E13"/>
        </w:rPr>
        <w:t xml:space="preserve"> (g) any taking of any action at the request of the Purchaser</w:t>
      </w:r>
      <w:r>
        <w:rPr>
          <w:rFonts w:ascii="Arial" w:cs="Arial" w:eastAsia="Arial" w:hAnsi="Arial"/>
          <w:sz w:val="16"/>
          <w:szCs w:val="16"/>
          <w:color w:val="2A2A2D"/>
        </w:rPr>
        <w:t>,</w:t>
      </w:r>
      <w:r>
        <w:rPr>
          <w:rFonts w:ascii="Arial" w:cs="Arial" w:eastAsia="Arial" w:hAnsi="Arial"/>
          <w:sz w:val="16"/>
          <w:szCs w:val="16"/>
          <w:color w:val="110E13"/>
        </w:rPr>
        <w:t xml:space="preserve"> (h) any failure by the Company to meet any financial projections or forecasts or estimates of revenues</w:t>
      </w:r>
      <w:r>
        <w:rPr>
          <w:rFonts w:ascii="Arial" w:cs="Arial" w:eastAsia="Arial" w:hAnsi="Arial"/>
          <w:sz w:val="16"/>
          <w:szCs w:val="16"/>
          <w:color w:val="2A2A2D"/>
        </w:rPr>
        <w:t>,</w:t>
      </w:r>
      <w:r>
        <w:rPr>
          <w:rFonts w:ascii="Arial" w:cs="Arial" w:eastAsia="Arial" w:hAnsi="Arial"/>
          <w:sz w:val="16"/>
          <w:szCs w:val="16"/>
          <w:color w:val="110E13"/>
        </w:rPr>
        <w:t xml:space="preserve"> earnings or other financial metrics for any period </w:t>
      </w:r>
      <w:r>
        <w:rPr>
          <w:rFonts w:ascii="Arial" w:cs="Arial" w:eastAsia="Arial" w:hAnsi="Arial"/>
          <w:sz w:val="16"/>
          <w:szCs w:val="16"/>
          <w:i w:val="1"/>
          <w:iCs w:val="1"/>
          <w:color w:val="110E13"/>
        </w:rPr>
        <w:t>(provided</w:t>
      </w:r>
      <w:r>
        <w:rPr>
          <w:rFonts w:ascii="Arial" w:cs="Arial" w:eastAsia="Arial" w:hAnsi="Arial"/>
          <w:sz w:val="16"/>
          <w:szCs w:val="16"/>
          <w:color w:val="110E13"/>
        </w:rPr>
        <w:t xml:space="preserve"> that the exception in this clause (h) shall not prevent or otherwise affect a determination that any event</w:t>
      </w:r>
      <w:r>
        <w:rPr>
          <w:rFonts w:ascii="Arial" w:cs="Arial" w:eastAsia="Arial" w:hAnsi="Arial"/>
          <w:sz w:val="16"/>
          <w:szCs w:val="16"/>
          <w:color w:val="2A2A2D"/>
        </w:rPr>
        <w:t>,</w:t>
      </w:r>
      <w:r>
        <w:rPr>
          <w:rFonts w:ascii="Arial" w:cs="Arial" w:eastAsia="Arial" w:hAnsi="Arial"/>
          <w:sz w:val="16"/>
          <w:szCs w:val="16"/>
          <w:color w:val="110E13"/>
        </w:rPr>
        <w:t xml:space="preserve"> change</w:t>
      </w:r>
      <w:r>
        <w:rPr>
          <w:rFonts w:ascii="Arial" w:cs="Arial" w:eastAsia="Arial" w:hAnsi="Arial"/>
          <w:sz w:val="16"/>
          <w:szCs w:val="16"/>
          <w:color w:val="2A2A2D"/>
        </w:rPr>
        <w:t>,</w:t>
      </w:r>
      <w:r>
        <w:rPr>
          <w:rFonts w:ascii="Arial" w:cs="Arial" w:eastAsia="Arial" w:hAnsi="Arial"/>
          <w:sz w:val="16"/>
          <w:szCs w:val="16"/>
          <w:color w:val="110E13"/>
        </w:rPr>
        <w:t xml:space="preserve"> effect or development underlying such failure has resulted in a Material Adverse Effect so long as it is not otherwise excluded by this definition) or (i) any changes in the share price or trading volume of the Company Common Stock or in the Company’s credit rating </w:t>
      </w:r>
      <w:r>
        <w:rPr>
          <w:rFonts w:ascii="Arial" w:cs="Arial" w:eastAsia="Arial" w:hAnsi="Arial"/>
          <w:sz w:val="16"/>
          <w:szCs w:val="16"/>
          <w:i w:val="1"/>
          <w:iCs w:val="1"/>
          <w:color w:val="110E13"/>
        </w:rPr>
        <w:t>(provid</w:t>
      </w:r>
      <w:r>
        <w:rPr>
          <w:rFonts w:ascii="Arial" w:cs="Arial" w:eastAsia="Arial" w:hAnsi="Arial"/>
          <w:sz w:val="16"/>
          <w:szCs w:val="16"/>
          <w:i w:val="1"/>
          <w:iCs w:val="1"/>
          <w:color w:val="2A2A2D"/>
        </w:rPr>
        <w:t>e</w:t>
      </w:r>
      <w:r>
        <w:rPr>
          <w:rFonts w:ascii="Arial" w:cs="Arial" w:eastAsia="Arial" w:hAnsi="Arial"/>
          <w:sz w:val="16"/>
          <w:szCs w:val="16"/>
          <w:i w:val="1"/>
          <w:iCs w:val="1"/>
          <w:color w:val="110E13"/>
        </w:rPr>
        <w:t>d</w:t>
      </w:r>
      <w:r>
        <w:rPr>
          <w:rFonts w:ascii="Arial" w:cs="Arial" w:eastAsia="Arial" w:hAnsi="Arial"/>
          <w:sz w:val="16"/>
          <w:szCs w:val="16"/>
          <w:color w:val="110E13"/>
        </w:rPr>
        <w:t xml:space="preserve"> that the exception in this clause (i) shall not prevent or otherwise affect a determination that any event</w:t>
      </w:r>
      <w:r>
        <w:rPr>
          <w:rFonts w:ascii="Arial" w:cs="Arial" w:eastAsia="Arial" w:hAnsi="Arial"/>
          <w:sz w:val="16"/>
          <w:szCs w:val="16"/>
          <w:color w:val="2A2A2D"/>
        </w:rPr>
        <w:t>,</w:t>
      </w:r>
      <w:r>
        <w:rPr>
          <w:rFonts w:ascii="Arial" w:cs="Arial" w:eastAsia="Arial" w:hAnsi="Arial"/>
          <w:sz w:val="16"/>
          <w:szCs w:val="16"/>
          <w:color w:val="110E13"/>
        </w:rPr>
        <w:t xml:space="preserve"> change</w:t>
      </w:r>
      <w:r>
        <w:rPr>
          <w:rFonts w:ascii="Arial" w:cs="Arial" w:eastAsia="Arial" w:hAnsi="Arial"/>
          <w:sz w:val="16"/>
          <w:szCs w:val="16"/>
          <w:color w:val="3B3B3D"/>
        </w:rPr>
        <w:t>,</w:t>
      </w:r>
      <w:r>
        <w:rPr>
          <w:rFonts w:ascii="Arial" w:cs="Arial" w:eastAsia="Arial" w:hAnsi="Arial"/>
          <w:sz w:val="16"/>
          <w:szCs w:val="16"/>
          <w:color w:val="110E13"/>
        </w:rPr>
        <w:t xml:space="preserve"> effect or development underlying such change has resulted in a Material Adverse Effect so long as it is not otherwise excluded by this definition)</w:t>
      </w:r>
      <w:r>
        <w:rPr>
          <w:rFonts w:ascii="Arial" w:cs="Arial" w:eastAsia="Arial" w:hAnsi="Arial"/>
          <w:sz w:val="16"/>
          <w:szCs w:val="16"/>
          <w:color w:val="2A2A2D"/>
        </w:rPr>
        <w:t>;</w:t>
      </w:r>
      <w:r>
        <w:rPr>
          <w:rFonts w:ascii="Arial" w:cs="Arial" w:eastAsia="Arial" w:hAnsi="Arial"/>
          <w:sz w:val="16"/>
          <w:szCs w:val="16"/>
          <w:color w:val="110E13"/>
        </w:rPr>
        <w:t xml:space="preserve"> except</w:t>
      </w:r>
      <w:r>
        <w:rPr>
          <w:rFonts w:ascii="Arial" w:cs="Arial" w:eastAsia="Arial" w:hAnsi="Arial"/>
          <w:sz w:val="16"/>
          <w:szCs w:val="16"/>
          <w:color w:val="2A2A2D"/>
        </w:rPr>
        <w:t>,</w:t>
      </w:r>
      <w:r>
        <w:rPr>
          <w:rFonts w:ascii="Arial" w:cs="Arial" w:eastAsia="Arial" w:hAnsi="Arial"/>
          <w:sz w:val="16"/>
          <w:szCs w:val="16"/>
          <w:color w:val="110E13"/>
        </w:rPr>
        <w:t xml:space="preserve"> in each case with respect to subclauses (a) through (e)</w:t>
      </w:r>
      <w:r>
        <w:rPr>
          <w:rFonts w:ascii="Arial" w:cs="Arial" w:eastAsia="Arial" w:hAnsi="Arial"/>
          <w:sz w:val="16"/>
          <w:szCs w:val="16"/>
          <w:color w:val="2A2A2D"/>
        </w:rPr>
        <w:t>,</w:t>
      </w:r>
      <w:r>
        <w:rPr>
          <w:rFonts w:ascii="Arial" w:cs="Arial" w:eastAsia="Arial" w:hAnsi="Arial"/>
          <w:sz w:val="16"/>
          <w:szCs w:val="16"/>
          <w:color w:val="110E13"/>
        </w:rPr>
        <w:t xml:space="preserve"> to the extent that such event</w:t>
      </w:r>
      <w:r>
        <w:rPr>
          <w:rFonts w:ascii="Arial" w:cs="Arial" w:eastAsia="Arial" w:hAnsi="Arial"/>
          <w:sz w:val="16"/>
          <w:szCs w:val="16"/>
          <w:color w:val="2A2A2D"/>
        </w:rPr>
        <w:t>,</w:t>
      </w:r>
      <w:r>
        <w:rPr>
          <w:rFonts w:ascii="Arial" w:cs="Arial" w:eastAsia="Arial" w:hAnsi="Arial"/>
          <w:sz w:val="16"/>
          <w:szCs w:val="16"/>
          <w:color w:val="110E13"/>
        </w:rPr>
        <w:t xml:space="preserve"> change or development disproportionately affects the Company and its Subsidiaries</w:t>
      </w:r>
      <w:r>
        <w:rPr>
          <w:rFonts w:ascii="Arial" w:cs="Arial" w:eastAsia="Arial" w:hAnsi="Arial"/>
          <w:sz w:val="16"/>
          <w:szCs w:val="16"/>
          <w:color w:val="2A2A2D"/>
        </w:rPr>
        <w:t>,</w:t>
      </w:r>
      <w:r>
        <w:rPr>
          <w:rFonts w:ascii="Arial" w:cs="Arial" w:eastAsia="Arial" w:hAnsi="Arial"/>
          <w:sz w:val="16"/>
          <w:szCs w:val="16"/>
          <w:color w:val="110E13"/>
        </w:rPr>
        <w:t xml:space="preserve"> taken as a whole</w:t>
      </w:r>
      <w:r>
        <w:rPr>
          <w:rFonts w:ascii="Arial" w:cs="Arial" w:eastAsia="Arial" w:hAnsi="Arial"/>
          <w:sz w:val="16"/>
          <w:szCs w:val="16"/>
          <w:color w:val="2A2A2D"/>
        </w:rPr>
        <w:t>,</w:t>
      </w:r>
      <w:r>
        <w:rPr>
          <w:rFonts w:ascii="Arial" w:cs="Arial" w:eastAsia="Arial" w:hAnsi="Arial"/>
          <w:sz w:val="16"/>
          <w:szCs w:val="16"/>
          <w:color w:val="110E13"/>
        </w:rPr>
        <w:t xml:space="preserve"> relative to other similarly situated companies in the industries in which the Company and 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“NASDAQ” </w:t>
      </w:r>
      <w:r>
        <w:rPr>
          <w:rFonts w:ascii="Arial" w:cs="Arial" w:eastAsia="Arial" w:hAnsi="Arial"/>
          <w:sz w:val="17"/>
          <w:szCs w:val="17"/>
          <w:color w:val="110E13"/>
        </w:rPr>
        <w:t>shall mean the Nasdaq Capital Market.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“Note” </w:t>
      </w:r>
      <w:r>
        <w:rPr>
          <w:rFonts w:ascii="Arial" w:cs="Arial" w:eastAsia="Arial" w:hAnsi="Arial"/>
          <w:sz w:val="17"/>
          <w:szCs w:val="17"/>
          <w:color w:val="110E13"/>
        </w:rPr>
        <w:t>or</w:t>
      </w:r>
      <w:r>
        <w:rPr>
          <w:rFonts w:ascii="Arial" w:cs="Arial" w:eastAsia="Arial" w:hAnsi="Arial"/>
          <w:sz w:val="17"/>
          <w:szCs w:val="17"/>
          <w:b w:val="1"/>
          <w:bCs w:val="1"/>
          <w:color w:val="110E13"/>
        </w:rPr>
        <w:t xml:space="preserve"> “Notes” </w:t>
      </w:r>
      <w:r>
        <w:rPr>
          <w:rFonts w:ascii="Arial" w:cs="Arial" w:eastAsia="Arial" w:hAnsi="Arial"/>
          <w:sz w:val="17"/>
          <w:szCs w:val="17"/>
          <w:color w:val="110E13"/>
        </w:rPr>
        <w:t>shall have the meaning set forth in the preamble hereto.</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Owned Intellectual Property</w:t>
      </w:r>
      <w:r>
        <w:rPr>
          <w:rFonts w:ascii="Arial" w:cs="Arial" w:eastAsia="Arial" w:hAnsi="Arial"/>
          <w:sz w:val="17"/>
          <w:szCs w:val="17"/>
          <w:b w:val="1"/>
          <w:bCs w:val="1"/>
          <w:color w:val="28282A"/>
        </w:rPr>
        <w:t xml:space="preserve">” </w:t>
      </w:r>
      <w:r>
        <w:rPr>
          <w:rFonts w:ascii="Arial" w:cs="Arial" w:eastAsia="Arial" w:hAnsi="Arial"/>
          <w:sz w:val="17"/>
          <w:szCs w:val="17"/>
          <w:color w:val="110E13"/>
        </w:rPr>
        <w:t>means any and all Intellectual Property owned by either the Company or any of its Subsidiaries.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“Permitted Transfers</w:t>
      </w:r>
      <w:r>
        <w:rPr>
          <w:rFonts w:ascii="Arial" w:cs="Arial" w:eastAsia="Arial" w:hAnsi="Arial"/>
          <w:sz w:val="17"/>
          <w:szCs w:val="17"/>
          <w:b w:val="1"/>
          <w:bCs w:val="1"/>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has the 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4.02(a)</w:t>
      </w:r>
      <w:r>
        <w:rPr>
          <w:rFonts w:ascii="Arial" w:cs="Arial" w:eastAsia="Arial" w:hAnsi="Arial"/>
          <w:sz w:val="17"/>
          <w:szCs w:val="17"/>
          <w:color w:val="110E13"/>
        </w:rPr>
        <w:t>.</w:t>
      </w:r>
    </w:p>
    <w:p>
      <w:pPr>
        <w:spacing w:after="0" w:line="176" w:lineRule="exact"/>
        <w:rPr>
          <w:sz w:val="20"/>
          <w:szCs w:val="20"/>
          <w:color w:val="auto"/>
        </w:rPr>
      </w:pPr>
    </w:p>
    <w:p>
      <w:pPr>
        <w:ind w:right="380" w:firstLine="509"/>
        <w:spacing w:after="0" w:line="345" w:lineRule="auto"/>
        <w:rPr>
          <w:sz w:val="20"/>
          <w:szCs w:val="20"/>
          <w:color w:val="auto"/>
        </w:rPr>
      </w:pPr>
      <w:r>
        <w:rPr>
          <w:rFonts w:ascii="Arial" w:cs="Arial" w:eastAsia="Arial" w:hAnsi="Arial"/>
          <w:sz w:val="15"/>
          <w:szCs w:val="15"/>
          <w:b w:val="1"/>
          <w:bCs w:val="1"/>
          <w:color w:val="110E13"/>
        </w:rPr>
        <w:t xml:space="preserve">“Person” </w:t>
      </w:r>
      <w:r>
        <w:rPr>
          <w:rFonts w:ascii="Arial" w:cs="Arial" w:eastAsia="Arial" w:hAnsi="Arial"/>
          <w:sz w:val="15"/>
          <w:szCs w:val="15"/>
          <w:color w:val="110E13"/>
        </w:rPr>
        <w:t>or</w:t>
      </w:r>
      <w:r>
        <w:rPr>
          <w:rFonts w:ascii="Arial" w:cs="Arial" w:eastAsia="Arial" w:hAnsi="Arial"/>
          <w:sz w:val="15"/>
          <w:szCs w:val="15"/>
          <w:b w:val="1"/>
          <w:bCs w:val="1"/>
          <w:color w:val="110E13"/>
        </w:rPr>
        <w:t xml:space="preserve"> “person</w:t>
      </w:r>
      <w:r>
        <w:rPr>
          <w:rFonts w:ascii="Arial" w:cs="Arial" w:eastAsia="Arial" w:hAnsi="Arial"/>
          <w:sz w:val="15"/>
          <w:szCs w:val="15"/>
          <w:b w:val="1"/>
          <w:bCs w:val="1"/>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shall mean an individual</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corporation</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limited liability or unlimited liability company</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association</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partnership</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trust</w:t>
      </w:r>
      <w:r>
        <w:rPr>
          <w:rFonts w:ascii="Arial" w:cs="Arial" w:eastAsia="Arial" w:hAnsi="Arial"/>
          <w:sz w:val="15"/>
          <w:szCs w:val="15"/>
          <w:color w:val="3B3A3B"/>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estate</w:t>
      </w:r>
      <w:r>
        <w:rPr>
          <w:rFonts w:ascii="Arial" w:cs="Arial" w:eastAsia="Arial" w:hAnsi="Arial"/>
          <w:sz w:val="15"/>
          <w:szCs w:val="15"/>
          <w:color w:val="28282A"/>
        </w:rPr>
        <w:t>,</w:t>
      </w:r>
      <w:r>
        <w:rPr>
          <w:rFonts w:ascii="Arial" w:cs="Arial" w:eastAsia="Arial" w:hAnsi="Arial"/>
          <w:sz w:val="15"/>
          <w:szCs w:val="15"/>
          <w:b w:val="1"/>
          <w:bCs w:val="1"/>
          <w:color w:val="110E13"/>
        </w:rPr>
        <w:t xml:space="preserve"> </w:t>
      </w:r>
      <w:r>
        <w:rPr>
          <w:rFonts w:ascii="Arial" w:cs="Arial" w:eastAsia="Arial" w:hAnsi="Arial"/>
          <w:sz w:val="15"/>
          <w:szCs w:val="15"/>
          <w:color w:val="110E13"/>
        </w:rPr>
        <w:t>joint</w:t>
      </w:r>
      <w:r>
        <w:rPr>
          <w:rFonts w:ascii="Arial" w:cs="Arial" w:eastAsia="Arial" w:hAnsi="Arial"/>
          <w:sz w:val="15"/>
          <w:szCs w:val="15"/>
          <w:b w:val="1"/>
          <w:bCs w:val="1"/>
          <w:color w:val="110E13"/>
        </w:rPr>
        <w:t xml:space="preserve"> </w:t>
      </w:r>
      <w:r>
        <w:rPr>
          <w:rFonts w:ascii="Arial" w:cs="Arial" w:eastAsia="Arial" w:hAnsi="Arial"/>
          <w:sz w:val="15"/>
          <w:szCs w:val="15"/>
          <w:color w:val="110E13"/>
        </w:rPr>
        <w:t>venture</w:t>
      </w:r>
      <w:r>
        <w:rPr>
          <w:rFonts w:ascii="Arial" w:cs="Arial" w:eastAsia="Arial" w:hAnsi="Arial"/>
          <w:sz w:val="15"/>
          <w:szCs w:val="15"/>
          <w:color w:val="28282A"/>
        </w:rPr>
        <w:t>,</w:t>
      </w:r>
      <w:r>
        <w:rPr>
          <w:rFonts w:ascii="Arial" w:cs="Arial" w:eastAsia="Arial" w:hAnsi="Arial"/>
          <w:sz w:val="15"/>
          <w:szCs w:val="15"/>
          <w:color w:val="110E13"/>
        </w:rPr>
        <w:t xml:space="preserve"> business trust or unincorporated organization</w:t>
      </w:r>
      <w:r>
        <w:rPr>
          <w:rFonts w:ascii="Arial" w:cs="Arial" w:eastAsia="Arial" w:hAnsi="Arial"/>
          <w:sz w:val="15"/>
          <w:szCs w:val="15"/>
          <w:color w:val="28282A"/>
        </w:rPr>
        <w:t>,</w:t>
      </w:r>
      <w:r>
        <w:rPr>
          <w:rFonts w:ascii="Arial" w:cs="Arial" w:eastAsia="Arial" w:hAnsi="Arial"/>
          <w:sz w:val="15"/>
          <w:szCs w:val="15"/>
          <w:color w:val="110E13"/>
        </w:rPr>
        <w:t xml:space="preserve"> or a government or any agency or political subdivision thereof</w:t>
      </w:r>
      <w:r>
        <w:rPr>
          <w:rFonts w:ascii="Arial" w:cs="Arial" w:eastAsia="Arial" w:hAnsi="Arial"/>
          <w:sz w:val="15"/>
          <w:szCs w:val="15"/>
          <w:color w:val="28282A"/>
        </w:rPr>
        <w:t>,</w:t>
      </w:r>
      <w:r>
        <w:rPr>
          <w:rFonts w:ascii="Arial" w:cs="Arial" w:eastAsia="Arial" w:hAnsi="Arial"/>
          <w:sz w:val="15"/>
          <w:szCs w:val="15"/>
          <w:color w:val="110E13"/>
        </w:rPr>
        <w:t xml:space="preserve"> or other entity of any kind or nature.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Prohibited Transfers”</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28282A"/>
        </w:rPr>
        <w:t xml:space="preserve"> </w:t>
      </w:r>
      <w:r>
        <w:rPr>
          <w:rFonts w:ascii="Arial" w:cs="Arial" w:eastAsia="Arial" w:hAnsi="Arial"/>
          <w:sz w:val="17"/>
          <w:szCs w:val="17"/>
          <w:color w:val="000000"/>
        </w:rPr>
        <w:t>Section 4.02(a)</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Purchase Price”</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28282A"/>
        </w:rPr>
        <w:t xml:space="preserve"> </w:t>
      </w:r>
      <w:r>
        <w:rPr>
          <w:rFonts w:ascii="Arial" w:cs="Arial" w:eastAsia="Arial" w:hAnsi="Arial"/>
          <w:sz w:val="17"/>
          <w:szCs w:val="17"/>
          <w:color w:val="000000"/>
        </w:rPr>
        <w:t>Section 2.01</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Purchaser</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00" w:top="1152" w:right="379" w:bottom="1440" w:gutter="0" w:footer="0" w:header="0"/>
        </w:sectPr>
      </w:pPr>
    </w:p>
    <w:bookmarkStart w:id="136" w:name="page137"/>
    <w:bookmarkEnd w:id="136"/>
    <w:p>
      <w:pPr>
        <w:ind w:right="480" w:firstLine="509"/>
        <w:spacing w:after="0" w:line="276" w:lineRule="auto"/>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Purchaser Affiliates”</w:t>
      </w:r>
      <w:r>
        <w:rPr>
          <w:rFonts w:ascii="Arial" w:cs="Arial" w:eastAsia="Arial" w:hAnsi="Arial"/>
          <w:sz w:val="17"/>
          <w:szCs w:val="17"/>
          <w:b w:val="1"/>
          <w:bCs w:val="1"/>
          <w:color w:val="28282A"/>
        </w:rPr>
        <w:t xml:space="preserve"> </w:t>
      </w:r>
      <w:r>
        <w:rPr>
          <w:rFonts w:ascii="Arial" w:cs="Arial" w:eastAsia="Arial" w:hAnsi="Arial"/>
          <w:sz w:val="17"/>
          <w:szCs w:val="17"/>
          <w:color w:val="110E13"/>
        </w:rPr>
        <w:t>means the Purchaser’s Affiliates and their respective principals, directors, general partners, officers, employees, and agents and</w:t>
      </w:r>
      <w:r>
        <w:rPr>
          <w:rFonts w:ascii="Arial" w:cs="Arial" w:eastAsia="Arial" w:hAnsi="Arial"/>
          <w:sz w:val="17"/>
          <w:szCs w:val="17"/>
          <w:b w:val="1"/>
          <w:bCs w:val="1"/>
          <w:color w:val="28282A"/>
        </w:rPr>
        <w:t xml:space="preserve"> </w:t>
      </w:r>
      <w:r>
        <w:rPr>
          <w:rFonts w:ascii="Arial" w:cs="Arial" w:eastAsia="Arial" w:hAnsi="Arial"/>
          <w:sz w:val="17"/>
          <w:szCs w:val="17"/>
          <w:color w:val="110E13"/>
        </w:rPr>
        <w:t>representatives acting on their behalf.</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Group</w:t>
      </w:r>
      <w:r>
        <w:rPr>
          <w:rFonts w:ascii="Arial" w:cs="Arial" w:eastAsia="Arial" w:hAnsi="Arial"/>
          <w:sz w:val="17"/>
          <w:szCs w:val="17"/>
          <w:color w:val="auto"/>
        </w:rPr>
        <w:t>” means the Purchaser together with its Affiliates, including Purchaser Affiliates.</w:t>
      </w:r>
    </w:p>
    <w:p>
      <w:pPr>
        <w:spacing w:after="0" w:line="176"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shall mean the Subject Securities; provided that any Subject Securities will cease to be Registrable Securities upon the earliest of (a) when such Subject Securities have been sold or otherwise disposed of by the Purchaser and its Affiliates pursuant to an effective Registration Statement or in compliance with Rule 144, (b) when such Subject Securities cease to be outstanding or (c) the Subject Securities represent less than one percent (1%) of the outstanding shares of Company Common Stock; provided, further, that any securities that have ceased to be Registrable Securities in accordance with the foregoing definition shall not thereafter become Registrable Securities and any securities that are issued or distributed in respect of securities that, at the time of such issuance or distribution, have ceased to be Registrable Securities are not Registrable Securities.</w:t>
      </w:r>
    </w:p>
    <w:p>
      <w:pPr>
        <w:spacing w:after="0" w:line="128"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shall mean all expenses incurred by the Company in complying with Article 5, including all registration, filing and listing fees, printing expenses , fees and disbursements of counsel and independent public accountants for the Company, fees and expenses incurred by the Company in connection with complying with state securities or “blue sky” laws, fees of the Financial Industry Regulatory Authority, Inc., all the Company’s internal expenses, transfer taxes, and fees of transfer agents and registrars, but excluding any underwriting discounts and commissions, agency fees, brokers’ commissions and transfer taxes, in each case to the extent applicable to the Registrable Securities of the selling holders.</w:t>
      </w:r>
    </w:p>
    <w:p>
      <w:pPr>
        <w:spacing w:after="0" w:line="127"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mean any registration statement of the Company filed or to be filed with the SEC under the rules and regulations promulgated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Termination Date</w:t>
      </w:r>
      <w:r>
        <w:rPr>
          <w:rFonts w:ascii="Arial" w:cs="Arial" w:eastAsia="Arial" w:hAnsi="Arial"/>
          <w:sz w:val="17"/>
          <w:szCs w:val="17"/>
          <w:color w:val="auto"/>
        </w:rPr>
        <w:t>” shall have the meaning set forth in Section 5.01(b).</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Representatives”</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28282A"/>
        </w:rPr>
        <w:t xml:space="preserve"> </w:t>
      </w:r>
      <w:r>
        <w:rPr>
          <w:rFonts w:ascii="Arial" w:cs="Arial" w:eastAsia="Arial" w:hAnsi="Arial"/>
          <w:sz w:val="17"/>
          <w:szCs w:val="17"/>
          <w:color w:val="000000"/>
        </w:rPr>
        <w:t>Section 4.08(a)</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“Restricted Period</w:t>
      </w:r>
      <w:r>
        <w:rPr>
          <w:rFonts w:ascii="Arial" w:cs="Arial" w:eastAsia="Arial" w:hAnsi="Arial"/>
          <w:sz w:val="17"/>
          <w:szCs w:val="17"/>
          <w:b w:val="1"/>
          <w:bCs w:val="1"/>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mean the period commencing on the Closing Date and ending one (1)</w:t>
      </w:r>
      <w:r>
        <w:rPr>
          <w:rFonts w:ascii="Arial" w:cs="Arial" w:eastAsia="Arial" w:hAnsi="Arial"/>
          <w:sz w:val="17"/>
          <w:szCs w:val="17"/>
          <w:b w:val="1"/>
          <w:bCs w:val="1"/>
          <w:color w:val="110E13"/>
        </w:rPr>
        <w:t xml:space="preserve"> </w:t>
      </w:r>
      <w:r>
        <w:rPr>
          <w:rFonts w:ascii="Arial" w:cs="Arial" w:eastAsia="Arial" w:hAnsi="Arial"/>
          <w:sz w:val="17"/>
          <w:szCs w:val="17"/>
          <w:color w:val="28282A"/>
        </w:rPr>
        <w:t>y</w:t>
      </w:r>
      <w:r>
        <w:rPr>
          <w:rFonts w:ascii="Arial" w:cs="Arial" w:eastAsia="Arial" w:hAnsi="Arial"/>
          <w:sz w:val="17"/>
          <w:szCs w:val="17"/>
          <w:color w:val="110E13"/>
        </w:rPr>
        <w:t>ear following the Closing Date.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“SEC” </w:t>
      </w:r>
      <w:r>
        <w:rPr>
          <w:rFonts w:ascii="Arial" w:cs="Arial" w:eastAsia="Arial" w:hAnsi="Arial"/>
          <w:sz w:val="17"/>
          <w:szCs w:val="17"/>
          <w:color w:val="110E13"/>
        </w:rPr>
        <w:t>shall mean the U.S. Securities and Exchange Commission.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“Securities Act</w:t>
      </w:r>
      <w:r>
        <w:rPr>
          <w:rFonts w:ascii="Arial" w:cs="Arial" w:eastAsia="Arial" w:hAnsi="Arial"/>
          <w:sz w:val="17"/>
          <w:szCs w:val="17"/>
          <w:b w:val="1"/>
          <w:bCs w:val="1"/>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mean the U.S. Securities Act of 1933.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80"/>
          </w:cols>
          <w:pgMar w:left="300" w:top="1148" w:right="319" w:bottom="1440" w:gutter="0" w:footer="0" w:header="0"/>
        </w:sectPr>
      </w:pPr>
    </w:p>
    <w:bookmarkStart w:id="137" w:name="page138"/>
    <w:bookmarkEnd w:id="137"/>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Selling Holder Information</w:t>
      </w:r>
      <w:r>
        <w:rPr>
          <w:rFonts w:ascii="Arial" w:cs="Arial" w:eastAsia="Arial" w:hAnsi="Arial"/>
          <w:sz w:val="17"/>
          <w:szCs w:val="17"/>
          <w:color w:val="auto"/>
        </w:rPr>
        <w:t>” shall have the meaning set forth in Section 5.05(b).</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Selling Holders</w:t>
      </w:r>
      <w:r>
        <w:rPr>
          <w:rFonts w:ascii="Arial" w:cs="Arial" w:eastAsia="Arial" w:hAnsi="Arial"/>
          <w:sz w:val="17"/>
          <w:szCs w:val="17"/>
          <w:color w:val="auto"/>
        </w:rPr>
        <w:t>” shall have the meaning set forth in Section 5.03(a)(i).</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“Specified Persons</w:t>
      </w:r>
      <w:r>
        <w:rPr>
          <w:rFonts w:ascii="Arial" w:cs="Arial" w:eastAsia="Arial" w:hAnsi="Arial"/>
          <w:sz w:val="17"/>
          <w:szCs w:val="17"/>
          <w:b w:val="1"/>
          <w:bCs w:val="1"/>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6.12</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Standstill Period</w:t>
      </w:r>
      <w:r>
        <w:rPr>
          <w:rFonts w:ascii="Arial" w:cs="Arial" w:eastAsia="Arial" w:hAnsi="Arial"/>
          <w:sz w:val="17"/>
          <w:szCs w:val="17"/>
          <w:color w:val="auto"/>
        </w:rPr>
        <w:t>” shall mean the period commencing on the Closing Date and ending on the one (1) year anniversary of the Closing Date.</w:t>
      </w:r>
    </w:p>
    <w:p>
      <w:pPr>
        <w:spacing w:after="0" w:line="17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Subject Securities</w:t>
      </w:r>
      <w:r>
        <w:rPr>
          <w:rFonts w:ascii="Arial" w:cs="Arial" w:eastAsia="Arial" w:hAnsi="Arial"/>
          <w:sz w:val="17"/>
          <w:szCs w:val="17"/>
          <w:color w:val="auto"/>
        </w:rPr>
        <w:t>” shall mean (i) the Notes; (ii) any shares of Company Common Stock, including the shares of Company Common Stock issuable or issued upon conversion of the Notes; and (iii) any securities issued (or issuable upon the conversion, exercise or exchange of any warrant, right or other security that is issued) as a dividend, stock split, combination or in any reclassification, recapitalization, merger, consolidation, exchange or any other distribution or reorganization with respect to, or in exchange for, or in replacement of, the securities referenced in clause (i) or (ii) (without giving effect to any election by the Company regarding settlement options upon conversion) above or this clause (iii).</w:t>
      </w:r>
    </w:p>
    <w:p>
      <w:pPr>
        <w:spacing w:after="0" w:line="143"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Subsidiary”</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mean</w:t>
      </w:r>
      <w:r>
        <w:rPr>
          <w:rFonts w:ascii="Arial" w:cs="Arial" w:eastAsia="Arial" w:hAnsi="Arial"/>
          <w:sz w:val="17"/>
          <w:szCs w:val="17"/>
          <w:color w:val="28282A"/>
        </w:rPr>
        <w:t>,</w:t>
      </w:r>
      <w:r>
        <w:rPr>
          <w:rFonts w:ascii="Arial" w:cs="Arial" w:eastAsia="Arial" w:hAnsi="Arial"/>
          <w:sz w:val="17"/>
          <w:szCs w:val="17"/>
          <w:b w:val="1"/>
          <w:bCs w:val="1"/>
          <w:color w:val="28282A"/>
        </w:rPr>
        <w:t xml:space="preserve"> </w:t>
      </w:r>
      <w:r>
        <w:rPr>
          <w:rFonts w:ascii="Arial" w:cs="Arial" w:eastAsia="Arial" w:hAnsi="Arial"/>
          <w:sz w:val="17"/>
          <w:szCs w:val="17"/>
          <w:color w:val="110E13"/>
        </w:rPr>
        <w:t>with respect to any Person, any other Person of which 50% or more of the shares of the voting securities or other voting interests</w:t>
      </w:r>
      <w:r>
        <w:rPr>
          <w:rFonts w:ascii="Arial" w:cs="Arial" w:eastAsia="Arial" w:hAnsi="Arial"/>
          <w:sz w:val="17"/>
          <w:szCs w:val="17"/>
          <w:b w:val="1"/>
          <w:bCs w:val="1"/>
          <w:color w:val="28282A"/>
        </w:rPr>
        <w:t xml:space="preserve"> </w:t>
      </w:r>
      <w:r>
        <w:rPr>
          <w:rFonts w:ascii="Arial" w:cs="Arial" w:eastAsia="Arial" w:hAnsi="Arial"/>
          <w:sz w:val="17"/>
          <w:szCs w:val="17"/>
          <w:color w:val="110E13"/>
        </w:rPr>
        <w:t>are owned or controlled</w:t>
      </w:r>
      <w:r>
        <w:rPr>
          <w:rFonts w:ascii="Arial" w:cs="Arial" w:eastAsia="Arial" w:hAnsi="Arial"/>
          <w:sz w:val="17"/>
          <w:szCs w:val="17"/>
          <w:color w:val="28282A"/>
        </w:rPr>
        <w:t>,</w:t>
      </w:r>
      <w:r>
        <w:rPr>
          <w:rFonts w:ascii="Arial" w:cs="Arial" w:eastAsia="Arial" w:hAnsi="Arial"/>
          <w:sz w:val="17"/>
          <w:szCs w:val="17"/>
          <w:color w:val="110E13"/>
        </w:rPr>
        <w:t xml:space="preserve"> or the ability to select or elect 50% or more of the directors or similar managers is held</w:t>
      </w:r>
      <w:r>
        <w:rPr>
          <w:rFonts w:ascii="Arial" w:cs="Arial" w:eastAsia="Arial" w:hAnsi="Arial"/>
          <w:sz w:val="17"/>
          <w:szCs w:val="17"/>
          <w:color w:val="28282A"/>
        </w:rPr>
        <w:t>,</w:t>
      </w:r>
      <w:r>
        <w:rPr>
          <w:rFonts w:ascii="Arial" w:cs="Arial" w:eastAsia="Arial" w:hAnsi="Arial"/>
          <w:sz w:val="17"/>
          <w:szCs w:val="17"/>
          <w:color w:val="110E13"/>
        </w:rPr>
        <w:t xml:space="preserve"> directly or indirectly</w:t>
      </w:r>
      <w:r>
        <w:rPr>
          <w:rFonts w:ascii="Arial" w:cs="Arial" w:eastAsia="Arial" w:hAnsi="Arial"/>
          <w:sz w:val="17"/>
          <w:szCs w:val="17"/>
          <w:color w:val="28282A"/>
        </w:rPr>
        <w:t>,</w:t>
      </w:r>
      <w:r>
        <w:rPr>
          <w:rFonts w:ascii="Arial" w:cs="Arial" w:eastAsia="Arial" w:hAnsi="Arial"/>
          <w:sz w:val="17"/>
          <w:szCs w:val="17"/>
          <w:color w:val="110E13"/>
        </w:rPr>
        <w:t xml:space="preserve"> by such first Person or one or more of its Subsidiaries</w:t>
      </w:r>
      <w:r>
        <w:rPr>
          <w:rFonts w:ascii="Arial" w:cs="Arial" w:eastAsia="Arial" w:hAnsi="Arial"/>
          <w:sz w:val="17"/>
          <w:szCs w:val="17"/>
          <w:color w:val="28282A"/>
        </w:rPr>
        <w:t>,</w:t>
      </w:r>
      <w:r>
        <w:rPr>
          <w:rFonts w:ascii="Arial" w:cs="Arial" w:eastAsia="Arial" w:hAnsi="Arial"/>
          <w:sz w:val="17"/>
          <w:szCs w:val="17"/>
          <w:color w:val="110E13"/>
        </w:rPr>
        <w:t xml:space="preserve"> or by such first Person</w:t>
      </w:r>
      <w:r>
        <w:rPr>
          <w:rFonts w:ascii="Arial" w:cs="Arial" w:eastAsia="Arial" w:hAnsi="Arial"/>
          <w:sz w:val="17"/>
          <w:szCs w:val="17"/>
          <w:color w:val="28282A"/>
        </w:rPr>
        <w:t>,</w:t>
      </w:r>
      <w:r>
        <w:rPr>
          <w:rFonts w:ascii="Arial" w:cs="Arial" w:eastAsia="Arial" w:hAnsi="Arial"/>
          <w:sz w:val="17"/>
          <w:szCs w:val="17"/>
          <w:color w:val="110E13"/>
        </w:rPr>
        <w:t xml:space="preserve"> or by such first Person and one or more of its Subsidiaries.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Target Registration Date</w:t>
      </w:r>
      <w:r>
        <w:rPr>
          <w:rFonts w:ascii="Arial" w:cs="Arial" w:eastAsia="Arial" w:hAnsi="Arial"/>
          <w:sz w:val="17"/>
          <w:szCs w:val="17"/>
          <w:color w:val="auto"/>
        </w:rPr>
        <w:t>” shall have the meaning set forth in Section 5.01(a).</w:t>
      </w:r>
    </w:p>
    <w:p>
      <w:pPr>
        <w:spacing w:after="0" w:line="17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110E13"/>
        </w:rPr>
        <w:t>“</w:t>
      </w:r>
      <w:r>
        <w:rPr>
          <w:rFonts w:ascii="Arial" w:cs="Arial" w:eastAsia="Arial" w:hAnsi="Arial"/>
          <w:sz w:val="17"/>
          <w:szCs w:val="17"/>
          <w:b w:val="1"/>
          <w:bCs w:val="1"/>
          <w:color w:val="110E13"/>
        </w:rPr>
        <w:t>Tax</w:t>
      </w:r>
      <w:r>
        <w:rPr>
          <w:rFonts w:ascii="Arial" w:cs="Arial" w:eastAsia="Arial" w:hAnsi="Arial"/>
          <w:sz w:val="17"/>
          <w:szCs w:val="17"/>
          <w:b w:val="1"/>
          <w:bCs w:val="1"/>
          <w:color w:val="28282A"/>
        </w:rPr>
        <w:t>”</w:t>
      </w:r>
      <w:r>
        <w:rPr>
          <w:rFonts w:ascii="Arial" w:cs="Arial" w:eastAsia="Arial" w:hAnsi="Arial"/>
          <w:sz w:val="17"/>
          <w:szCs w:val="17"/>
          <w:color w:val="110E13"/>
        </w:rPr>
        <w:t xml:space="preserve"> or </w:t>
      </w:r>
      <w:r>
        <w:rPr>
          <w:rFonts w:ascii="Arial" w:cs="Arial" w:eastAsia="Arial" w:hAnsi="Arial"/>
          <w:sz w:val="17"/>
          <w:szCs w:val="17"/>
          <w:b w:val="1"/>
          <w:bCs w:val="1"/>
          <w:color w:val="110E13"/>
        </w:rPr>
        <w:t>“Taxes”</w:t>
      </w:r>
      <w:r>
        <w:rPr>
          <w:rFonts w:ascii="Arial" w:cs="Arial" w:eastAsia="Arial" w:hAnsi="Arial"/>
          <w:sz w:val="17"/>
          <w:szCs w:val="17"/>
          <w:color w:val="110E13"/>
        </w:rPr>
        <w:t xml:space="preserve"> shall mean all federal</w:t>
      </w:r>
      <w:r>
        <w:rPr>
          <w:rFonts w:ascii="Arial" w:cs="Arial" w:eastAsia="Arial" w:hAnsi="Arial"/>
          <w:sz w:val="17"/>
          <w:szCs w:val="17"/>
          <w:color w:val="28282A"/>
        </w:rPr>
        <w:t>,</w:t>
      </w:r>
      <w:r>
        <w:rPr>
          <w:rFonts w:ascii="Arial" w:cs="Arial" w:eastAsia="Arial" w:hAnsi="Arial"/>
          <w:sz w:val="17"/>
          <w:szCs w:val="17"/>
          <w:color w:val="110E13"/>
        </w:rPr>
        <w:t xml:space="preserve"> state</w:t>
      </w:r>
      <w:r>
        <w:rPr>
          <w:rFonts w:ascii="Arial" w:cs="Arial" w:eastAsia="Arial" w:hAnsi="Arial"/>
          <w:sz w:val="17"/>
          <w:szCs w:val="17"/>
          <w:color w:val="28282A"/>
        </w:rPr>
        <w:t>,</w:t>
      </w:r>
      <w:r>
        <w:rPr>
          <w:rFonts w:ascii="Arial" w:cs="Arial" w:eastAsia="Arial" w:hAnsi="Arial"/>
          <w:sz w:val="17"/>
          <w:szCs w:val="17"/>
          <w:color w:val="110E13"/>
        </w:rPr>
        <w:t xml:space="preserve"> local</w:t>
      </w:r>
      <w:r>
        <w:rPr>
          <w:rFonts w:ascii="Arial" w:cs="Arial" w:eastAsia="Arial" w:hAnsi="Arial"/>
          <w:sz w:val="17"/>
          <w:szCs w:val="17"/>
          <w:color w:val="28282A"/>
        </w:rPr>
        <w:t>,</w:t>
      </w:r>
      <w:r>
        <w:rPr>
          <w:rFonts w:ascii="Arial" w:cs="Arial" w:eastAsia="Arial" w:hAnsi="Arial"/>
          <w:sz w:val="17"/>
          <w:szCs w:val="17"/>
          <w:color w:val="110E13"/>
        </w:rPr>
        <w:t xml:space="preserve"> and foreign income</w:t>
      </w:r>
      <w:r>
        <w:rPr>
          <w:rFonts w:ascii="Arial" w:cs="Arial" w:eastAsia="Arial" w:hAnsi="Arial"/>
          <w:sz w:val="17"/>
          <w:szCs w:val="17"/>
          <w:color w:val="28282A"/>
        </w:rPr>
        <w:t>,</w:t>
      </w:r>
      <w:r>
        <w:rPr>
          <w:rFonts w:ascii="Arial" w:cs="Arial" w:eastAsia="Arial" w:hAnsi="Arial"/>
          <w:sz w:val="17"/>
          <w:szCs w:val="17"/>
          <w:color w:val="110E13"/>
        </w:rPr>
        <w:t xml:space="preserve"> excise</w:t>
      </w:r>
      <w:r>
        <w:rPr>
          <w:rFonts w:ascii="Arial" w:cs="Arial" w:eastAsia="Arial" w:hAnsi="Arial"/>
          <w:sz w:val="17"/>
          <w:szCs w:val="17"/>
          <w:color w:val="28282A"/>
        </w:rPr>
        <w:t>,</w:t>
      </w:r>
      <w:r>
        <w:rPr>
          <w:rFonts w:ascii="Arial" w:cs="Arial" w:eastAsia="Arial" w:hAnsi="Arial"/>
          <w:sz w:val="17"/>
          <w:szCs w:val="17"/>
          <w:color w:val="110E13"/>
        </w:rPr>
        <w:t xml:space="preserve"> gross receipts, gross income</w:t>
      </w:r>
      <w:r>
        <w:rPr>
          <w:rFonts w:ascii="Arial" w:cs="Arial" w:eastAsia="Arial" w:hAnsi="Arial"/>
          <w:sz w:val="17"/>
          <w:szCs w:val="17"/>
          <w:color w:val="28282A"/>
        </w:rPr>
        <w:t>,</w:t>
      </w:r>
      <w:r>
        <w:rPr>
          <w:rFonts w:ascii="Arial" w:cs="Arial" w:eastAsia="Arial" w:hAnsi="Arial"/>
          <w:sz w:val="17"/>
          <w:szCs w:val="17"/>
          <w:color w:val="110E13"/>
        </w:rPr>
        <w:t xml:space="preserve"> ad valorem</w:t>
      </w:r>
      <w:r>
        <w:rPr>
          <w:rFonts w:ascii="Arial" w:cs="Arial" w:eastAsia="Arial" w:hAnsi="Arial"/>
          <w:sz w:val="17"/>
          <w:szCs w:val="17"/>
          <w:color w:val="28282A"/>
        </w:rPr>
        <w:t>,</w:t>
      </w:r>
      <w:r>
        <w:rPr>
          <w:rFonts w:ascii="Arial" w:cs="Arial" w:eastAsia="Arial" w:hAnsi="Arial"/>
          <w:sz w:val="17"/>
          <w:szCs w:val="17"/>
          <w:color w:val="110E13"/>
        </w:rPr>
        <w:t xml:space="preserve"> profits</w:t>
      </w:r>
      <w:r>
        <w:rPr>
          <w:rFonts w:ascii="Arial" w:cs="Arial" w:eastAsia="Arial" w:hAnsi="Arial"/>
          <w:sz w:val="17"/>
          <w:szCs w:val="17"/>
          <w:color w:val="28282A"/>
        </w:rPr>
        <w:t>,</w:t>
      </w:r>
      <w:r>
        <w:rPr>
          <w:rFonts w:ascii="Arial" w:cs="Arial" w:eastAsia="Arial" w:hAnsi="Arial"/>
          <w:sz w:val="17"/>
          <w:szCs w:val="17"/>
          <w:color w:val="110E13"/>
        </w:rPr>
        <w:t xml:space="preserve"> gains</w:t>
      </w:r>
      <w:r>
        <w:rPr>
          <w:rFonts w:ascii="Arial" w:cs="Arial" w:eastAsia="Arial" w:hAnsi="Arial"/>
          <w:sz w:val="17"/>
          <w:szCs w:val="17"/>
          <w:color w:val="28282A"/>
        </w:rPr>
        <w:t>,</w:t>
      </w:r>
      <w:r>
        <w:rPr>
          <w:rFonts w:ascii="Arial" w:cs="Arial" w:eastAsia="Arial" w:hAnsi="Arial"/>
          <w:sz w:val="17"/>
          <w:szCs w:val="17"/>
          <w:color w:val="110E13"/>
        </w:rPr>
        <w:t xml:space="preserve"> property</w:t>
      </w:r>
      <w:r>
        <w:rPr>
          <w:rFonts w:ascii="Arial" w:cs="Arial" w:eastAsia="Arial" w:hAnsi="Arial"/>
          <w:sz w:val="17"/>
          <w:szCs w:val="17"/>
          <w:color w:val="28282A"/>
        </w:rPr>
        <w:t>,</w:t>
      </w:r>
      <w:r>
        <w:rPr>
          <w:rFonts w:ascii="Arial" w:cs="Arial" w:eastAsia="Arial" w:hAnsi="Arial"/>
          <w:sz w:val="17"/>
          <w:szCs w:val="17"/>
          <w:color w:val="110E13"/>
        </w:rPr>
        <w:t xml:space="preserve"> capital</w:t>
      </w:r>
      <w:r>
        <w:rPr>
          <w:rFonts w:ascii="Arial" w:cs="Arial" w:eastAsia="Arial" w:hAnsi="Arial"/>
          <w:sz w:val="17"/>
          <w:szCs w:val="17"/>
          <w:color w:val="28282A"/>
        </w:rPr>
        <w:t>,</w:t>
      </w:r>
      <w:r>
        <w:rPr>
          <w:rFonts w:ascii="Arial" w:cs="Arial" w:eastAsia="Arial" w:hAnsi="Arial"/>
          <w:sz w:val="17"/>
          <w:szCs w:val="17"/>
          <w:color w:val="110E13"/>
        </w:rPr>
        <w:t xml:space="preserve"> sales</w:t>
      </w:r>
      <w:r>
        <w:rPr>
          <w:rFonts w:ascii="Arial" w:cs="Arial" w:eastAsia="Arial" w:hAnsi="Arial"/>
          <w:sz w:val="17"/>
          <w:szCs w:val="17"/>
          <w:color w:val="28282A"/>
        </w:rPr>
        <w:t>,</w:t>
      </w:r>
      <w:r>
        <w:rPr>
          <w:rFonts w:ascii="Arial" w:cs="Arial" w:eastAsia="Arial" w:hAnsi="Arial"/>
          <w:sz w:val="17"/>
          <w:szCs w:val="17"/>
          <w:color w:val="110E13"/>
        </w:rPr>
        <w:t xml:space="preserve"> transfer</w:t>
      </w:r>
      <w:r>
        <w:rPr>
          <w:rFonts w:ascii="Arial" w:cs="Arial" w:eastAsia="Arial" w:hAnsi="Arial"/>
          <w:sz w:val="17"/>
          <w:szCs w:val="17"/>
          <w:color w:val="28282A"/>
        </w:rPr>
        <w:t>,</w:t>
      </w:r>
      <w:r>
        <w:rPr>
          <w:rFonts w:ascii="Arial" w:cs="Arial" w:eastAsia="Arial" w:hAnsi="Arial"/>
          <w:sz w:val="17"/>
          <w:szCs w:val="17"/>
          <w:color w:val="110E13"/>
        </w:rPr>
        <w:t xml:space="preserve"> use</w:t>
      </w:r>
      <w:r>
        <w:rPr>
          <w:rFonts w:ascii="Arial" w:cs="Arial" w:eastAsia="Arial" w:hAnsi="Arial"/>
          <w:sz w:val="17"/>
          <w:szCs w:val="17"/>
          <w:color w:val="28282A"/>
        </w:rPr>
        <w:t>,</w:t>
      </w:r>
      <w:r>
        <w:rPr>
          <w:rFonts w:ascii="Arial" w:cs="Arial" w:eastAsia="Arial" w:hAnsi="Arial"/>
          <w:sz w:val="17"/>
          <w:szCs w:val="17"/>
          <w:color w:val="110E13"/>
        </w:rPr>
        <w:t xml:space="preserve"> payroll</w:t>
      </w:r>
      <w:r>
        <w:rPr>
          <w:rFonts w:ascii="Arial" w:cs="Arial" w:eastAsia="Arial" w:hAnsi="Arial"/>
          <w:sz w:val="17"/>
          <w:szCs w:val="17"/>
          <w:color w:val="28282A"/>
        </w:rPr>
        <w:t>,</w:t>
      </w:r>
      <w:r>
        <w:rPr>
          <w:rFonts w:ascii="Arial" w:cs="Arial" w:eastAsia="Arial" w:hAnsi="Arial"/>
          <w:sz w:val="17"/>
          <w:szCs w:val="17"/>
          <w:color w:val="110E13"/>
        </w:rPr>
        <w:t xml:space="preserve"> employment</w:t>
      </w:r>
      <w:r>
        <w:rPr>
          <w:rFonts w:ascii="Arial" w:cs="Arial" w:eastAsia="Arial" w:hAnsi="Arial"/>
          <w:sz w:val="17"/>
          <w:szCs w:val="17"/>
          <w:color w:val="28282A"/>
        </w:rPr>
        <w:t>,</w:t>
      </w:r>
      <w:r>
        <w:rPr>
          <w:rFonts w:ascii="Arial" w:cs="Arial" w:eastAsia="Arial" w:hAnsi="Arial"/>
          <w:sz w:val="17"/>
          <w:szCs w:val="17"/>
          <w:color w:val="110E13"/>
        </w:rPr>
        <w:t xml:space="preserve"> severance</w:t>
      </w:r>
      <w:r>
        <w:rPr>
          <w:rFonts w:ascii="Arial" w:cs="Arial" w:eastAsia="Arial" w:hAnsi="Arial"/>
          <w:sz w:val="17"/>
          <w:szCs w:val="17"/>
          <w:color w:val="28282A"/>
        </w:rPr>
        <w:t>,</w:t>
      </w:r>
      <w:r>
        <w:rPr>
          <w:rFonts w:ascii="Arial" w:cs="Arial" w:eastAsia="Arial" w:hAnsi="Arial"/>
          <w:sz w:val="17"/>
          <w:szCs w:val="17"/>
          <w:color w:val="110E13"/>
        </w:rPr>
        <w:t xml:space="preserve"> withholding</w:t>
      </w:r>
      <w:r>
        <w:rPr>
          <w:rFonts w:ascii="Arial" w:cs="Arial" w:eastAsia="Arial" w:hAnsi="Arial"/>
          <w:sz w:val="17"/>
          <w:szCs w:val="17"/>
          <w:color w:val="28282A"/>
        </w:rPr>
        <w:t>,</w:t>
      </w:r>
      <w:r>
        <w:rPr>
          <w:rFonts w:ascii="Arial" w:cs="Arial" w:eastAsia="Arial" w:hAnsi="Arial"/>
          <w:sz w:val="17"/>
          <w:szCs w:val="17"/>
          <w:color w:val="110E13"/>
        </w:rPr>
        <w:t xml:space="preserve"> duties</w:t>
      </w:r>
      <w:r>
        <w:rPr>
          <w:rFonts w:ascii="Arial" w:cs="Arial" w:eastAsia="Arial" w:hAnsi="Arial"/>
          <w:sz w:val="17"/>
          <w:szCs w:val="17"/>
          <w:color w:val="28282A"/>
        </w:rPr>
        <w:t>,</w:t>
      </w:r>
      <w:r>
        <w:rPr>
          <w:rFonts w:ascii="Arial" w:cs="Arial" w:eastAsia="Arial" w:hAnsi="Arial"/>
          <w:sz w:val="17"/>
          <w:szCs w:val="17"/>
          <w:color w:val="110E13"/>
        </w:rPr>
        <w:t xml:space="preserve"> intangibles</w:t>
      </w:r>
      <w:r>
        <w:rPr>
          <w:rFonts w:ascii="Arial" w:cs="Arial" w:eastAsia="Arial" w:hAnsi="Arial"/>
          <w:sz w:val="17"/>
          <w:szCs w:val="17"/>
          <w:color w:val="28282A"/>
        </w:rPr>
        <w:t>,</w:t>
      </w:r>
      <w:r>
        <w:rPr>
          <w:rFonts w:ascii="Arial" w:cs="Arial" w:eastAsia="Arial" w:hAnsi="Arial"/>
          <w:sz w:val="17"/>
          <w:szCs w:val="17"/>
          <w:color w:val="110E13"/>
        </w:rPr>
        <w:t xml:space="preserve"> franchise</w:t>
      </w:r>
      <w:r>
        <w:rPr>
          <w:rFonts w:ascii="Arial" w:cs="Arial" w:eastAsia="Arial" w:hAnsi="Arial"/>
          <w:sz w:val="17"/>
          <w:szCs w:val="17"/>
          <w:color w:val="28282A"/>
        </w:rPr>
        <w:t>,</w:t>
      </w:r>
      <w:r>
        <w:rPr>
          <w:rFonts w:ascii="Arial" w:cs="Arial" w:eastAsia="Arial" w:hAnsi="Arial"/>
          <w:sz w:val="17"/>
          <w:szCs w:val="17"/>
          <w:color w:val="110E13"/>
        </w:rPr>
        <w:t xml:space="preserve"> backup withholding</w:t>
      </w:r>
      <w:r>
        <w:rPr>
          <w:rFonts w:ascii="Arial" w:cs="Arial" w:eastAsia="Arial" w:hAnsi="Arial"/>
          <w:sz w:val="17"/>
          <w:szCs w:val="17"/>
          <w:color w:val="28282A"/>
        </w:rPr>
        <w:t>,</w:t>
      </w:r>
      <w:r>
        <w:rPr>
          <w:rFonts w:ascii="Arial" w:cs="Arial" w:eastAsia="Arial" w:hAnsi="Arial"/>
          <w:sz w:val="17"/>
          <w:szCs w:val="17"/>
          <w:color w:val="110E13"/>
        </w:rPr>
        <w:t xml:space="preserve"> value-added</w:t>
      </w:r>
      <w:r>
        <w:rPr>
          <w:rFonts w:ascii="Arial" w:cs="Arial" w:eastAsia="Arial" w:hAnsi="Arial"/>
          <w:sz w:val="17"/>
          <w:szCs w:val="17"/>
          <w:color w:val="28282A"/>
        </w:rPr>
        <w:t>,</w:t>
      </w:r>
      <w:r>
        <w:rPr>
          <w:rFonts w:ascii="Arial" w:cs="Arial" w:eastAsia="Arial" w:hAnsi="Arial"/>
          <w:sz w:val="17"/>
          <w:szCs w:val="17"/>
          <w:color w:val="110E13"/>
        </w:rPr>
        <w:t xml:space="preserve"> and other taxes imposed by a Governmental Entity</w:t>
      </w:r>
      <w:r>
        <w:rPr>
          <w:rFonts w:ascii="Arial" w:cs="Arial" w:eastAsia="Arial" w:hAnsi="Arial"/>
          <w:sz w:val="17"/>
          <w:szCs w:val="17"/>
          <w:color w:val="28282A"/>
        </w:rPr>
        <w:t>,</w:t>
      </w:r>
      <w:r>
        <w:rPr>
          <w:rFonts w:ascii="Arial" w:cs="Arial" w:eastAsia="Arial" w:hAnsi="Arial"/>
          <w:sz w:val="17"/>
          <w:szCs w:val="17"/>
          <w:color w:val="110E13"/>
        </w:rPr>
        <w:t xml:space="preserve"> together with all interest</w:t>
      </w:r>
      <w:r>
        <w:rPr>
          <w:rFonts w:ascii="Arial" w:cs="Arial" w:eastAsia="Arial" w:hAnsi="Arial"/>
          <w:sz w:val="17"/>
          <w:szCs w:val="17"/>
          <w:color w:val="28282A"/>
        </w:rPr>
        <w:t>,</w:t>
      </w:r>
      <w:r>
        <w:rPr>
          <w:rFonts w:ascii="Arial" w:cs="Arial" w:eastAsia="Arial" w:hAnsi="Arial"/>
          <w:sz w:val="17"/>
          <w:szCs w:val="17"/>
          <w:color w:val="110E13"/>
        </w:rPr>
        <w:t xml:space="preserve"> penalties and additions to tax imposed with respect thereto</w:t>
      </w:r>
      <w:r>
        <w:rPr>
          <w:rFonts w:ascii="Arial" w:cs="Arial" w:eastAsia="Arial" w:hAnsi="Arial"/>
          <w:sz w:val="17"/>
          <w:szCs w:val="17"/>
          <w:color w:val="28282A"/>
        </w:rPr>
        <w:t>.</w:t>
      </w:r>
    </w:p>
    <w:p>
      <w:pPr>
        <w:spacing w:after="0" w:line="134" w:lineRule="exact"/>
        <w:rPr>
          <w:sz w:val="20"/>
          <w:szCs w:val="20"/>
          <w:color w:val="auto"/>
        </w:rPr>
      </w:pPr>
    </w:p>
    <w:p>
      <w:pPr>
        <w:ind w:right="340" w:firstLine="509"/>
        <w:spacing w:after="0" w:line="276" w:lineRule="auto"/>
        <w:rPr>
          <w:sz w:val="20"/>
          <w:szCs w:val="20"/>
          <w:color w:val="auto"/>
        </w:rPr>
      </w:pPr>
      <w:r>
        <w:rPr>
          <w:rFonts w:ascii="Arial" w:cs="Arial" w:eastAsia="Arial" w:hAnsi="Arial"/>
          <w:sz w:val="17"/>
          <w:szCs w:val="17"/>
          <w:b w:val="1"/>
          <w:bCs w:val="1"/>
          <w:color w:val="110E13"/>
        </w:rPr>
        <w:t xml:space="preserve">“Tax Return” </w:t>
      </w:r>
      <w:r>
        <w:rPr>
          <w:rFonts w:ascii="Arial" w:cs="Arial" w:eastAsia="Arial" w:hAnsi="Arial"/>
          <w:sz w:val="17"/>
          <w:szCs w:val="17"/>
          <w:color w:val="110E13"/>
        </w:rPr>
        <w:t>shall mean a report</w:t>
      </w:r>
      <w:r>
        <w:rPr>
          <w:rFonts w:ascii="Arial" w:cs="Arial" w:eastAsia="Arial" w:hAnsi="Arial"/>
          <w:sz w:val="17"/>
          <w:szCs w:val="17"/>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return or other document (including any amendments thereto) required to be supplied to a Governmental Entity with</w:t>
      </w:r>
      <w:r>
        <w:rPr>
          <w:rFonts w:ascii="Arial" w:cs="Arial" w:eastAsia="Arial" w:hAnsi="Arial"/>
          <w:sz w:val="17"/>
          <w:szCs w:val="17"/>
          <w:b w:val="1"/>
          <w:bCs w:val="1"/>
          <w:color w:val="110E13"/>
        </w:rPr>
        <w:t xml:space="preserve"> </w:t>
      </w:r>
      <w:r>
        <w:rPr>
          <w:rFonts w:ascii="Arial" w:cs="Arial" w:eastAsia="Arial" w:hAnsi="Arial"/>
          <w:sz w:val="17"/>
          <w:szCs w:val="17"/>
          <w:color w:val="110E13"/>
        </w:rPr>
        <w:t>respect to Taxes.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“Third Party” </w:t>
      </w:r>
      <w:r>
        <w:rPr>
          <w:rFonts w:ascii="Arial" w:cs="Arial" w:eastAsia="Arial" w:hAnsi="Arial"/>
          <w:sz w:val="17"/>
          <w:szCs w:val="17"/>
          <w:color w:val="110E13"/>
        </w:rPr>
        <w:t>shall mean a Person other than any member of the Purchaser Group or any of their respective Affiliates.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 xml:space="preserve">“Third Party Tender/Exchange Offer”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4.02(a)</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110E13"/>
        </w:rPr>
        <w:t>“Transaction Documents</w:t>
      </w:r>
      <w:r>
        <w:rPr>
          <w:rFonts w:ascii="Arial" w:cs="Arial" w:eastAsia="Arial" w:hAnsi="Arial"/>
          <w:sz w:val="17"/>
          <w:szCs w:val="17"/>
          <w:b w:val="1"/>
          <w:bCs w:val="1"/>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110E13"/>
        </w:rPr>
        <w:t xml:space="preserve"> </w:t>
      </w:r>
      <w:r>
        <w:rPr>
          <w:rFonts w:ascii="Arial" w:cs="Arial" w:eastAsia="Arial" w:hAnsi="Arial"/>
          <w:sz w:val="17"/>
          <w:szCs w:val="17"/>
          <w:color w:val="000000"/>
        </w:rPr>
        <w:t>Section 3.01(c)</w:t>
      </w:r>
      <w:r>
        <w:rPr>
          <w:rFonts w:ascii="Arial" w:cs="Arial" w:eastAsia="Arial" w:hAnsi="Arial"/>
          <w:sz w:val="17"/>
          <w:szCs w:val="17"/>
          <w:color w:val="110E13"/>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80"/>
          </w:cols>
          <w:pgMar w:left="300" w:top="1148" w:right="419" w:bottom="1440" w:gutter="0" w:footer="0" w:header="0"/>
        </w:sectPr>
      </w:pPr>
    </w:p>
    <w:bookmarkStart w:id="138" w:name="page139"/>
    <w:bookmarkEnd w:id="138"/>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Transactions</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28282A"/>
        </w:rPr>
        <w:t xml:space="preserve"> </w:t>
      </w:r>
      <w:r>
        <w:rPr>
          <w:rFonts w:ascii="Arial" w:cs="Arial" w:eastAsia="Arial" w:hAnsi="Arial"/>
          <w:sz w:val="17"/>
          <w:szCs w:val="17"/>
          <w:color w:val="000000"/>
        </w:rPr>
        <w:t>Section 3.01(c)</w:t>
      </w:r>
      <w:r>
        <w:rPr>
          <w:rFonts w:ascii="Arial" w:cs="Arial" w:eastAsia="Arial" w:hAnsi="Arial"/>
          <w:sz w:val="17"/>
          <w:szCs w:val="17"/>
          <w:color w:val="110E13"/>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28282A"/>
        </w:rPr>
        <w:t>“</w:t>
      </w:r>
      <w:r>
        <w:rPr>
          <w:rFonts w:ascii="Arial" w:cs="Arial" w:eastAsia="Arial" w:hAnsi="Arial"/>
          <w:sz w:val="17"/>
          <w:szCs w:val="17"/>
          <w:b w:val="1"/>
          <w:bCs w:val="1"/>
          <w:color w:val="110E13"/>
        </w:rPr>
        <w:t>transfer”</w:t>
      </w:r>
      <w:r>
        <w:rPr>
          <w:rFonts w:ascii="Arial" w:cs="Arial" w:eastAsia="Arial" w:hAnsi="Arial"/>
          <w:sz w:val="17"/>
          <w:szCs w:val="17"/>
          <w:b w:val="1"/>
          <w:bCs w:val="1"/>
          <w:color w:val="28282A"/>
        </w:rPr>
        <w:t xml:space="preserve"> </w:t>
      </w:r>
      <w:r>
        <w:rPr>
          <w:rFonts w:ascii="Arial" w:cs="Arial" w:eastAsia="Arial" w:hAnsi="Arial"/>
          <w:sz w:val="17"/>
          <w:szCs w:val="17"/>
          <w:color w:val="110E13"/>
        </w:rPr>
        <w:t>shall have the meaning set forth in</w:t>
      </w:r>
      <w:r>
        <w:rPr>
          <w:rFonts w:ascii="Arial" w:cs="Arial" w:eastAsia="Arial" w:hAnsi="Arial"/>
          <w:sz w:val="17"/>
          <w:szCs w:val="17"/>
          <w:b w:val="1"/>
          <w:bCs w:val="1"/>
          <w:color w:val="28282A"/>
        </w:rPr>
        <w:t xml:space="preserve"> </w:t>
      </w:r>
      <w:r>
        <w:rPr>
          <w:rFonts w:ascii="Arial" w:cs="Arial" w:eastAsia="Arial" w:hAnsi="Arial"/>
          <w:sz w:val="17"/>
          <w:szCs w:val="17"/>
          <w:color w:val="000000"/>
        </w:rPr>
        <w:t>Section 4.02(a)</w:t>
      </w:r>
      <w:r>
        <w:rPr>
          <w:rFonts w:ascii="Arial" w:cs="Arial" w:eastAsia="Arial" w:hAnsi="Arial"/>
          <w:sz w:val="17"/>
          <w:szCs w:val="17"/>
          <w:color w:val="110E13"/>
        </w:rPr>
        <w:t>.</w:t>
      </w:r>
    </w:p>
    <w:p>
      <w:pPr>
        <w:spacing w:after="0" w:line="176" w:lineRule="exact"/>
        <w:rPr>
          <w:sz w:val="20"/>
          <w:szCs w:val="20"/>
          <w:color w:val="auto"/>
        </w:rPr>
      </w:pPr>
    </w:p>
    <w:p>
      <w:pPr>
        <w:ind w:right="80" w:firstLine="509"/>
        <w:spacing w:after="0" w:line="276" w:lineRule="auto"/>
        <w:rPr>
          <w:sz w:val="20"/>
          <w:szCs w:val="20"/>
          <w:color w:val="auto"/>
        </w:rPr>
      </w:pPr>
      <w:r>
        <w:rPr>
          <w:rFonts w:ascii="Arial" w:cs="Arial" w:eastAsia="Arial" w:hAnsi="Arial"/>
          <w:sz w:val="17"/>
          <w:szCs w:val="17"/>
          <w:b w:val="1"/>
          <w:bCs w:val="1"/>
          <w:color w:val="110E13"/>
        </w:rPr>
        <w:t xml:space="preserve">“Voting Stock” </w:t>
      </w:r>
      <w:r>
        <w:rPr>
          <w:rFonts w:ascii="Arial" w:cs="Arial" w:eastAsia="Arial" w:hAnsi="Arial"/>
          <w:sz w:val="17"/>
          <w:szCs w:val="17"/>
          <w:color w:val="110E13"/>
        </w:rPr>
        <w:t>shall mean securities of any class or kind having the power to vote generally for the election of directors</w:t>
      </w:r>
      <w:r>
        <w:rPr>
          <w:rFonts w:ascii="Arial" w:cs="Arial" w:eastAsia="Arial" w:hAnsi="Arial"/>
          <w:sz w:val="17"/>
          <w:szCs w:val="17"/>
          <w:color w:val="28282A"/>
        </w:rPr>
        <w:t>,</w:t>
      </w:r>
      <w:r>
        <w:rPr>
          <w:rFonts w:ascii="Arial" w:cs="Arial" w:eastAsia="Arial" w:hAnsi="Arial"/>
          <w:sz w:val="17"/>
          <w:szCs w:val="17"/>
          <w:b w:val="1"/>
          <w:bCs w:val="1"/>
          <w:color w:val="110E13"/>
        </w:rPr>
        <w:t xml:space="preserve"> </w:t>
      </w:r>
      <w:r>
        <w:rPr>
          <w:rFonts w:ascii="Arial" w:cs="Arial" w:eastAsia="Arial" w:hAnsi="Arial"/>
          <w:sz w:val="17"/>
          <w:szCs w:val="17"/>
          <w:color w:val="110E13"/>
        </w:rPr>
        <w:t>managers or other voting members</w:t>
      </w:r>
      <w:r>
        <w:rPr>
          <w:rFonts w:ascii="Arial" w:cs="Arial" w:eastAsia="Arial" w:hAnsi="Arial"/>
          <w:sz w:val="17"/>
          <w:szCs w:val="17"/>
          <w:b w:val="1"/>
          <w:bCs w:val="1"/>
          <w:color w:val="110E13"/>
        </w:rPr>
        <w:t xml:space="preserve"> </w:t>
      </w:r>
      <w:r>
        <w:rPr>
          <w:rFonts w:ascii="Arial" w:cs="Arial" w:eastAsia="Arial" w:hAnsi="Arial"/>
          <w:sz w:val="17"/>
          <w:szCs w:val="17"/>
          <w:color w:val="110E13"/>
        </w:rPr>
        <w:t>of the governing body of the Company or any successor thereto.</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WKSI</w:t>
      </w:r>
      <w:r>
        <w:rPr>
          <w:rFonts w:ascii="Arial" w:cs="Arial" w:eastAsia="Arial" w:hAnsi="Arial"/>
          <w:sz w:val="17"/>
          <w:szCs w:val="17"/>
          <w:color w:val="auto"/>
        </w:rPr>
        <w:t>” means a “well known seasoned issuer” as defined under Rule 405.</w:t>
      </w:r>
    </w:p>
    <w:p>
      <w:pPr>
        <w:spacing w:after="0" w:line="180"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Gen</w:t>
      </w:r>
      <w:r>
        <w:rPr>
          <w:rFonts w:ascii="Arial" w:cs="Arial" w:eastAsia="Arial" w:hAnsi="Arial"/>
          <w:sz w:val="16"/>
          <w:szCs w:val="16"/>
          <w:i w:val="1"/>
          <w:iCs w:val="1"/>
          <w:color w:val="28282A"/>
        </w:rPr>
        <w:t>e</w:t>
      </w:r>
      <w:r>
        <w:rPr>
          <w:rFonts w:ascii="Arial" w:cs="Arial" w:eastAsia="Arial" w:hAnsi="Arial"/>
          <w:sz w:val="16"/>
          <w:szCs w:val="16"/>
          <w:i w:val="1"/>
          <w:iCs w:val="1"/>
          <w:color w:val="auto"/>
        </w:rPr>
        <w:t>ral Interpretive Principles.</w:t>
      </w:r>
      <w:r>
        <w:rPr>
          <w:rFonts w:ascii="Arial" w:cs="Arial" w:eastAsia="Arial" w:hAnsi="Arial"/>
          <w:sz w:val="16"/>
          <w:szCs w:val="16"/>
          <w:color w:val="auto"/>
        </w:rPr>
        <w:t xml:space="preserve"> Whenever used in this Agreement</w:t>
      </w:r>
      <w:r>
        <w:rPr>
          <w:rFonts w:ascii="Arial" w:cs="Arial" w:eastAsia="Arial" w:hAnsi="Arial"/>
          <w:sz w:val="16"/>
          <w:szCs w:val="16"/>
          <w:color w:val="28282A"/>
        </w:rPr>
        <w:t>,</w:t>
      </w:r>
      <w:r>
        <w:rPr>
          <w:rFonts w:ascii="Arial" w:cs="Arial" w:eastAsia="Arial" w:hAnsi="Arial"/>
          <w:sz w:val="16"/>
          <w:szCs w:val="16"/>
          <w:color w:val="auto"/>
        </w:rPr>
        <w:t xml:space="preserve"> except as otherwise expressly provided or unless the context otherwise requires</w:t>
      </w:r>
      <w:r>
        <w:rPr>
          <w:rFonts w:ascii="Arial" w:cs="Arial" w:eastAsia="Arial" w:hAnsi="Arial"/>
          <w:sz w:val="16"/>
          <w:szCs w:val="16"/>
          <w:color w:val="28282A"/>
        </w:rPr>
        <w:t>,</w:t>
      </w:r>
      <w:r>
        <w:rPr>
          <w:rFonts w:ascii="Arial" w:cs="Arial" w:eastAsia="Arial" w:hAnsi="Arial"/>
          <w:sz w:val="16"/>
          <w:szCs w:val="16"/>
          <w:color w:val="auto"/>
        </w:rPr>
        <w:t xml:space="preserve"> any noun or pronoun shall be deemed to include the plural as well as the singular and to cover all genders. The name assigned to this Agreement and the section captions used herein are for convenience of reference only and shall not be construed to affect the meaning</w:t>
      </w:r>
      <w:r>
        <w:rPr>
          <w:rFonts w:ascii="Arial" w:cs="Arial" w:eastAsia="Arial" w:hAnsi="Arial"/>
          <w:sz w:val="16"/>
          <w:szCs w:val="16"/>
          <w:color w:val="28282A"/>
        </w:rPr>
        <w:t>,</w:t>
      </w:r>
      <w:r>
        <w:rPr>
          <w:rFonts w:ascii="Arial" w:cs="Arial" w:eastAsia="Arial" w:hAnsi="Arial"/>
          <w:sz w:val="16"/>
          <w:szCs w:val="16"/>
          <w:color w:val="auto"/>
        </w:rPr>
        <w:t xml:space="preserve"> construction or effect hereof Whenever the words “include</w:t>
      </w:r>
      <w:r>
        <w:rPr>
          <w:rFonts w:ascii="Arial" w:cs="Arial" w:eastAsia="Arial" w:hAnsi="Arial"/>
          <w:sz w:val="16"/>
          <w:szCs w:val="16"/>
          <w:color w:val="28282A"/>
        </w:rPr>
        <w:t>,</w:t>
      </w:r>
      <w:r>
        <w:rPr>
          <w:rFonts w:ascii="Arial" w:cs="Arial" w:eastAsia="Arial" w:hAnsi="Arial"/>
          <w:sz w:val="16"/>
          <w:szCs w:val="16"/>
          <w:color w:val="auto"/>
        </w:rPr>
        <w:t>” “includes</w:t>
      </w:r>
      <w:r>
        <w:rPr>
          <w:rFonts w:ascii="Arial" w:cs="Arial" w:eastAsia="Arial" w:hAnsi="Arial"/>
          <w:sz w:val="16"/>
          <w:szCs w:val="16"/>
          <w:color w:val="3B3A3B"/>
        </w:rPr>
        <w:t>,</w:t>
      </w:r>
      <w:r>
        <w:rPr>
          <w:rFonts w:ascii="Arial" w:cs="Arial" w:eastAsia="Arial" w:hAnsi="Arial"/>
          <w:sz w:val="16"/>
          <w:szCs w:val="16"/>
          <w:color w:val="auto"/>
        </w:rPr>
        <w:t xml:space="preserve">” or </w:t>
      </w:r>
      <w:r>
        <w:rPr>
          <w:rFonts w:ascii="Arial" w:cs="Arial" w:eastAsia="Arial" w:hAnsi="Arial"/>
          <w:sz w:val="16"/>
          <w:szCs w:val="16"/>
          <w:color w:val="28282A"/>
        </w:rPr>
        <w:t>“</w:t>
      </w:r>
      <w:r>
        <w:rPr>
          <w:rFonts w:ascii="Arial" w:cs="Arial" w:eastAsia="Arial" w:hAnsi="Arial"/>
          <w:sz w:val="16"/>
          <w:szCs w:val="16"/>
          <w:color w:val="auto"/>
        </w:rPr>
        <w:t>including” are used in this Agreement</w:t>
      </w:r>
      <w:r>
        <w:rPr>
          <w:rFonts w:ascii="Arial" w:cs="Arial" w:eastAsia="Arial" w:hAnsi="Arial"/>
          <w:sz w:val="16"/>
          <w:szCs w:val="16"/>
          <w:color w:val="28282A"/>
        </w:rPr>
        <w:t>,</w:t>
      </w:r>
      <w:r>
        <w:rPr>
          <w:rFonts w:ascii="Arial" w:cs="Arial" w:eastAsia="Arial" w:hAnsi="Arial"/>
          <w:sz w:val="16"/>
          <w:szCs w:val="16"/>
          <w:color w:val="auto"/>
        </w:rPr>
        <w:t xml:space="preserve"> they shall be deemed to be followed by the words “without limitation.” Unless otherwise specified</w:t>
      </w:r>
      <w:r>
        <w:rPr>
          <w:rFonts w:ascii="Arial" w:cs="Arial" w:eastAsia="Arial" w:hAnsi="Arial"/>
          <w:sz w:val="16"/>
          <w:szCs w:val="16"/>
          <w:color w:val="28282A"/>
        </w:rPr>
        <w:t>,</w:t>
      </w:r>
      <w:r>
        <w:rPr>
          <w:rFonts w:ascii="Arial" w:cs="Arial" w:eastAsia="Arial" w:hAnsi="Arial"/>
          <w:sz w:val="16"/>
          <w:szCs w:val="16"/>
          <w:color w:val="auto"/>
        </w:rPr>
        <w:t xml:space="preserve"> the terms </w:t>
      </w:r>
      <w:r>
        <w:rPr>
          <w:rFonts w:ascii="Arial" w:cs="Arial" w:eastAsia="Arial" w:hAnsi="Arial"/>
          <w:sz w:val="16"/>
          <w:szCs w:val="16"/>
          <w:color w:val="28282A"/>
        </w:rPr>
        <w:t>“</w:t>
      </w:r>
      <w:r>
        <w:rPr>
          <w:rFonts w:ascii="Arial" w:cs="Arial" w:eastAsia="Arial" w:hAnsi="Arial"/>
          <w:sz w:val="16"/>
          <w:szCs w:val="16"/>
          <w:color w:val="auto"/>
        </w:rPr>
        <w:t xml:space="preserve"> hereto</w:t>
      </w:r>
      <w:r>
        <w:rPr>
          <w:rFonts w:ascii="Arial" w:cs="Arial" w:eastAsia="Arial" w:hAnsi="Arial"/>
          <w:sz w:val="16"/>
          <w:szCs w:val="16"/>
          <w:color w:val="28282A"/>
        </w:rPr>
        <w:t>,</w:t>
      </w:r>
      <w:r>
        <w:rPr>
          <w:rFonts w:ascii="Arial" w:cs="Arial" w:eastAsia="Arial" w:hAnsi="Arial"/>
          <w:sz w:val="16"/>
          <w:szCs w:val="16"/>
          <w:color w:val="auto"/>
        </w:rPr>
        <w:t xml:space="preserve">” </w:t>
      </w:r>
      <w:r>
        <w:rPr>
          <w:rFonts w:ascii="Arial" w:cs="Arial" w:eastAsia="Arial" w:hAnsi="Arial"/>
          <w:sz w:val="16"/>
          <w:szCs w:val="16"/>
          <w:color w:val="28282A"/>
        </w:rPr>
        <w:t>“</w:t>
      </w:r>
      <w:r>
        <w:rPr>
          <w:rFonts w:ascii="Arial" w:cs="Arial" w:eastAsia="Arial" w:hAnsi="Arial"/>
          <w:sz w:val="16"/>
          <w:szCs w:val="16"/>
          <w:color w:val="auto"/>
        </w:rPr>
        <w:t>hereof</w:t>
      </w:r>
      <w:r>
        <w:rPr>
          <w:rFonts w:ascii="Arial" w:cs="Arial" w:eastAsia="Arial" w:hAnsi="Arial"/>
          <w:sz w:val="16"/>
          <w:szCs w:val="16"/>
          <w:color w:val="28282A"/>
        </w:rPr>
        <w:t>,</w:t>
      </w:r>
      <w:r>
        <w:rPr>
          <w:rFonts w:ascii="Arial" w:cs="Arial" w:eastAsia="Arial" w:hAnsi="Arial"/>
          <w:sz w:val="16"/>
          <w:szCs w:val="16"/>
          <w:color w:val="auto"/>
        </w:rPr>
        <w:t xml:space="preserve">” </w:t>
      </w:r>
      <w:r>
        <w:rPr>
          <w:rFonts w:ascii="Arial" w:cs="Arial" w:eastAsia="Arial" w:hAnsi="Arial"/>
          <w:sz w:val="16"/>
          <w:szCs w:val="16"/>
          <w:color w:val="28282A"/>
        </w:rPr>
        <w:t>“</w:t>
      </w:r>
      <w:r>
        <w:rPr>
          <w:rFonts w:ascii="Arial" w:cs="Arial" w:eastAsia="Arial" w:hAnsi="Arial"/>
          <w:sz w:val="16"/>
          <w:szCs w:val="16"/>
          <w:color w:val="auto"/>
        </w:rPr>
        <w:t xml:space="preserve">herein” and </w:t>
      </w:r>
      <w:r>
        <w:rPr>
          <w:rFonts w:ascii="Arial" w:cs="Arial" w:eastAsia="Arial" w:hAnsi="Arial"/>
          <w:sz w:val="16"/>
          <w:szCs w:val="16"/>
          <w:color w:val="110F13"/>
        </w:rPr>
        <w:t>similar terms refer to this Agreement as a whole (including the exhibits and annexes hereto)</w:t>
      </w:r>
      <w:r>
        <w:rPr>
          <w:rFonts w:ascii="Arial" w:cs="Arial" w:eastAsia="Arial" w:hAnsi="Arial"/>
          <w:sz w:val="16"/>
          <w:szCs w:val="16"/>
          <w:color w:val="28282A"/>
        </w:rPr>
        <w:t>,</w:t>
      </w:r>
      <w:r>
        <w:rPr>
          <w:rFonts w:ascii="Arial" w:cs="Arial" w:eastAsia="Arial" w:hAnsi="Arial"/>
          <w:sz w:val="16"/>
          <w:szCs w:val="16"/>
          <w:color w:val="auto"/>
        </w:rPr>
        <w:t xml:space="preserve"> </w:t>
      </w:r>
      <w:r>
        <w:rPr>
          <w:rFonts w:ascii="Arial" w:cs="Arial" w:eastAsia="Arial" w:hAnsi="Arial"/>
          <w:sz w:val="16"/>
          <w:szCs w:val="16"/>
          <w:color w:val="110F13"/>
        </w:rPr>
        <w:t>and references herein to</w:t>
      </w:r>
      <w:r>
        <w:rPr>
          <w:rFonts w:ascii="Arial" w:cs="Arial" w:eastAsia="Arial" w:hAnsi="Arial"/>
          <w:sz w:val="16"/>
          <w:szCs w:val="16"/>
          <w:color w:val="auto"/>
        </w:rPr>
        <w:t xml:space="preserve"> </w:t>
      </w:r>
      <w:r>
        <w:rPr>
          <w:rFonts w:ascii="Arial" w:cs="Arial" w:eastAsia="Arial" w:hAnsi="Arial"/>
          <w:sz w:val="16"/>
          <w:szCs w:val="16"/>
          <w:color w:val="110F13"/>
        </w:rPr>
        <w:t>Articles or Sections refer to Articles or Sections of this Agreement. For the avoidance of doubt, notwithstanding anything in this Agreement to the contrary</w:t>
      </w:r>
      <w:r>
        <w:rPr>
          <w:rFonts w:ascii="Arial" w:cs="Arial" w:eastAsia="Arial" w:hAnsi="Arial"/>
          <w:sz w:val="16"/>
          <w:szCs w:val="16"/>
          <w:color w:val="28282A"/>
        </w:rPr>
        <w:t>,</w:t>
      </w:r>
      <w:r>
        <w:rPr>
          <w:rFonts w:ascii="Arial" w:cs="Arial" w:eastAsia="Arial" w:hAnsi="Arial"/>
          <w:sz w:val="16"/>
          <w:szCs w:val="16"/>
          <w:color w:val="110F13"/>
        </w:rPr>
        <w:t xml:space="preserve"> none of the Notes will have any right to vote or any right to receive any d</w:t>
      </w:r>
      <w:r>
        <w:rPr>
          <w:rFonts w:ascii="Arial" w:cs="Arial" w:eastAsia="Arial" w:hAnsi="Arial"/>
          <w:sz w:val="16"/>
          <w:szCs w:val="16"/>
          <w:color w:val="28282A"/>
        </w:rPr>
        <w:t>i</w:t>
      </w:r>
      <w:r>
        <w:rPr>
          <w:rFonts w:ascii="Arial" w:cs="Arial" w:eastAsia="Arial" w:hAnsi="Arial"/>
          <w:sz w:val="16"/>
          <w:szCs w:val="16"/>
          <w:color w:val="110F13"/>
        </w:rPr>
        <w:t>vidends or other distributions that are made or paid to the holders of the shares of Company Common Stock. References to any law or statute shall be deemed to refer to such law or statute as amended from time to time and</w:t>
      </w:r>
      <w:r>
        <w:rPr>
          <w:rFonts w:ascii="Arial" w:cs="Arial" w:eastAsia="Arial" w:hAnsi="Arial"/>
          <w:sz w:val="16"/>
          <w:szCs w:val="16"/>
          <w:color w:val="28282A"/>
        </w:rPr>
        <w:t>,</w:t>
      </w:r>
      <w:r>
        <w:rPr>
          <w:rFonts w:ascii="Arial" w:cs="Arial" w:eastAsia="Arial" w:hAnsi="Arial"/>
          <w:sz w:val="16"/>
          <w:szCs w:val="16"/>
          <w:color w:val="110F13"/>
        </w:rPr>
        <w:t xml:space="preserve"> if applicable, to any rules or regulations promulgated thereunder. References to any agreement or contract are to that agreement or contract as amended</w:t>
      </w:r>
      <w:r>
        <w:rPr>
          <w:rFonts w:ascii="Arial" w:cs="Arial" w:eastAsia="Arial" w:hAnsi="Arial"/>
          <w:sz w:val="16"/>
          <w:szCs w:val="16"/>
          <w:color w:val="28282A"/>
        </w:rPr>
        <w:t>,</w:t>
      </w:r>
      <w:r>
        <w:rPr>
          <w:rFonts w:ascii="Arial" w:cs="Arial" w:eastAsia="Arial" w:hAnsi="Arial"/>
          <w:sz w:val="16"/>
          <w:szCs w:val="16"/>
          <w:color w:val="110F13"/>
        </w:rPr>
        <w:t xml:space="preserve"> modified or supplemented from time to time in accordance with the terms hereof and thereof.</w:t>
      </w:r>
    </w:p>
    <w:p>
      <w:pPr>
        <w:spacing w:after="0" w:line="149" w:lineRule="exact"/>
        <w:rPr>
          <w:sz w:val="20"/>
          <w:szCs w:val="20"/>
          <w:color w:val="auto"/>
        </w:rPr>
      </w:pPr>
    </w:p>
    <w:p>
      <w:pPr>
        <w:ind w:left="4080"/>
        <w:spacing w:after="0"/>
        <w:tabs>
          <w:tab w:leader="none" w:pos="5080" w:val="left"/>
        </w:tabs>
        <w:rPr>
          <w:sz w:val="20"/>
          <w:szCs w:val="20"/>
          <w:color w:val="auto"/>
        </w:rPr>
      </w:pPr>
      <w:r>
        <w:rPr>
          <w:rFonts w:ascii="Arial" w:cs="Arial" w:eastAsia="Arial" w:hAnsi="Arial"/>
          <w:sz w:val="17"/>
          <w:szCs w:val="17"/>
          <w:color w:val="auto"/>
        </w:rPr>
        <w:t>Article 2.</w:t>
      </w:r>
      <w:r>
        <w:rPr>
          <w:sz w:val="20"/>
          <w:szCs w:val="20"/>
          <w:color w:val="auto"/>
        </w:rPr>
        <w:tab/>
      </w:r>
      <w:r>
        <w:rPr>
          <w:rFonts w:ascii="Arial" w:cs="Arial" w:eastAsia="Arial" w:hAnsi="Arial"/>
          <w:sz w:val="14"/>
          <w:szCs w:val="14"/>
          <w:color w:val="110F13"/>
        </w:rPr>
        <w:t>Sale and Purchase of the Notes</w:t>
      </w:r>
    </w:p>
    <w:p>
      <w:pPr>
        <w:spacing w:after="0" w:line="186"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Sale and Purchase of th</w:t>
      </w:r>
      <w:r>
        <w:rPr>
          <w:rFonts w:ascii="Arial" w:cs="Arial" w:eastAsia="Arial" w:hAnsi="Arial"/>
          <w:sz w:val="17"/>
          <w:szCs w:val="17"/>
          <w:i w:val="1"/>
          <w:iCs w:val="1"/>
          <w:color w:val="28282A"/>
        </w:rPr>
        <w:t>e</w:t>
      </w:r>
      <w:r>
        <w:rPr>
          <w:rFonts w:ascii="Arial" w:cs="Arial" w:eastAsia="Arial" w:hAnsi="Arial"/>
          <w:sz w:val="17"/>
          <w:szCs w:val="17"/>
          <w:color w:val="auto"/>
        </w:rPr>
        <w:t xml:space="preserve"> </w:t>
      </w:r>
      <w:r>
        <w:rPr>
          <w:rFonts w:ascii="Arial" w:cs="Arial" w:eastAsia="Arial" w:hAnsi="Arial"/>
          <w:sz w:val="17"/>
          <w:szCs w:val="17"/>
          <w:i w:val="1"/>
          <w:iCs w:val="1"/>
          <w:color w:val="auto"/>
        </w:rPr>
        <w:t>Notes.</w:t>
      </w:r>
      <w:r>
        <w:rPr>
          <w:rFonts w:ascii="Arial" w:cs="Arial" w:eastAsia="Arial" w:hAnsi="Arial"/>
          <w:sz w:val="17"/>
          <w:szCs w:val="17"/>
          <w:color w:val="auto"/>
        </w:rPr>
        <w:t xml:space="preserve"> Subject to the terms and conditions of this Agreement</w:t>
      </w:r>
      <w:r>
        <w:rPr>
          <w:rFonts w:ascii="Arial" w:cs="Arial" w:eastAsia="Arial" w:hAnsi="Arial"/>
          <w:sz w:val="17"/>
          <w:szCs w:val="17"/>
          <w:color w:val="28282A"/>
        </w:rPr>
        <w:t>,</w:t>
      </w:r>
      <w:r>
        <w:rPr>
          <w:rFonts w:ascii="Arial" w:cs="Arial" w:eastAsia="Arial" w:hAnsi="Arial"/>
          <w:sz w:val="17"/>
          <w:szCs w:val="17"/>
          <w:color w:val="auto"/>
        </w:rPr>
        <w:t xml:space="preserve"> at the Closing the Company shall issue and sell to the Purchaser, and the Purchaser shall purchase and acquire from the Company</w:t>
      </w:r>
      <w:r>
        <w:rPr>
          <w:rFonts w:ascii="Arial" w:cs="Arial" w:eastAsia="Arial" w:hAnsi="Arial"/>
          <w:sz w:val="17"/>
          <w:szCs w:val="17"/>
          <w:color w:val="28282A"/>
        </w:rPr>
        <w:t>,</w:t>
      </w:r>
      <w:r>
        <w:rPr>
          <w:rFonts w:ascii="Arial" w:cs="Arial" w:eastAsia="Arial" w:hAnsi="Arial"/>
          <w:sz w:val="17"/>
          <w:szCs w:val="17"/>
          <w:color w:val="auto"/>
        </w:rPr>
        <w:t xml:space="preserve"> the Notes for a purchase price equal to the principal amount of the Notes purchased (the “</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142"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i w:val="1"/>
          <w:iCs w:val="1"/>
          <w:color w:val="auto"/>
        </w:rPr>
        <w:t>Closing.</w:t>
      </w:r>
    </w:p>
    <w:p>
      <w:pPr>
        <w:spacing w:after="0" w:line="172" w:lineRule="exact"/>
        <w:rPr>
          <w:sz w:val="20"/>
          <w:szCs w:val="20"/>
          <w:color w:val="auto"/>
        </w:rPr>
      </w:pPr>
    </w:p>
    <w:p>
      <w:pPr>
        <w:ind w:firstLine="514"/>
        <w:spacing w:after="0" w:line="257" w:lineRule="auto"/>
        <w:tabs>
          <w:tab w:leader="none" w:pos="1051"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Subject to the satisfaction or waiver of the conditions precedent set forth in Sections 2.02(c) and (d)</w:t>
      </w:r>
      <w:r>
        <w:rPr>
          <w:rFonts w:ascii="Arial" w:cs="Arial" w:eastAsia="Arial" w:hAnsi="Arial"/>
          <w:sz w:val="17"/>
          <w:szCs w:val="17"/>
          <w:color w:val="28282A"/>
        </w:rPr>
        <w:t>,</w:t>
      </w:r>
      <w:r>
        <w:rPr>
          <w:rFonts w:ascii="Arial" w:cs="Arial" w:eastAsia="Arial" w:hAnsi="Arial"/>
          <w:sz w:val="17"/>
          <w:szCs w:val="17"/>
          <w:color w:val="auto"/>
        </w:rPr>
        <w:t xml:space="preserve"> the closing (the </w:t>
      </w:r>
      <w:r>
        <w:rPr>
          <w:rFonts w:ascii="Arial" w:cs="Arial" w:eastAsia="Arial" w:hAnsi="Arial"/>
          <w:sz w:val="17"/>
          <w:szCs w:val="17"/>
          <w:color w:val="28282A"/>
        </w:rPr>
        <w:t>“</w:t>
      </w:r>
      <w:r>
        <w:rPr>
          <w:rFonts w:ascii="Arial" w:cs="Arial" w:eastAsia="Arial" w:hAnsi="Arial"/>
          <w:sz w:val="17"/>
          <w:szCs w:val="17"/>
          <w:b w:val="1"/>
          <w:bCs w:val="1"/>
          <w:color w:val="auto"/>
        </w:rPr>
        <w:t>Closing</w:t>
      </w:r>
      <w:r>
        <w:rPr>
          <w:rFonts w:ascii="Arial" w:cs="Arial" w:eastAsia="Arial" w:hAnsi="Arial"/>
          <w:sz w:val="17"/>
          <w:szCs w:val="17"/>
          <w:color w:val="28282A"/>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of the purchase and sale of the Notes hereunder shall take place at the offices of Davis Polk &amp; Wardwell LLP</w:t>
      </w:r>
      <w:r>
        <w:rPr>
          <w:rFonts w:ascii="Arial" w:cs="Arial" w:eastAsia="Arial" w:hAnsi="Arial"/>
          <w:sz w:val="17"/>
          <w:szCs w:val="17"/>
          <w:color w:val="28282A"/>
        </w:rPr>
        <w:t>,</w:t>
      </w:r>
      <w:r>
        <w:rPr>
          <w:rFonts w:ascii="Arial" w:cs="Arial" w:eastAsia="Arial" w:hAnsi="Arial"/>
          <w:sz w:val="17"/>
          <w:szCs w:val="17"/>
          <w:color w:val="auto"/>
        </w:rPr>
        <w:t xml:space="preserve"> located at 450 Lexington Avenue</w:t>
      </w:r>
      <w:r>
        <w:rPr>
          <w:rFonts w:ascii="Arial" w:cs="Arial" w:eastAsia="Arial" w:hAnsi="Arial"/>
          <w:sz w:val="17"/>
          <w:szCs w:val="17"/>
          <w:color w:val="28282A"/>
        </w:rPr>
        <w:t>,</w:t>
      </w:r>
      <w:r>
        <w:rPr>
          <w:rFonts w:ascii="Arial" w:cs="Arial" w:eastAsia="Arial" w:hAnsi="Arial"/>
          <w:sz w:val="17"/>
          <w:szCs w:val="17"/>
          <w:color w:val="auto"/>
        </w:rPr>
        <w:t xml:space="preserve"> New York</w:t>
      </w:r>
      <w:r>
        <w:rPr>
          <w:rFonts w:ascii="Arial" w:cs="Arial" w:eastAsia="Arial" w:hAnsi="Arial"/>
          <w:sz w:val="17"/>
          <w:szCs w:val="17"/>
          <w:color w:val="28282A"/>
        </w:rPr>
        <w:t>,</w:t>
      </w:r>
      <w:r>
        <w:rPr>
          <w:rFonts w:ascii="Arial" w:cs="Arial" w:eastAsia="Arial" w:hAnsi="Arial"/>
          <w:sz w:val="17"/>
          <w:szCs w:val="17"/>
          <w:color w:val="auto"/>
        </w:rPr>
        <w:t xml:space="preserve"> NY 10017, on July 7, 2021 at 9</w:t>
      </w:r>
      <w:r>
        <w:rPr>
          <w:rFonts w:ascii="Arial" w:cs="Arial" w:eastAsia="Arial" w:hAnsi="Arial"/>
          <w:sz w:val="17"/>
          <w:szCs w:val="17"/>
          <w:color w:val="28282A"/>
        </w:rPr>
        <w:t>:</w:t>
      </w:r>
      <w:r>
        <w:rPr>
          <w:rFonts w:ascii="Arial" w:cs="Arial" w:eastAsia="Arial" w:hAnsi="Arial"/>
          <w:sz w:val="17"/>
          <w:szCs w:val="17"/>
          <w:color w:val="auto"/>
        </w:rPr>
        <w:t>30 AM ET</w:t>
      </w:r>
      <w:r>
        <w:rPr>
          <w:rFonts w:ascii="Arial" w:cs="Arial" w:eastAsia="Arial" w:hAnsi="Arial"/>
          <w:sz w:val="17"/>
          <w:szCs w:val="17"/>
          <w:color w:val="28282A"/>
        </w:rPr>
        <w:t>,</w:t>
      </w:r>
      <w:r>
        <w:rPr>
          <w:rFonts w:ascii="Arial" w:cs="Arial" w:eastAsia="Arial" w:hAnsi="Arial"/>
          <w:sz w:val="17"/>
          <w:szCs w:val="17"/>
          <w:color w:val="auto"/>
        </w:rPr>
        <w:t xml:space="preserve"> or at such other place, time or date as may be mutually agreed upon in writing by the Company and the Purchaser (the date on which the Closing actually occurs</w:t>
      </w:r>
      <w:r>
        <w:rPr>
          <w:rFonts w:ascii="Arial" w:cs="Arial" w:eastAsia="Arial" w:hAnsi="Arial"/>
          <w:sz w:val="17"/>
          <w:szCs w:val="17"/>
          <w:color w:val="28282A"/>
        </w:rPr>
        <w:t>,</w:t>
      </w:r>
      <w:r>
        <w:rPr>
          <w:rFonts w:ascii="Arial" w:cs="Arial" w:eastAsia="Arial" w:hAnsi="Arial"/>
          <w:sz w:val="17"/>
          <w:szCs w:val="17"/>
          <w:color w:val="auto"/>
        </w:rPr>
        <w:t xml:space="preserve"> the “</w:t>
      </w:r>
      <w:r>
        <w:rPr>
          <w:rFonts w:ascii="Arial" w:cs="Arial" w:eastAsia="Arial" w:hAnsi="Arial"/>
          <w:sz w:val="17"/>
          <w:szCs w:val="17"/>
          <w:b w:val="1"/>
          <w:bCs w:val="1"/>
          <w:color w:val="auto"/>
        </w:rPr>
        <w:t>Closing Date</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300" w:top="1148" w:right="339" w:bottom="1440" w:gutter="0" w:footer="0" w:header="0"/>
        </w:sectPr>
      </w:pPr>
    </w:p>
    <w:bookmarkStart w:id="139" w:name="page140"/>
    <w:bookmarkEnd w:id="139"/>
    <w:p>
      <w:pPr>
        <w:ind w:left="506" w:hanging="506"/>
        <w:spacing w:after="0"/>
        <w:tabs>
          <w:tab w:leader="none" w:pos="50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effect the purchase and sale of Notes</w:t>
      </w:r>
      <w:r>
        <w:rPr>
          <w:rFonts w:ascii="Arial" w:cs="Arial" w:eastAsia="Arial" w:hAnsi="Arial"/>
          <w:sz w:val="17"/>
          <w:szCs w:val="17"/>
          <w:color w:val="28282A"/>
        </w:rPr>
        <w:t>,</w:t>
      </w:r>
      <w:r>
        <w:rPr>
          <w:rFonts w:ascii="Arial" w:cs="Arial" w:eastAsia="Arial" w:hAnsi="Arial"/>
          <w:sz w:val="17"/>
          <w:szCs w:val="17"/>
          <w:color w:val="auto"/>
        </w:rPr>
        <w:t xml:space="preserve"> upon the terms and subject to the conditions set forth in this Agreement</w:t>
      </w:r>
      <w:r>
        <w:rPr>
          <w:rFonts w:ascii="Arial" w:cs="Arial" w:eastAsia="Arial" w:hAnsi="Arial"/>
          <w:sz w:val="17"/>
          <w:szCs w:val="17"/>
          <w:color w:val="28282A"/>
        </w:rPr>
        <w:t>,</w:t>
      </w:r>
      <w:r>
        <w:rPr>
          <w:rFonts w:ascii="Arial" w:cs="Arial" w:eastAsia="Arial" w:hAnsi="Arial"/>
          <w:sz w:val="17"/>
          <w:szCs w:val="17"/>
          <w:color w:val="auto"/>
        </w:rPr>
        <w:t xml:space="preserve"> at the Closing:</w:t>
      </w:r>
    </w:p>
    <w:p>
      <w:pPr>
        <w:spacing w:after="0" w:line="175" w:lineRule="exact"/>
        <w:rPr>
          <w:rFonts w:ascii="Arial" w:cs="Arial" w:eastAsia="Arial" w:hAnsi="Arial"/>
          <w:sz w:val="17"/>
          <w:szCs w:val="17"/>
          <w:color w:val="auto"/>
        </w:rPr>
      </w:pPr>
    </w:p>
    <w:p>
      <w:pPr>
        <w:ind w:left="6" w:right="120" w:firstLine="504"/>
        <w:spacing w:after="0" w:line="271" w:lineRule="auto"/>
        <w:tabs>
          <w:tab w:leader="none" w:pos="1019"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the Company shall execute and deliver the Notes to the Purchaser at the Closing</w:t>
      </w:r>
      <w:r>
        <w:rPr>
          <w:rFonts w:ascii="Arial" w:cs="Arial" w:eastAsia="Arial" w:hAnsi="Arial"/>
          <w:sz w:val="17"/>
          <w:szCs w:val="17"/>
          <w:color w:val="28282A"/>
        </w:rPr>
        <w:t>,</w:t>
      </w:r>
      <w:r>
        <w:rPr>
          <w:rFonts w:ascii="Arial" w:cs="Arial" w:eastAsia="Arial" w:hAnsi="Arial"/>
          <w:sz w:val="17"/>
          <w:szCs w:val="17"/>
          <w:color w:val="110E13"/>
        </w:rPr>
        <w:t xml:space="preserve"> against payment in full by or on behalf of the Purchaser of the Purchase Price for the Notes.</w:t>
      </w:r>
    </w:p>
    <w:p>
      <w:pPr>
        <w:spacing w:after="0" w:line="142" w:lineRule="exact"/>
        <w:rPr>
          <w:rFonts w:ascii="Arial" w:cs="Arial" w:eastAsia="Arial" w:hAnsi="Arial"/>
          <w:sz w:val="17"/>
          <w:szCs w:val="17"/>
          <w:color w:val="auto"/>
        </w:rPr>
      </w:pPr>
    </w:p>
    <w:p>
      <w:pPr>
        <w:ind w:left="6" w:right="100" w:firstLine="504"/>
        <w:spacing w:after="0" w:line="303" w:lineRule="auto"/>
        <w:tabs>
          <w:tab w:leader="none" w:pos="1024" w:val="left"/>
        </w:tabs>
        <w:numPr>
          <w:ilvl w:val="1"/>
          <w:numId w:val="84"/>
        </w:numPr>
        <w:rPr>
          <w:rFonts w:ascii="Arial" w:cs="Arial" w:eastAsia="Arial" w:hAnsi="Arial"/>
          <w:sz w:val="16"/>
          <w:szCs w:val="16"/>
          <w:color w:val="auto"/>
        </w:rPr>
      </w:pPr>
      <w:r>
        <w:rPr>
          <w:rFonts w:ascii="Arial" w:cs="Arial" w:eastAsia="Arial" w:hAnsi="Arial"/>
          <w:sz w:val="16"/>
          <w:szCs w:val="16"/>
          <w:color w:val="110E13"/>
        </w:rPr>
        <w:t>the Purchaser shall cause a wire transfer to be made in same day funds to an account of the Company designated in writing by the Company to the Purchaser at least two (2) Business Days prior to the date hereof in an amount equal to the Purchase Price for the Notes.</w:t>
      </w:r>
    </w:p>
    <w:p>
      <w:pPr>
        <w:spacing w:after="0" w:line="108" w:lineRule="exact"/>
        <w:rPr>
          <w:rFonts w:ascii="Arial" w:cs="Arial" w:eastAsia="Arial" w:hAnsi="Arial"/>
          <w:sz w:val="16"/>
          <w:szCs w:val="16"/>
          <w:color w:val="auto"/>
        </w:rPr>
      </w:pPr>
    </w:p>
    <w:p>
      <w:pPr>
        <w:ind w:left="1006" w:hanging="496"/>
        <w:spacing w:after="0"/>
        <w:tabs>
          <w:tab w:leader="none" w:pos="1006"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the Purchaser shall deliver to the Company a duly completed and executed applicable IRS Form.</w:t>
      </w:r>
    </w:p>
    <w:p>
      <w:pPr>
        <w:spacing w:after="0" w:line="186" w:lineRule="exact"/>
        <w:rPr>
          <w:rFonts w:ascii="Arial" w:cs="Arial" w:eastAsia="Arial" w:hAnsi="Arial"/>
          <w:sz w:val="17"/>
          <w:szCs w:val="17"/>
          <w:color w:val="auto"/>
        </w:rPr>
      </w:pPr>
    </w:p>
    <w:p>
      <w:pPr>
        <w:ind w:left="166" w:hanging="166"/>
        <w:spacing w:after="0"/>
        <w:tabs>
          <w:tab w:leader="none" w:pos="16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obligations of the Purchaser to purchase the Notes are subject to the satisfaction or waiver of the following conditions as of the Closing:</w:t>
      </w:r>
    </w:p>
    <w:p>
      <w:pPr>
        <w:spacing w:after="0" w:line="219" w:lineRule="exact"/>
        <w:rPr>
          <w:rFonts w:ascii="Arial" w:cs="Arial" w:eastAsia="Arial" w:hAnsi="Arial"/>
          <w:sz w:val="16"/>
          <w:szCs w:val="16"/>
          <w:color w:val="auto"/>
        </w:rPr>
      </w:pPr>
    </w:p>
    <w:p>
      <w:pPr>
        <w:ind w:left="1006" w:hanging="496"/>
        <w:spacing w:after="0"/>
        <w:tabs>
          <w:tab w:leader="none" w:pos="1006"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the purchase and sale of the Notes hereunder shall not be prohibited or enjoined by any court of competent jurisdiction</w:t>
      </w:r>
      <w:r>
        <w:rPr>
          <w:rFonts w:ascii="Arial" w:cs="Arial" w:eastAsia="Arial" w:hAnsi="Arial"/>
          <w:sz w:val="17"/>
          <w:szCs w:val="17"/>
          <w:color w:val="2A2A2B"/>
        </w:rPr>
        <w:t>;</w:t>
      </w:r>
    </w:p>
    <w:p>
      <w:pPr>
        <w:spacing w:after="0" w:line="175" w:lineRule="exact"/>
        <w:rPr>
          <w:rFonts w:ascii="Arial" w:cs="Arial" w:eastAsia="Arial" w:hAnsi="Arial"/>
          <w:sz w:val="17"/>
          <w:szCs w:val="17"/>
          <w:color w:val="auto"/>
        </w:rPr>
      </w:pPr>
    </w:p>
    <w:p>
      <w:pPr>
        <w:ind w:left="1026" w:hanging="516"/>
        <w:spacing w:after="0"/>
        <w:tabs>
          <w:tab w:leader="none" w:pos="1026"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the Company shall have executed and delivered the Notes to the Purchaser at the Closing</w:t>
      </w:r>
      <w:r>
        <w:rPr>
          <w:rFonts w:ascii="Arial" w:cs="Arial" w:eastAsia="Arial" w:hAnsi="Arial"/>
          <w:sz w:val="17"/>
          <w:szCs w:val="17"/>
          <w:color w:val="2A2A2B"/>
        </w:rPr>
        <w:t>;</w:t>
      </w:r>
    </w:p>
    <w:p>
      <w:pPr>
        <w:spacing w:after="0" w:line="186" w:lineRule="exact"/>
        <w:rPr>
          <w:rFonts w:ascii="Arial" w:cs="Arial" w:eastAsia="Arial" w:hAnsi="Arial"/>
          <w:sz w:val="17"/>
          <w:szCs w:val="17"/>
          <w:color w:val="auto"/>
        </w:rPr>
      </w:pPr>
    </w:p>
    <w:p>
      <w:pPr>
        <w:ind w:left="6" w:firstLine="504"/>
        <w:spacing w:after="0" w:line="271" w:lineRule="auto"/>
        <w:tabs>
          <w:tab w:leader="none" w:pos="1060" w:val="left"/>
        </w:tabs>
        <w:numPr>
          <w:ilvl w:val="1"/>
          <w:numId w:val="84"/>
        </w:numPr>
        <w:rPr>
          <w:rFonts w:ascii="Arial" w:cs="Arial" w:eastAsia="Arial" w:hAnsi="Arial"/>
          <w:sz w:val="16"/>
          <w:szCs w:val="16"/>
          <w:color w:val="auto"/>
        </w:rPr>
      </w:pPr>
      <w:r>
        <w:rPr>
          <w:rFonts w:ascii="Arial" w:cs="Arial" w:eastAsia="Arial" w:hAnsi="Arial"/>
          <w:sz w:val="16"/>
          <w:szCs w:val="16"/>
          <w:color w:val="110E13"/>
        </w:rPr>
        <w:t xml:space="preserve">the representations and warranties of the Company set forth in Sections </w:t>
      </w:r>
      <w:r>
        <w:rPr>
          <w:rFonts w:ascii="Arial" w:cs="Arial" w:eastAsia="Arial" w:hAnsi="Arial"/>
          <w:sz w:val="16"/>
          <w:szCs w:val="16"/>
          <w:color w:val="000000"/>
        </w:rPr>
        <w:t>3.01(a)</w:t>
      </w:r>
      <w:r>
        <w:rPr>
          <w:rFonts w:ascii="Arial" w:cs="Arial" w:eastAsia="Arial" w:hAnsi="Arial"/>
          <w:sz w:val="16"/>
          <w:szCs w:val="16"/>
          <w:color w:val="2A2A2B"/>
        </w:rPr>
        <w:t>,</w:t>
      </w:r>
      <w:r>
        <w:rPr>
          <w:rFonts w:ascii="Arial" w:cs="Arial" w:eastAsia="Arial" w:hAnsi="Arial"/>
          <w:sz w:val="16"/>
          <w:szCs w:val="16"/>
          <w:color w:val="110E13"/>
        </w:rPr>
        <w:t xml:space="preserve"> </w:t>
      </w:r>
      <w:r>
        <w:rPr>
          <w:rFonts w:ascii="Arial" w:cs="Arial" w:eastAsia="Arial" w:hAnsi="Arial"/>
          <w:sz w:val="16"/>
          <w:szCs w:val="16"/>
          <w:color w:val="000000"/>
        </w:rPr>
        <w:t>(c)</w:t>
      </w:r>
      <w:r>
        <w:rPr>
          <w:rFonts w:ascii="Arial" w:cs="Arial" w:eastAsia="Arial" w:hAnsi="Arial"/>
          <w:sz w:val="16"/>
          <w:szCs w:val="16"/>
          <w:color w:val="110E13"/>
        </w:rPr>
        <w:t xml:space="preserve"> and </w:t>
      </w:r>
      <w:r>
        <w:rPr>
          <w:rFonts w:ascii="Arial" w:cs="Arial" w:eastAsia="Arial" w:hAnsi="Arial"/>
          <w:sz w:val="16"/>
          <w:szCs w:val="16"/>
          <w:color w:val="000000"/>
        </w:rPr>
        <w:t>(e)</w:t>
      </w:r>
      <w:r>
        <w:rPr>
          <w:rFonts w:ascii="Arial" w:cs="Arial" w:eastAsia="Arial" w:hAnsi="Arial"/>
          <w:sz w:val="16"/>
          <w:szCs w:val="16"/>
          <w:color w:val="110E13"/>
        </w:rPr>
        <w:t xml:space="preserve"> shall be true and correct in all material respects at and as of the Closing</w:t>
      </w:r>
      <w:r>
        <w:rPr>
          <w:rFonts w:ascii="Arial" w:cs="Arial" w:eastAsia="Arial" w:hAnsi="Arial"/>
          <w:sz w:val="16"/>
          <w:szCs w:val="16"/>
          <w:color w:val="2A2A2B"/>
        </w:rPr>
        <w:t>,</w:t>
      </w:r>
      <w:r>
        <w:rPr>
          <w:rFonts w:ascii="Arial" w:cs="Arial" w:eastAsia="Arial" w:hAnsi="Arial"/>
          <w:sz w:val="16"/>
          <w:szCs w:val="16"/>
          <w:color w:val="110E13"/>
        </w:rPr>
        <w:t xml:space="preserve"> the representations and warranties of the Company set forth in Sections </w:t>
      </w:r>
      <w:r>
        <w:rPr>
          <w:rFonts w:ascii="Arial" w:cs="Arial" w:eastAsia="Arial" w:hAnsi="Arial"/>
          <w:sz w:val="16"/>
          <w:szCs w:val="16"/>
          <w:color w:val="000000"/>
        </w:rPr>
        <w:t>3.01(b)</w:t>
      </w:r>
      <w:r>
        <w:rPr>
          <w:rFonts w:ascii="Arial" w:cs="Arial" w:eastAsia="Arial" w:hAnsi="Arial"/>
          <w:sz w:val="16"/>
          <w:szCs w:val="16"/>
          <w:color w:val="110E13"/>
        </w:rPr>
        <w:t xml:space="preserve"> and (h)(ii) shall be true and correct in all respects at and as of the Closing and the other representations and warranties of the Company set forth in </w:t>
      </w:r>
      <w:r>
        <w:rPr>
          <w:rFonts w:ascii="Arial" w:cs="Arial" w:eastAsia="Arial" w:hAnsi="Arial"/>
          <w:sz w:val="16"/>
          <w:szCs w:val="16"/>
          <w:color w:val="000000"/>
        </w:rPr>
        <w:t>Section 3.01</w:t>
      </w:r>
      <w:r>
        <w:rPr>
          <w:rFonts w:ascii="Arial" w:cs="Arial" w:eastAsia="Arial" w:hAnsi="Arial"/>
          <w:sz w:val="16"/>
          <w:szCs w:val="16"/>
          <w:color w:val="110E13"/>
        </w:rPr>
        <w:t xml:space="preserve"> (other than Sections </w:t>
      </w:r>
      <w:r>
        <w:rPr>
          <w:rFonts w:ascii="Arial" w:cs="Arial" w:eastAsia="Arial" w:hAnsi="Arial"/>
          <w:sz w:val="16"/>
          <w:szCs w:val="16"/>
          <w:color w:val="000000"/>
        </w:rPr>
        <w:t>3.01(a)</w:t>
      </w:r>
      <w:r>
        <w:rPr>
          <w:rFonts w:ascii="Arial" w:cs="Arial" w:eastAsia="Arial" w:hAnsi="Arial"/>
          <w:sz w:val="16"/>
          <w:szCs w:val="16"/>
          <w:color w:val="2A2A2B"/>
        </w:rPr>
        <w:t>,</w:t>
      </w:r>
      <w:r>
        <w:rPr>
          <w:rFonts w:ascii="Arial" w:cs="Arial" w:eastAsia="Arial" w:hAnsi="Arial"/>
          <w:sz w:val="16"/>
          <w:szCs w:val="16"/>
          <w:color w:val="110E13"/>
        </w:rPr>
        <w:t xml:space="preserve"> </w:t>
      </w:r>
      <w:r>
        <w:rPr>
          <w:rFonts w:ascii="Arial" w:cs="Arial" w:eastAsia="Arial" w:hAnsi="Arial"/>
          <w:sz w:val="16"/>
          <w:szCs w:val="16"/>
          <w:color w:val="000000"/>
        </w:rPr>
        <w:t>(b)</w:t>
      </w:r>
      <w:r>
        <w:rPr>
          <w:rFonts w:ascii="Arial" w:cs="Arial" w:eastAsia="Arial" w:hAnsi="Arial"/>
          <w:sz w:val="16"/>
          <w:szCs w:val="16"/>
          <w:color w:val="2A2A2B"/>
        </w:rPr>
        <w:t>,</w:t>
      </w:r>
      <w:r>
        <w:rPr>
          <w:rFonts w:ascii="Arial" w:cs="Arial" w:eastAsia="Arial" w:hAnsi="Arial"/>
          <w:sz w:val="16"/>
          <w:szCs w:val="16"/>
          <w:color w:val="110E13"/>
        </w:rPr>
        <w:t xml:space="preserve"> </w:t>
      </w:r>
      <w:r>
        <w:rPr>
          <w:rFonts w:ascii="Arial" w:cs="Arial" w:eastAsia="Arial" w:hAnsi="Arial"/>
          <w:sz w:val="16"/>
          <w:szCs w:val="16"/>
          <w:color w:val="000000"/>
        </w:rPr>
        <w:t>(c)</w:t>
      </w:r>
      <w:r>
        <w:rPr>
          <w:rFonts w:ascii="Arial" w:cs="Arial" w:eastAsia="Arial" w:hAnsi="Arial"/>
          <w:sz w:val="16"/>
          <w:szCs w:val="16"/>
          <w:color w:val="2A2A2B"/>
        </w:rPr>
        <w:t>,</w:t>
      </w:r>
      <w:r>
        <w:rPr>
          <w:rFonts w:ascii="Arial" w:cs="Arial" w:eastAsia="Arial" w:hAnsi="Arial"/>
          <w:sz w:val="16"/>
          <w:szCs w:val="16"/>
          <w:color w:val="110E13"/>
        </w:rPr>
        <w:t xml:space="preserve"> </w:t>
      </w:r>
      <w:r>
        <w:rPr>
          <w:rFonts w:ascii="Arial" w:cs="Arial" w:eastAsia="Arial" w:hAnsi="Arial"/>
          <w:sz w:val="16"/>
          <w:szCs w:val="16"/>
          <w:color w:val="000000"/>
        </w:rPr>
        <w:t>(e)</w:t>
      </w:r>
      <w:r>
        <w:rPr>
          <w:rFonts w:ascii="Arial" w:cs="Arial" w:eastAsia="Arial" w:hAnsi="Arial"/>
          <w:sz w:val="16"/>
          <w:szCs w:val="16"/>
          <w:color w:val="110E13"/>
        </w:rPr>
        <w:t xml:space="preserve"> and </w:t>
      </w:r>
      <w:r>
        <w:rPr>
          <w:rFonts w:ascii="Arial" w:cs="Arial" w:eastAsia="Arial" w:hAnsi="Arial"/>
          <w:sz w:val="16"/>
          <w:szCs w:val="16"/>
          <w:color w:val="000000"/>
        </w:rPr>
        <w:t>(h)</w:t>
      </w:r>
      <w:r>
        <w:rPr>
          <w:rFonts w:ascii="Arial" w:cs="Arial" w:eastAsia="Arial" w:hAnsi="Arial"/>
          <w:sz w:val="16"/>
          <w:szCs w:val="16"/>
          <w:color w:val="110E13"/>
        </w:rPr>
        <w:t xml:space="preserve"> </w:t>
      </w:r>
      <w:r>
        <w:rPr>
          <w:rFonts w:ascii="Arial" w:cs="Arial" w:eastAsia="Arial" w:hAnsi="Arial"/>
          <w:sz w:val="16"/>
          <w:szCs w:val="16"/>
          <w:color w:val="000000"/>
        </w:rPr>
        <w:t>(ii)</w:t>
      </w:r>
      <w:r>
        <w:rPr>
          <w:rFonts w:ascii="Arial" w:cs="Arial" w:eastAsia="Arial" w:hAnsi="Arial"/>
          <w:sz w:val="16"/>
          <w:szCs w:val="16"/>
          <w:color w:val="110E13"/>
        </w:rPr>
        <w:t>) shall be true and correct at and as of the Closing (without giving effect to any materiality</w:t>
      </w:r>
      <w:r>
        <w:rPr>
          <w:rFonts w:ascii="Arial" w:cs="Arial" w:eastAsia="Arial" w:hAnsi="Arial"/>
          <w:sz w:val="16"/>
          <w:szCs w:val="16"/>
          <w:color w:val="2A2A2B"/>
        </w:rPr>
        <w:t>,</w:t>
      </w:r>
      <w:r>
        <w:rPr>
          <w:rFonts w:ascii="Arial" w:cs="Arial" w:eastAsia="Arial" w:hAnsi="Arial"/>
          <w:sz w:val="16"/>
          <w:szCs w:val="16"/>
          <w:color w:val="000000"/>
        </w:rPr>
        <w:t xml:space="preserve"> </w:t>
      </w:r>
      <w:r>
        <w:rPr>
          <w:rFonts w:ascii="Arial" w:cs="Arial" w:eastAsia="Arial" w:hAnsi="Arial"/>
          <w:sz w:val="16"/>
          <w:szCs w:val="16"/>
          <w:color w:val="110E13"/>
        </w:rPr>
        <w:t>Material Adverse Effect</w:t>
      </w:r>
      <w:r>
        <w:rPr>
          <w:rFonts w:ascii="Arial" w:cs="Arial" w:eastAsia="Arial" w:hAnsi="Arial"/>
          <w:sz w:val="16"/>
          <w:szCs w:val="16"/>
          <w:color w:val="2A2A2B"/>
        </w:rPr>
        <w:t>,</w:t>
      </w:r>
      <w:r>
        <w:rPr>
          <w:rFonts w:ascii="Arial" w:cs="Arial" w:eastAsia="Arial" w:hAnsi="Arial"/>
          <w:sz w:val="16"/>
          <w:szCs w:val="16"/>
          <w:color w:val="000000"/>
        </w:rPr>
        <w:t xml:space="preserve"> </w:t>
      </w:r>
      <w:r>
        <w:rPr>
          <w:rFonts w:ascii="Arial" w:cs="Arial" w:eastAsia="Arial" w:hAnsi="Arial"/>
          <w:sz w:val="16"/>
          <w:szCs w:val="16"/>
          <w:color w:val="110E13"/>
        </w:rPr>
        <w:t>or similar phrases in such</w:t>
      </w:r>
      <w:r>
        <w:rPr>
          <w:rFonts w:ascii="Arial" w:cs="Arial" w:eastAsia="Arial" w:hAnsi="Arial"/>
          <w:sz w:val="16"/>
          <w:szCs w:val="16"/>
          <w:color w:val="000000"/>
        </w:rPr>
        <w:t xml:space="preserve"> </w:t>
      </w:r>
      <w:r>
        <w:rPr>
          <w:rFonts w:ascii="Arial" w:cs="Arial" w:eastAsia="Arial" w:hAnsi="Arial"/>
          <w:sz w:val="16"/>
          <w:szCs w:val="16"/>
          <w:color w:val="110E13"/>
        </w:rPr>
        <w:t>representations and warranties)</w:t>
      </w:r>
      <w:r>
        <w:rPr>
          <w:rFonts w:ascii="Arial" w:cs="Arial" w:eastAsia="Arial" w:hAnsi="Arial"/>
          <w:sz w:val="16"/>
          <w:szCs w:val="16"/>
          <w:color w:val="2A2A2B"/>
        </w:rPr>
        <w:t>,</w:t>
      </w:r>
      <w:r>
        <w:rPr>
          <w:rFonts w:ascii="Arial" w:cs="Arial" w:eastAsia="Arial" w:hAnsi="Arial"/>
          <w:sz w:val="16"/>
          <w:szCs w:val="16"/>
          <w:color w:val="110E13"/>
        </w:rPr>
        <w:t xml:space="preserve"> except where the failure of such representations and warranties referenced in this </w:t>
      </w:r>
      <w:r>
        <w:rPr>
          <w:rFonts w:ascii="Arial" w:cs="Arial" w:eastAsia="Arial" w:hAnsi="Arial"/>
          <w:sz w:val="16"/>
          <w:szCs w:val="16"/>
          <w:color w:val="000000"/>
        </w:rPr>
        <w:t>(C)</w:t>
      </w:r>
      <w:r>
        <w:rPr>
          <w:rFonts w:ascii="Arial" w:cs="Arial" w:eastAsia="Arial" w:hAnsi="Arial"/>
          <w:sz w:val="16"/>
          <w:szCs w:val="16"/>
          <w:color w:val="110E13"/>
        </w:rPr>
        <w:t xml:space="preserve"> to be so true and correct</w:t>
      </w:r>
      <w:r>
        <w:rPr>
          <w:rFonts w:ascii="Arial" w:cs="Arial" w:eastAsia="Arial" w:hAnsi="Arial"/>
          <w:sz w:val="16"/>
          <w:szCs w:val="16"/>
          <w:color w:val="2A2A2B"/>
        </w:rPr>
        <w:t>,</w:t>
      </w:r>
      <w:r>
        <w:rPr>
          <w:rFonts w:ascii="Arial" w:cs="Arial" w:eastAsia="Arial" w:hAnsi="Arial"/>
          <w:sz w:val="16"/>
          <w:szCs w:val="16"/>
          <w:color w:val="110E13"/>
        </w:rPr>
        <w:t xml:space="preserve"> individually or in the aggregate</w:t>
      </w:r>
      <w:r>
        <w:rPr>
          <w:rFonts w:ascii="Arial" w:cs="Arial" w:eastAsia="Arial" w:hAnsi="Arial"/>
          <w:sz w:val="16"/>
          <w:szCs w:val="16"/>
          <w:color w:val="2A2A2B"/>
        </w:rPr>
        <w:t>,</w:t>
      </w:r>
      <w:r>
        <w:rPr>
          <w:rFonts w:ascii="Arial" w:cs="Arial" w:eastAsia="Arial" w:hAnsi="Arial"/>
          <w:sz w:val="16"/>
          <w:szCs w:val="16"/>
          <w:color w:val="110E13"/>
        </w:rPr>
        <w:t xml:space="preserve"> has not had and would not have a Material Adverse Effect</w:t>
      </w:r>
      <w:r>
        <w:rPr>
          <w:rFonts w:ascii="Arial" w:cs="Arial" w:eastAsia="Arial" w:hAnsi="Arial"/>
          <w:sz w:val="16"/>
          <w:szCs w:val="16"/>
          <w:color w:val="2A2A2B"/>
        </w:rPr>
        <w:t>;</w:t>
      </w:r>
    </w:p>
    <w:p>
      <w:pPr>
        <w:spacing w:after="0" w:line="143" w:lineRule="exact"/>
        <w:rPr>
          <w:rFonts w:ascii="Arial" w:cs="Arial" w:eastAsia="Arial" w:hAnsi="Arial"/>
          <w:sz w:val="16"/>
          <w:szCs w:val="16"/>
          <w:color w:val="auto"/>
        </w:rPr>
      </w:pPr>
    </w:p>
    <w:p>
      <w:pPr>
        <w:ind w:left="6" w:right="160" w:firstLine="504"/>
        <w:spacing w:after="0" w:line="271" w:lineRule="auto"/>
        <w:tabs>
          <w:tab w:leader="none" w:pos="1008"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the Company shall have performed and complied in all material respects with all agreements and obligations required by this Agreement to be performed or complied with by it at or prior to the Closing; and</w:t>
      </w:r>
    </w:p>
    <w:p>
      <w:pPr>
        <w:spacing w:after="0" w:line="131" w:lineRule="exact"/>
        <w:rPr>
          <w:rFonts w:ascii="Arial" w:cs="Arial" w:eastAsia="Arial" w:hAnsi="Arial"/>
          <w:sz w:val="17"/>
          <w:szCs w:val="17"/>
          <w:color w:val="auto"/>
        </w:rPr>
      </w:pPr>
    </w:p>
    <w:p>
      <w:pPr>
        <w:ind w:left="6" w:right="260" w:firstLine="504"/>
        <w:spacing w:after="0" w:line="271" w:lineRule="auto"/>
        <w:tabs>
          <w:tab w:leader="none" w:pos="1003" w:val="left"/>
        </w:tabs>
        <w:numPr>
          <w:ilvl w:val="1"/>
          <w:numId w:val="84"/>
        </w:numPr>
        <w:rPr>
          <w:rFonts w:ascii="Arial" w:cs="Arial" w:eastAsia="Arial" w:hAnsi="Arial"/>
          <w:sz w:val="17"/>
          <w:szCs w:val="17"/>
          <w:color w:val="auto"/>
        </w:rPr>
      </w:pPr>
      <w:r>
        <w:rPr>
          <w:rFonts w:ascii="Arial" w:cs="Arial" w:eastAsia="Arial" w:hAnsi="Arial"/>
          <w:sz w:val="17"/>
          <w:szCs w:val="17"/>
          <w:color w:val="110E13"/>
        </w:rPr>
        <w:t xml:space="preserve">the Purchaser shall have received a certificate, dated the Closing Date, duly executed by an executive officer of the Company on behalf of the Company, certifying that the conditions specified in, Sections </w:t>
      </w:r>
      <w:r>
        <w:rPr>
          <w:rFonts w:ascii="Arial" w:cs="Arial" w:eastAsia="Arial" w:hAnsi="Arial"/>
          <w:sz w:val="17"/>
          <w:szCs w:val="17"/>
          <w:color w:val="000000"/>
        </w:rPr>
        <w:t>2.02(c)(iii)</w:t>
      </w:r>
      <w:r>
        <w:rPr>
          <w:rFonts w:ascii="Arial" w:cs="Arial" w:eastAsia="Arial" w:hAnsi="Arial"/>
          <w:sz w:val="17"/>
          <w:szCs w:val="17"/>
          <w:color w:val="110E13"/>
        </w:rPr>
        <w:t xml:space="preserve"> and </w:t>
      </w:r>
      <w:r>
        <w:rPr>
          <w:rFonts w:ascii="Arial" w:cs="Arial" w:eastAsia="Arial" w:hAnsi="Arial"/>
          <w:sz w:val="17"/>
          <w:szCs w:val="17"/>
          <w:color w:val="000000"/>
        </w:rPr>
        <w:t>(iv)</w:t>
      </w:r>
      <w:r>
        <w:rPr>
          <w:rFonts w:ascii="Arial" w:cs="Arial" w:eastAsia="Arial" w:hAnsi="Arial"/>
          <w:sz w:val="17"/>
          <w:szCs w:val="17"/>
          <w:color w:val="110E13"/>
        </w:rPr>
        <w:t xml:space="preserve"> have been satisfied.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54"/>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6"/>
          </w:cols>
          <w:pgMar w:left="814" w:top="1152" w:right="459" w:bottom="1440" w:gutter="0" w:footer="0" w:header="0"/>
        </w:sectPr>
      </w:pPr>
    </w:p>
    <w:bookmarkStart w:id="140" w:name="page141"/>
    <w:bookmarkEnd w:id="140"/>
    <w:p>
      <w:pPr>
        <w:ind w:left="860" w:hanging="346"/>
        <w:spacing w:after="0"/>
        <w:tabs>
          <w:tab w:leader="none" w:pos="8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obligations of the Company to sell the Notes to the Purchaser are subject to the satisfaction or waiver of the following conditions as of the Closing:</w:t>
      </w:r>
    </w:p>
    <w:p>
      <w:pPr>
        <w:spacing w:after="0" w:line="198" w:lineRule="exact"/>
        <w:rPr>
          <w:rFonts w:ascii="Arial" w:cs="Arial" w:eastAsia="Arial" w:hAnsi="Arial"/>
          <w:sz w:val="15"/>
          <w:szCs w:val="15"/>
          <w:color w:val="auto"/>
        </w:rPr>
      </w:pPr>
    </w:p>
    <w:p>
      <w:pPr>
        <w:ind w:left="1520" w:hanging="496"/>
        <w:spacing w:after="0"/>
        <w:tabs>
          <w:tab w:leader="none" w:pos="1520" w:val="left"/>
        </w:tabs>
        <w:numPr>
          <w:ilvl w:val="1"/>
          <w:numId w:val="85"/>
        </w:numPr>
        <w:rPr>
          <w:rFonts w:ascii="Arial" w:cs="Arial" w:eastAsia="Arial" w:hAnsi="Arial"/>
          <w:sz w:val="17"/>
          <w:szCs w:val="17"/>
          <w:color w:val="auto"/>
        </w:rPr>
      </w:pPr>
      <w:r>
        <w:rPr>
          <w:rFonts w:ascii="Arial" w:cs="Arial" w:eastAsia="Arial" w:hAnsi="Arial"/>
          <w:sz w:val="17"/>
          <w:szCs w:val="17"/>
          <w:color w:val="110E13"/>
        </w:rPr>
        <w:t>the purchase and sale of the Notes hereunder shall not be prohibited or enjoined by any court of competent jurisdiction;</w:t>
      </w:r>
    </w:p>
    <w:p>
      <w:pPr>
        <w:spacing w:after="0" w:line="186" w:lineRule="exact"/>
        <w:rPr>
          <w:rFonts w:ascii="Arial" w:cs="Arial" w:eastAsia="Arial" w:hAnsi="Arial"/>
          <w:sz w:val="17"/>
          <w:szCs w:val="17"/>
          <w:color w:val="auto"/>
        </w:rPr>
      </w:pPr>
    </w:p>
    <w:p>
      <w:pPr>
        <w:ind w:left="1540" w:hanging="516"/>
        <w:spacing w:after="0"/>
        <w:tabs>
          <w:tab w:leader="none" w:pos="1540" w:val="left"/>
        </w:tabs>
        <w:numPr>
          <w:ilvl w:val="1"/>
          <w:numId w:val="85"/>
        </w:numPr>
        <w:rPr>
          <w:rFonts w:ascii="Arial" w:cs="Arial" w:eastAsia="Arial" w:hAnsi="Arial"/>
          <w:sz w:val="15"/>
          <w:szCs w:val="15"/>
          <w:color w:val="auto"/>
        </w:rPr>
      </w:pPr>
      <w:r>
        <w:rPr>
          <w:rFonts w:ascii="Arial" w:cs="Arial" w:eastAsia="Arial" w:hAnsi="Arial"/>
          <w:sz w:val="15"/>
          <w:szCs w:val="15"/>
          <w:color w:val="110E13"/>
        </w:rPr>
        <w:t xml:space="preserve">the representations and warranties of the Purchaser set forth in </w:t>
      </w:r>
      <w:r>
        <w:rPr>
          <w:rFonts w:ascii="Arial" w:cs="Arial" w:eastAsia="Arial" w:hAnsi="Arial"/>
          <w:sz w:val="15"/>
          <w:szCs w:val="15"/>
          <w:color w:val="000000"/>
        </w:rPr>
        <w:t>Section 3.02</w:t>
      </w:r>
      <w:r>
        <w:rPr>
          <w:rFonts w:ascii="Arial" w:cs="Arial" w:eastAsia="Arial" w:hAnsi="Arial"/>
          <w:sz w:val="15"/>
          <w:szCs w:val="15"/>
          <w:color w:val="110E13"/>
        </w:rPr>
        <w:t xml:space="preserve"> shall be true and correct in all material respects at and as of the</w:t>
      </w:r>
    </w:p>
    <w:p>
      <w:pPr>
        <w:spacing w:after="0" w:line="42"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7"/>
          <w:szCs w:val="17"/>
          <w:color w:val="110E13"/>
        </w:rPr>
        <w:t>Closing;</w:t>
      </w:r>
    </w:p>
    <w:p>
      <w:pPr>
        <w:spacing w:after="0" w:line="162" w:lineRule="exact"/>
        <w:rPr>
          <w:rFonts w:ascii="Arial" w:cs="Arial" w:eastAsia="Arial" w:hAnsi="Arial"/>
          <w:sz w:val="15"/>
          <w:szCs w:val="15"/>
          <w:color w:val="auto"/>
        </w:rPr>
      </w:pPr>
    </w:p>
    <w:p>
      <w:pPr>
        <w:ind w:left="520" w:right="660" w:firstLine="504"/>
        <w:spacing w:after="0" w:line="271" w:lineRule="auto"/>
        <w:tabs>
          <w:tab w:leader="none" w:pos="1532" w:val="left"/>
        </w:tabs>
        <w:numPr>
          <w:ilvl w:val="1"/>
          <w:numId w:val="85"/>
        </w:numPr>
        <w:rPr>
          <w:rFonts w:ascii="Arial" w:cs="Arial" w:eastAsia="Arial" w:hAnsi="Arial"/>
          <w:sz w:val="17"/>
          <w:szCs w:val="17"/>
          <w:color w:val="auto"/>
        </w:rPr>
      </w:pPr>
      <w:r>
        <w:rPr>
          <w:rFonts w:ascii="Arial" w:cs="Arial" w:eastAsia="Arial" w:hAnsi="Arial"/>
          <w:sz w:val="17"/>
          <w:szCs w:val="17"/>
          <w:color w:val="110E13"/>
        </w:rPr>
        <w:t>the Purchaser shall have delivered to the Company the Purchase Price for the Notes, in accordance with the written instructions of the Company, and shall have executed and delivered the Notes to the Company, in each case at the Closing;</w:t>
      </w:r>
    </w:p>
    <w:p>
      <w:pPr>
        <w:spacing w:after="0" w:line="142" w:lineRule="exact"/>
        <w:rPr>
          <w:rFonts w:ascii="Arial" w:cs="Arial" w:eastAsia="Arial" w:hAnsi="Arial"/>
          <w:sz w:val="17"/>
          <w:szCs w:val="17"/>
          <w:color w:val="auto"/>
        </w:rPr>
      </w:pPr>
    </w:p>
    <w:p>
      <w:pPr>
        <w:ind w:left="520" w:right="280" w:firstLine="504"/>
        <w:spacing w:after="0" w:line="271" w:lineRule="auto"/>
        <w:tabs>
          <w:tab w:leader="none" w:pos="1522" w:val="left"/>
        </w:tabs>
        <w:numPr>
          <w:ilvl w:val="1"/>
          <w:numId w:val="85"/>
        </w:numPr>
        <w:rPr>
          <w:rFonts w:ascii="Arial" w:cs="Arial" w:eastAsia="Arial" w:hAnsi="Arial"/>
          <w:sz w:val="17"/>
          <w:szCs w:val="17"/>
          <w:color w:val="auto"/>
        </w:rPr>
      </w:pPr>
      <w:r>
        <w:rPr>
          <w:rFonts w:ascii="Arial" w:cs="Arial" w:eastAsia="Arial" w:hAnsi="Arial"/>
          <w:sz w:val="17"/>
          <w:szCs w:val="17"/>
          <w:color w:val="110E13"/>
        </w:rPr>
        <w:t>the Purchaser shall have performed and complied in all material respects with all agreements and obligations required by this Agreement to be performed or complied with by it at or prior to the Closing; and</w:t>
      </w:r>
    </w:p>
    <w:p>
      <w:pPr>
        <w:spacing w:after="0" w:line="131" w:lineRule="exact"/>
        <w:rPr>
          <w:rFonts w:ascii="Arial" w:cs="Arial" w:eastAsia="Arial" w:hAnsi="Arial"/>
          <w:sz w:val="17"/>
          <w:szCs w:val="17"/>
          <w:color w:val="auto"/>
        </w:rPr>
      </w:pPr>
    </w:p>
    <w:p>
      <w:pPr>
        <w:ind w:left="520" w:right="500" w:firstLine="504"/>
        <w:spacing w:after="0" w:line="271" w:lineRule="auto"/>
        <w:tabs>
          <w:tab w:leader="none" w:pos="1517" w:val="left"/>
        </w:tabs>
        <w:numPr>
          <w:ilvl w:val="1"/>
          <w:numId w:val="85"/>
        </w:numPr>
        <w:rPr>
          <w:rFonts w:ascii="Arial" w:cs="Arial" w:eastAsia="Arial" w:hAnsi="Arial"/>
          <w:sz w:val="17"/>
          <w:szCs w:val="17"/>
          <w:color w:val="auto"/>
        </w:rPr>
      </w:pPr>
      <w:r>
        <w:rPr>
          <w:rFonts w:ascii="Arial" w:cs="Arial" w:eastAsia="Arial" w:hAnsi="Arial"/>
          <w:sz w:val="17"/>
          <w:szCs w:val="17"/>
          <w:color w:val="110E13"/>
        </w:rPr>
        <w:t xml:space="preserve">the Company shall have received a certificate, dated the Closing Date, duly executed by the Chief Executive Officer of the Purchaser on behalf of the Purchaser, certifying that the conditions specified in </w:t>
      </w:r>
      <w:r>
        <w:rPr>
          <w:rFonts w:ascii="Arial" w:cs="Arial" w:eastAsia="Arial" w:hAnsi="Arial"/>
          <w:sz w:val="17"/>
          <w:szCs w:val="17"/>
          <w:color w:val="000000"/>
        </w:rPr>
        <w:t>Section 2.02(d)(ii)</w:t>
      </w:r>
      <w:r>
        <w:rPr>
          <w:rFonts w:ascii="Arial" w:cs="Arial" w:eastAsia="Arial" w:hAnsi="Arial"/>
          <w:sz w:val="17"/>
          <w:szCs w:val="17"/>
          <w:color w:val="110E13"/>
        </w:rPr>
        <w:t xml:space="preserve"> </w:t>
      </w:r>
      <w:r>
        <w:rPr>
          <w:rFonts w:ascii="Arial" w:cs="Arial" w:eastAsia="Arial" w:hAnsi="Arial"/>
          <w:sz w:val="17"/>
          <w:szCs w:val="17"/>
          <w:color w:val="110F13"/>
        </w:rPr>
        <w:t>and (iv) have been satisfied.</w:t>
      </w:r>
    </w:p>
    <w:p>
      <w:pPr>
        <w:spacing w:after="0" w:line="14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Unless otherwise mutually agreed upon in writing by the Company and the Purchaser, if the Closing does not occur on or prior to July 8, 2021, this Agreement shall automatically terminate and each of the parties hereto shall be relieved of its duties and obligations arising under this Agreement after the date of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termination shall relieve any party hereto of liability for any breach or default under this Agreement prior to such termination.</w:t>
      </w:r>
    </w:p>
    <w:p>
      <w:pPr>
        <w:spacing w:after="0" w:line="156" w:lineRule="exact"/>
        <w:rPr>
          <w:sz w:val="20"/>
          <w:szCs w:val="20"/>
          <w:color w:val="auto"/>
        </w:rPr>
      </w:pPr>
    </w:p>
    <w:p>
      <w:pPr>
        <w:ind w:left="4060"/>
        <w:spacing w:after="0"/>
        <w:tabs>
          <w:tab w:leader="none" w:pos="5060" w:val="left"/>
        </w:tabs>
        <w:rPr>
          <w:sz w:val="20"/>
          <w:szCs w:val="20"/>
          <w:color w:val="auto"/>
        </w:rPr>
      </w:pPr>
      <w:r>
        <w:rPr>
          <w:rFonts w:ascii="Arial" w:cs="Arial" w:eastAsia="Arial" w:hAnsi="Arial"/>
          <w:sz w:val="17"/>
          <w:szCs w:val="17"/>
          <w:color w:val="auto"/>
        </w:rPr>
        <w:t>Article 3.</w:t>
      </w:r>
      <w:r>
        <w:rPr>
          <w:sz w:val="20"/>
          <w:szCs w:val="20"/>
          <w:color w:val="auto"/>
        </w:rPr>
        <w:tab/>
      </w:r>
      <w:r>
        <w:rPr>
          <w:rFonts w:ascii="Arial" w:cs="Arial" w:eastAsia="Arial" w:hAnsi="Arial"/>
          <w:sz w:val="14"/>
          <w:szCs w:val="14"/>
          <w:color w:val="110F13"/>
        </w:rPr>
        <w:t>Representations and Warranties</w:t>
      </w:r>
    </w:p>
    <w:p>
      <w:pPr>
        <w:spacing w:after="0" w:line="186"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xml:space="preserve"> Except (i) for any item disclosed to the Purchaser in writing prior to the date hereof, in each case to the extent specifically qualifying any representation or warranty herein, or (ii) as disclosed in the Company Reports filed with or furnished to the SEC and publicly available since December 31, 2020 (excluding in each case any disclosures set forth in the risk factors or </w:t>
      </w:r>
      <w:r>
        <w:rPr>
          <w:rFonts w:ascii="Arial" w:cs="Arial" w:eastAsia="Arial" w:hAnsi="Arial"/>
          <w:sz w:val="17"/>
          <w:szCs w:val="17"/>
          <w:color w:val="110F13"/>
        </w:rPr>
        <w:t>“forward-looking statements” sections of such</w:t>
      </w:r>
      <w:r>
        <w:rPr>
          <w:rFonts w:ascii="Arial" w:cs="Arial" w:eastAsia="Arial" w:hAnsi="Arial"/>
          <w:sz w:val="17"/>
          <w:szCs w:val="17"/>
          <w:color w:val="auto"/>
        </w:rPr>
        <w:t xml:space="preserve"> </w:t>
      </w:r>
      <w:r>
        <w:rPr>
          <w:rFonts w:ascii="Arial" w:cs="Arial" w:eastAsia="Arial" w:hAnsi="Arial"/>
          <w:sz w:val="17"/>
          <w:szCs w:val="17"/>
          <w:color w:val="110F13"/>
        </w:rPr>
        <w:t>reports</w:t>
      </w:r>
      <w:r>
        <w:rPr>
          <w:rFonts w:ascii="Arial" w:cs="Arial" w:eastAsia="Arial" w:hAnsi="Arial"/>
          <w:sz w:val="17"/>
          <w:szCs w:val="17"/>
          <w:color w:val="2A2A2D"/>
        </w:rPr>
        <w:t>,</w:t>
      </w:r>
      <w:r>
        <w:rPr>
          <w:rFonts w:ascii="Arial" w:cs="Arial" w:eastAsia="Arial" w:hAnsi="Arial"/>
          <w:sz w:val="17"/>
          <w:szCs w:val="17"/>
          <w:color w:val="110F13"/>
        </w:rPr>
        <w:t xml:space="preserve"> and any other disclosures included therein to the extent they are predictive or forward-looking in nature)</w:t>
      </w:r>
      <w:r>
        <w:rPr>
          <w:rFonts w:ascii="Arial" w:cs="Arial" w:eastAsia="Arial" w:hAnsi="Arial"/>
          <w:sz w:val="17"/>
          <w:szCs w:val="17"/>
          <w:color w:val="2A2A2D"/>
        </w:rPr>
        <w:t>,</w:t>
      </w:r>
      <w:r>
        <w:rPr>
          <w:rFonts w:ascii="Arial" w:cs="Arial" w:eastAsia="Arial" w:hAnsi="Arial"/>
          <w:sz w:val="17"/>
          <w:szCs w:val="17"/>
          <w:color w:val="110F13"/>
        </w:rPr>
        <w:t xml:space="preserve"> the Company represents and warrants to the Purchaser</w:t>
      </w:r>
      <w:r>
        <w:rPr>
          <w:rFonts w:ascii="Arial" w:cs="Arial" w:eastAsia="Arial" w:hAnsi="Arial"/>
          <w:sz w:val="17"/>
          <w:szCs w:val="17"/>
          <w:color w:val="2A2A2D"/>
        </w:rPr>
        <w:t>,</w:t>
      </w:r>
      <w:r>
        <w:rPr>
          <w:rFonts w:ascii="Arial" w:cs="Arial" w:eastAsia="Arial" w:hAnsi="Arial"/>
          <w:sz w:val="17"/>
          <w:szCs w:val="17"/>
          <w:color w:val="110F13"/>
        </w:rPr>
        <w:t xml:space="preserve"> as of the date hereof and as of the Closing Date</w:t>
      </w:r>
      <w:r>
        <w:rPr>
          <w:rFonts w:ascii="Arial" w:cs="Arial" w:eastAsia="Arial" w:hAnsi="Arial"/>
          <w:sz w:val="17"/>
          <w:szCs w:val="17"/>
          <w:color w:val="2A2A2D"/>
        </w:rPr>
        <w:t>,</w:t>
      </w:r>
      <w:r>
        <w:rPr>
          <w:rFonts w:ascii="Arial" w:cs="Arial" w:eastAsia="Arial" w:hAnsi="Arial"/>
          <w:sz w:val="17"/>
          <w:szCs w:val="17"/>
          <w:color w:val="110F13"/>
        </w:rPr>
        <w:t xml:space="preserve"> as follows:</w:t>
      </w:r>
    </w:p>
    <w:p>
      <w:pPr>
        <w:spacing w:after="0" w:line="147" w:lineRule="exact"/>
        <w:rPr>
          <w:sz w:val="20"/>
          <w:szCs w:val="20"/>
          <w:color w:val="auto"/>
        </w:rPr>
      </w:pPr>
    </w:p>
    <w:p>
      <w:pPr>
        <w:ind w:right="440" w:firstLine="514"/>
        <w:spacing w:after="0" w:line="271" w:lineRule="auto"/>
        <w:tabs>
          <w:tab w:leader="none" w:pos="1051"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Existence and Power. </w:t>
      </w:r>
      <w:r>
        <w:rPr>
          <w:rFonts w:ascii="Arial" w:cs="Arial" w:eastAsia="Arial" w:hAnsi="Arial"/>
          <w:sz w:val="17"/>
          <w:szCs w:val="17"/>
          <w:color w:val="auto"/>
        </w:rPr>
        <w:t>The Company is duly organized</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validly existing and in good standing under the laws of the State of Delaware and has all</w:t>
      </w:r>
      <w:r>
        <w:rPr>
          <w:rFonts w:ascii="Arial" w:cs="Arial" w:eastAsia="Arial" w:hAnsi="Arial"/>
          <w:sz w:val="17"/>
          <w:szCs w:val="17"/>
          <w:i w:val="1"/>
          <w:iCs w:val="1"/>
          <w:color w:val="auto"/>
        </w:rPr>
        <w:t xml:space="preserve"> </w:t>
      </w:r>
      <w:r>
        <w:rPr>
          <w:rFonts w:ascii="Arial" w:cs="Arial" w:eastAsia="Arial" w:hAnsi="Arial"/>
          <w:sz w:val="17"/>
          <w:szCs w:val="17"/>
          <w:color w:val="auto"/>
        </w:rPr>
        <w:t>requisite corporate power and authority to own</w:t>
      </w:r>
      <w:r>
        <w:rPr>
          <w:rFonts w:ascii="Arial" w:cs="Arial" w:eastAsia="Arial" w:hAnsi="Arial"/>
          <w:sz w:val="17"/>
          <w:szCs w:val="17"/>
          <w:color w:val="2A2A2D"/>
        </w:rPr>
        <w:t>,</w:t>
      </w:r>
      <w:r>
        <w:rPr>
          <w:rFonts w:ascii="Arial" w:cs="Arial" w:eastAsia="Arial" w:hAnsi="Arial"/>
          <w:sz w:val="17"/>
          <w:szCs w:val="17"/>
          <w:color w:val="auto"/>
        </w:rPr>
        <w:t xml:space="preserve"> operate and lease its properties</w:t>
      </w:r>
      <w:r>
        <w:rPr>
          <w:rFonts w:ascii="Arial" w:cs="Arial" w:eastAsia="Arial" w:hAnsi="Arial"/>
          <w:sz w:val="17"/>
          <w:szCs w:val="17"/>
          <w:color w:val="2A2A2D"/>
        </w:rPr>
        <w:t>,</w:t>
      </w:r>
      <w:r>
        <w:rPr>
          <w:rFonts w:ascii="Arial" w:cs="Arial" w:eastAsia="Arial" w:hAnsi="Arial"/>
          <w:sz w:val="17"/>
          <w:szCs w:val="17"/>
          <w:color w:val="auto"/>
        </w:rPr>
        <w:t xml:space="preserve"> rights and assets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60"/>
          </w:cols>
          <w:pgMar w:left="300" w:top="1152" w:right="339" w:bottom="1440" w:gutter="0" w:footer="0" w:header="0"/>
        </w:sectPr>
      </w:pPr>
    </w:p>
    <w:bookmarkStart w:id="141" w:name="page142"/>
    <w:bookmarkEnd w:id="141"/>
    <w:p>
      <w:pPr>
        <w:spacing w:after="0" w:line="271" w:lineRule="auto"/>
        <w:rPr>
          <w:sz w:val="20"/>
          <w:szCs w:val="20"/>
          <w:color w:val="auto"/>
        </w:rPr>
      </w:pPr>
      <w:r>
        <w:rPr>
          <w:rFonts w:ascii="Arial" w:cs="Arial" w:eastAsia="Arial" w:hAnsi="Arial"/>
          <w:sz w:val="16"/>
          <w:szCs w:val="16"/>
          <w:color w:val="auto"/>
        </w:rPr>
        <w:t>and to carry on its business as it is being conducted on the date of this Agreement</w:t>
      </w:r>
      <w:r>
        <w:rPr>
          <w:rFonts w:ascii="Arial" w:cs="Arial" w:eastAsia="Arial" w:hAnsi="Arial"/>
          <w:sz w:val="16"/>
          <w:szCs w:val="16"/>
          <w:color w:val="2A2A2D"/>
        </w:rPr>
        <w:t>,</w:t>
      </w:r>
      <w:r>
        <w:rPr>
          <w:rFonts w:ascii="Arial" w:cs="Arial" w:eastAsia="Arial" w:hAnsi="Arial"/>
          <w:sz w:val="16"/>
          <w:szCs w:val="16"/>
          <w:color w:val="auto"/>
        </w:rPr>
        <w:t xml:space="preserve"> and</w:t>
      </w:r>
      <w:r>
        <w:rPr>
          <w:rFonts w:ascii="Arial" w:cs="Arial" w:eastAsia="Arial" w:hAnsi="Arial"/>
          <w:sz w:val="16"/>
          <w:szCs w:val="16"/>
          <w:color w:val="2A2A2D"/>
        </w:rPr>
        <w:t>,</w:t>
      </w:r>
      <w:r>
        <w:rPr>
          <w:rFonts w:ascii="Arial" w:cs="Arial" w:eastAsia="Arial" w:hAnsi="Arial"/>
          <w:sz w:val="16"/>
          <w:szCs w:val="16"/>
          <w:color w:val="auto"/>
        </w:rPr>
        <w:t xml:space="preserve"> except as would not</w:t>
      </w:r>
      <w:r>
        <w:rPr>
          <w:rFonts w:ascii="Arial" w:cs="Arial" w:eastAsia="Arial" w:hAnsi="Arial"/>
          <w:sz w:val="16"/>
          <w:szCs w:val="16"/>
          <w:color w:val="2A2A2D"/>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auto"/>
        </w:rPr>
        <w:t xml:space="preserve"> reasonably be expected to have a Material Adverse Effect</w:t>
      </w:r>
      <w:r>
        <w:rPr>
          <w:rFonts w:ascii="Arial" w:cs="Arial" w:eastAsia="Arial" w:hAnsi="Arial"/>
          <w:sz w:val="16"/>
          <w:szCs w:val="16"/>
          <w:color w:val="2A2A2D"/>
        </w:rPr>
        <w:t>,</w:t>
      </w:r>
      <w:r>
        <w:rPr>
          <w:rFonts w:ascii="Arial" w:cs="Arial" w:eastAsia="Arial" w:hAnsi="Arial"/>
          <w:sz w:val="16"/>
          <w:szCs w:val="16"/>
          <w:color w:val="auto"/>
        </w:rPr>
        <w:t xml:space="preserve"> has been duly qualified as a foreign corporation for the transaction of business and is in good standing under the laws of each other jurisdiction in which it owns or leases properties</w:t>
      </w:r>
      <w:r>
        <w:rPr>
          <w:rFonts w:ascii="Arial" w:cs="Arial" w:eastAsia="Arial" w:hAnsi="Arial"/>
          <w:sz w:val="16"/>
          <w:szCs w:val="16"/>
          <w:color w:val="2A2A2D"/>
        </w:rPr>
        <w:t>,</w:t>
      </w:r>
      <w:r>
        <w:rPr>
          <w:rFonts w:ascii="Arial" w:cs="Arial" w:eastAsia="Arial" w:hAnsi="Arial"/>
          <w:sz w:val="16"/>
          <w:szCs w:val="16"/>
          <w:color w:val="auto"/>
        </w:rPr>
        <w:t xml:space="preserve"> rights and assets or conducts any business so as to require such qualification. Except as would not</w:t>
      </w:r>
      <w:r>
        <w:rPr>
          <w:rFonts w:ascii="Arial" w:cs="Arial" w:eastAsia="Arial" w:hAnsi="Arial"/>
          <w:sz w:val="16"/>
          <w:szCs w:val="16"/>
          <w:color w:val="2A2A2D"/>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auto"/>
        </w:rPr>
        <w:t xml:space="preserve"> reasonably be expected to have a Material Adverse Effect</w:t>
      </w:r>
      <w:r>
        <w:rPr>
          <w:rFonts w:ascii="Arial" w:cs="Arial" w:eastAsia="Arial" w:hAnsi="Arial"/>
          <w:sz w:val="16"/>
          <w:szCs w:val="16"/>
          <w:color w:val="2A2A2D"/>
        </w:rPr>
        <w:t>,</w:t>
      </w:r>
      <w:r>
        <w:rPr>
          <w:rFonts w:ascii="Arial" w:cs="Arial" w:eastAsia="Arial" w:hAnsi="Arial"/>
          <w:sz w:val="16"/>
          <w:szCs w:val="16"/>
          <w:color w:val="auto"/>
        </w:rPr>
        <w:t xml:space="preserve"> each Subsidiary of the Company that is a “significant subsidiary” (as defined in Rule 1.02(w) of the SEC’s Regulation S-X) has been duly organized and is validly existing in good standing (to the extent that the concept of “good standing” is recognized by the applicable jurisdiction) under the laws of its jurisdiction of organization.</w:t>
      </w:r>
    </w:p>
    <w:p>
      <w:pPr>
        <w:spacing w:after="0" w:line="133" w:lineRule="exact"/>
        <w:rPr>
          <w:sz w:val="20"/>
          <w:szCs w:val="20"/>
          <w:color w:val="auto"/>
        </w:rPr>
      </w:pPr>
    </w:p>
    <w:p>
      <w:pPr>
        <w:ind w:firstLine="514"/>
        <w:spacing w:after="0" w:line="284" w:lineRule="auto"/>
        <w:tabs>
          <w:tab w:leader="none" w:pos="1061" w:val="left"/>
        </w:tabs>
        <w:numPr>
          <w:ilvl w:val="0"/>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Capitalization. </w:t>
      </w:r>
      <w:r>
        <w:rPr>
          <w:rFonts w:ascii="Arial" w:cs="Arial" w:eastAsia="Arial" w:hAnsi="Arial"/>
          <w:sz w:val="15"/>
          <w:szCs w:val="15"/>
          <w:color w:val="auto"/>
        </w:rPr>
        <w:t>The authorized share capital of the Company consists of 200,000,000 shares of Company Common Stock, par value $0.0001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and 1,000,000 shares of preferred stock, par value $0.0001 per share. As of June 24, 2021, there were (i) 52,666,681 shares of Company Common Stock issued and outstanding and no shares of preferred stock of the Company issued and outstanding, (ii) options to purchase an aggregate of 2,182,000 shares of Company Common Stock outstanding, (iii) 1,625,318 shares of Company Common Stock underlying the Company’s outstanding restricted, performance and deferred stock unit awards (assuming maximum achievement of performance-based awards), (iv) 0 shares of Company Common Stock held in any employee benefit plan or trust funding any such plan, and (v) warrants to purchase 8,209,586 shares of Company Common Stock issued and outstanding. Since June 24, 2021, (A) the Company has only issued options, restricted, performance and deferred stock unit awards or other rights to acquire shares of Company Common Stock in the ordinary course of business consistent with past practice and (B) the only shares of capital stock issued by the Company were pursuant to exercise of outstanding warrants, outstanding options, restricted, performance and deferred stock unit awards and other compensatory rights to purchase shares of Company Common Stock granted to employees, directors or other service providers. All outstanding shares of Company Common Stock are duly authorized, validly issued, fully paid and nonassessable</w:t>
      </w:r>
      <w:r>
        <w:rPr>
          <w:rFonts w:ascii="Arial" w:cs="Arial" w:eastAsia="Arial" w:hAnsi="Arial"/>
          <w:sz w:val="15"/>
          <w:szCs w:val="15"/>
          <w:color w:val="2A2A2D"/>
        </w:rPr>
        <w:t>,</w:t>
      </w:r>
      <w:r>
        <w:rPr>
          <w:rFonts w:ascii="Arial" w:cs="Arial" w:eastAsia="Arial" w:hAnsi="Arial"/>
          <w:sz w:val="15"/>
          <w:szCs w:val="15"/>
          <w:color w:val="auto"/>
        </w:rPr>
        <w:t xml:space="preserve"> and are not subject to and were not issued in violation of any preemptive or similar right</w:t>
      </w:r>
      <w:r>
        <w:rPr>
          <w:rFonts w:ascii="Arial" w:cs="Arial" w:eastAsia="Arial" w:hAnsi="Arial"/>
          <w:sz w:val="15"/>
          <w:szCs w:val="15"/>
          <w:color w:val="2A2A2D"/>
        </w:rPr>
        <w:t>,</w:t>
      </w:r>
      <w:r>
        <w:rPr>
          <w:rFonts w:ascii="Arial" w:cs="Arial" w:eastAsia="Arial" w:hAnsi="Arial"/>
          <w:sz w:val="15"/>
          <w:szCs w:val="15"/>
          <w:color w:val="auto"/>
        </w:rPr>
        <w:t xml:space="preserve"> purchase option</w:t>
      </w:r>
      <w:r>
        <w:rPr>
          <w:rFonts w:ascii="Arial" w:cs="Arial" w:eastAsia="Arial" w:hAnsi="Arial"/>
          <w:sz w:val="15"/>
          <w:szCs w:val="15"/>
          <w:color w:val="2A2A2D"/>
        </w:rPr>
        <w:t>,</w:t>
      </w:r>
      <w:r>
        <w:rPr>
          <w:rFonts w:ascii="Arial" w:cs="Arial" w:eastAsia="Arial" w:hAnsi="Arial"/>
          <w:sz w:val="15"/>
          <w:szCs w:val="15"/>
          <w:color w:val="auto"/>
        </w:rPr>
        <w:t xml:space="preserve"> call or right of first refusal or similar right. Except as set forth above, the Company has not issued any securities, the holders of which have the right to vote with the stockholders of the Company on any matter. Except as disclosed in the Company Reports filed with or furnished to the SEC and publicly available since December 31, 2020 and as provided in this Agreement and the Notes and, there are no existing options, warrants, calls, preemptive (or similar) rights, subscriptions or other rights, agreements or commitments obligating the Company to issue, transfer or sell, or cause to be issued, transferred or sold, any capital stock of the Company or any securities convertible into or exchangeable for such capital stock and there are no current outstanding contractual obligations of the Company to repurchase, redeem or otherwise acquire any of its shares of capital stock, except with respect to the acquisition of shares of Company Common Stock by the Company to satisfy the payment of the applicable exercise price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80"/>
          </w:cols>
          <w:pgMar w:left="300" w:top="1152" w:right="31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withholding taxes for equity awards. Since December 31, 2020, the Company has not declared or paid any dividends.</w:t>
      </w:r>
    </w:p>
    <w:p>
      <w:pPr>
        <w:spacing w:after="0" w:line="172" w:lineRule="exact"/>
        <w:rPr>
          <w:sz w:val="20"/>
          <w:szCs w:val="20"/>
          <w:color w:val="auto"/>
        </w:rPr>
      </w:pPr>
    </w:p>
    <w:p>
      <w:pPr>
        <w:ind w:firstLine="514"/>
        <w:spacing w:after="0" w:line="289" w:lineRule="auto"/>
        <w:tabs>
          <w:tab w:leader="none" w:pos="1051"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Authori</w:t>
      </w:r>
      <w:r>
        <w:rPr>
          <w:rFonts w:ascii="Arial" w:cs="Arial" w:eastAsia="Arial" w:hAnsi="Arial"/>
          <w:sz w:val="15"/>
          <w:szCs w:val="15"/>
          <w:i w:val="1"/>
          <w:iCs w:val="1"/>
          <w:color w:val="2A2A2B"/>
        </w:rPr>
        <w:t>z</w:t>
      </w:r>
      <w:r>
        <w:rPr>
          <w:rFonts w:ascii="Arial" w:cs="Arial" w:eastAsia="Arial" w:hAnsi="Arial"/>
          <w:sz w:val="15"/>
          <w:szCs w:val="15"/>
          <w:i w:val="1"/>
          <w:iCs w:val="1"/>
          <w:color w:val="auto"/>
        </w:rPr>
        <w:t xml:space="preserve">ation. </w:t>
      </w:r>
      <w:r>
        <w:rPr>
          <w:rFonts w:ascii="Arial" w:cs="Arial" w:eastAsia="Arial" w:hAnsi="Arial"/>
          <w:sz w:val="15"/>
          <w:szCs w:val="15"/>
          <w:color w:val="auto"/>
        </w:rPr>
        <w:t>The execution, delivery and performance of this Agreement</w:t>
      </w:r>
      <w:r>
        <w:rPr>
          <w:rFonts w:ascii="Arial" w:cs="Arial" w:eastAsia="Arial" w:hAnsi="Arial"/>
          <w:sz w:val="15"/>
          <w:szCs w:val="15"/>
          <w:i w:val="1"/>
          <w:iCs w:val="1"/>
          <w:color w:val="auto"/>
        </w:rPr>
        <w:t xml:space="preserve"> </w:t>
      </w:r>
      <w:r>
        <w:rPr>
          <w:rFonts w:ascii="Arial" w:cs="Arial" w:eastAsia="Arial" w:hAnsi="Arial"/>
          <w:sz w:val="15"/>
          <w:szCs w:val="15"/>
          <w:color w:val="2A2A2B"/>
        </w:rPr>
        <w:t>and the Notes</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2A2A2B"/>
        </w:rPr>
        <w:t>“</w:t>
      </w:r>
      <w:r>
        <w:rPr>
          <w:rFonts w:ascii="Arial" w:cs="Arial" w:eastAsia="Arial" w:hAnsi="Arial"/>
          <w:sz w:val="15"/>
          <w:szCs w:val="15"/>
          <w:b w:val="1"/>
          <w:bCs w:val="1"/>
          <w:color w:val="auto"/>
        </w:rPr>
        <w:t>Transaction Documents</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consummation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transactions contemplated herein and therein (collect</w:t>
      </w:r>
      <w:r>
        <w:rPr>
          <w:rFonts w:ascii="Arial" w:cs="Arial" w:eastAsia="Arial" w:hAnsi="Arial"/>
          <w:sz w:val="15"/>
          <w:szCs w:val="15"/>
          <w:color w:val="2A2A2B"/>
        </w:rPr>
        <w:t>i</w:t>
      </w:r>
      <w:r>
        <w:rPr>
          <w:rFonts w:ascii="Arial" w:cs="Arial" w:eastAsia="Arial" w:hAnsi="Arial"/>
          <w:sz w:val="15"/>
          <w:szCs w:val="15"/>
          <w:color w:val="auto"/>
        </w:rPr>
        <w:t>vely</w:t>
      </w:r>
      <w:r>
        <w:rPr>
          <w:rFonts w:ascii="Arial" w:cs="Arial" w:eastAsia="Arial" w:hAnsi="Arial"/>
          <w:sz w:val="15"/>
          <w:szCs w:val="15"/>
          <w:color w:val="2A2A2B"/>
        </w:rPr>
        <w:t>,</w:t>
      </w:r>
      <w:r>
        <w:rPr>
          <w:rFonts w:ascii="Arial" w:cs="Arial" w:eastAsia="Arial" w:hAnsi="Arial"/>
          <w:sz w:val="15"/>
          <w:szCs w:val="15"/>
          <w:color w:val="auto"/>
        </w:rPr>
        <w:t xml:space="preserve"> the “</w:t>
      </w:r>
      <w:r>
        <w:rPr>
          <w:rFonts w:ascii="Arial" w:cs="Arial" w:eastAsia="Arial" w:hAnsi="Arial"/>
          <w:sz w:val="15"/>
          <w:szCs w:val="15"/>
          <w:b w:val="1"/>
          <w:bCs w:val="1"/>
          <w:color w:val="auto"/>
        </w:rPr>
        <w:t>Transactions</w:t>
      </w:r>
      <w:r>
        <w:rPr>
          <w:rFonts w:ascii="Arial" w:cs="Arial" w:eastAsia="Arial" w:hAnsi="Arial"/>
          <w:sz w:val="15"/>
          <w:szCs w:val="15"/>
          <w:color w:val="auto"/>
        </w:rPr>
        <w:t>”) have been duly authorized by the Board of Directors and all other necessary corporate action on the part of the Company. Assuming this Agreement constitutes the valid and binding obligation of the Purchaser</w:t>
      </w:r>
      <w:r>
        <w:rPr>
          <w:rFonts w:ascii="Arial" w:cs="Arial" w:eastAsia="Arial" w:hAnsi="Arial"/>
          <w:sz w:val="15"/>
          <w:szCs w:val="15"/>
          <w:color w:val="2A2A2B"/>
        </w:rPr>
        <w:t>,</w:t>
      </w:r>
      <w:r>
        <w:rPr>
          <w:rFonts w:ascii="Arial" w:cs="Arial" w:eastAsia="Arial" w:hAnsi="Arial"/>
          <w:sz w:val="15"/>
          <w:szCs w:val="15"/>
          <w:color w:val="auto"/>
        </w:rPr>
        <w:t xml:space="preserve"> this Agreement is a valid and binding obligation of the Company</w:t>
      </w:r>
      <w:r>
        <w:rPr>
          <w:rFonts w:ascii="Arial" w:cs="Arial" w:eastAsia="Arial" w:hAnsi="Arial"/>
          <w:sz w:val="15"/>
          <w:szCs w:val="15"/>
          <w:color w:val="2A2A2B"/>
        </w:rPr>
        <w:t>,</w:t>
      </w:r>
      <w:r>
        <w:rPr>
          <w:rFonts w:ascii="Arial" w:cs="Arial" w:eastAsia="Arial" w:hAnsi="Arial"/>
          <w:sz w:val="15"/>
          <w:szCs w:val="15"/>
          <w:color w:val="auto"/>
        </w:rPr>
        <w:t xml:space="preserve"> enforceable against the Company in accordance with its terms</w:t>
      </w:r>
      <w:r>
        <w:rPr>
          <w:rFonts w:ascii="Arial" w:cs="Arial" w:eastAsia="Arial" w:hAnsi="Arial"/>
          <w:sz w:val="15"/>
          <w:szCs w:val="15"/>
          <w:color w:val="2A2A2B"/>
        </w:rPr>
        <w:t>,</w:t>
      </w:r>
      <w:r>
        <w:rPr>
          <w:rFonts w:ascii="Arial" w:cs="Arial" w:eastAsia="Arial" w:hAnsi="Arial"/>
          <w:sz w:val="15"/>
          <w:szCs w:val="15"/>
          <w:color w:val="auto"/>
        </w:rPr>
        <w:t xml:space="preserve"> subject to the limitation of such enforcement by the effect of bankruptcy</w:t>
      </w:r>
      <w:r>
        <w:rPr>
          <w:rFonts w:ascii="Arial" w:cs="Arial" w:eastAsia="Arial" w:hAnsi="Arial"/>
          <w:sz w:val="15"/>
          <w:szCs w:val="15"/>
          <w:color w:val="2A2A2B"/>
        </w:rPr>
        <w:t>,</w:t>
      </w:r>
      <w:r>
        <w:rPr>
          <w:rFonts w:ascii="Arial" w:cs="Arial" w:eastAsia="Arial" w:hAnsi="Arial"/>
          <w:sz w:val="15"/>
          <w:szCs w:val="15"/>
          <w:color w:val="auto"/>
        </w:rPr>
        <w:t xml:space="preserve"> insolvency</w:t>
      </w:r>
      <w:r>
        <w:rPr>
          <w:rFonts w:ascii="Arial" w:cs="Arial" w:eastAsia="Arial" w:hAnsi="Arial"/>
          <w:sz w:val="15"/>
          <w:szCs w:val="15"/>
          <w:color w:val="2A2A2B"/>
        </w:rPr>
        <w:t>,</w:t>
      </w:r>
      <w:r>
        <w:rPr>
          <w:rFonts w:ascii="Arial" w:cs="Arial" w:eastAsia="Arial" w:hAnsi="Arial"/>
          <w:sz w:val="15"/>
          <w:szCs w:val="15"/>
          <w:color w:val="auto"/>
        </w:rPr>
        <w:t xml:space="preserve"> reorganization</w:t>
      </w:r>
      <w:r>
        <w:rPr>
          <w:rFonts w:ascii="Arial" w:cs="Arial" w:eastAsia="Arial" w:hAnsi="Arial"/>
          <w:sz w:val="15"/>
          <w:szCs w:val="15"/>
          <w:color w:val="2A2A2B"/>
        </w:rPr>
        <w:t>,</w:t>
      </w:r>
      <w:r>
        <w:rPr>
          <w:rFonts w:ascii="Arial" w:cs="Arial" w:eastAsia="Arial" w:hAnsi="Arial"/>
          <w:sz w:val="15"/>
          <w:szCs w:val="15"/>
          <w:color w:val="auto"/>
        </w:rPr>
        <w:t xml:space="preserve"> receivership</w:t>
      </w:r>
      <w:r>
        <w:rPr>
          <w:rFonts w:ascii="Arial" w:cs="Arial" w:eastAsia="Arial" w:hAnsi="Arial"/>
          <w:sz w:val="15"/>
          <w:szCs w:val="15"/>
          <w:color w:val="2A2A2B"/>
        </w:rPr>
        <w:t>,</w:t>
      </w:r>
      <w:r>
        <w:rPr>
          <w:rFonts w:ascii="Arial" w:cs="Arial" w:eastAsia="Arial" w:hAnsi="Arial"/>
          <w:sz w:val="15"/>
          <w:szCs w:val="15"/>
          <w:color w:val="auto"/>
        </w:rPr>
        <w:t xml:space="preserve"> conservatorship</w:t>
      </w:r>
      <w:r>
        <w:rPr>
          <w:rFonts w:ascii="Arial" w:cs="Arial" w:eastAsia="Arial" w:hAnsi="Arial"/>
          <w:sz w:val="15"/>
          <w:szCs w:val="15"/>
          <w:color w:val="2A2A2B"/>
        </w:rPr>
        <w:t>,</w:t>
      </w:r>
      <w:r>
        <w:rPr>
          <w:rFonts w:ascii="Arial" w:cs="Arial" w:eastAsia="Arial" w:hAnsi="Arial"/>
          <w:sz w:val="15"/>
          <w:szCs w:val="15"/>
          <w:color w:val="auto"/>
        </w:rPr>
        <w:t xml:space="preserve"> arrangement</w:t>
      </w:r>
      <w:r>
        <w:rPr>
          <w:rFonts w:ascii="Arial" w:cs="Arial" w:eastAsia="Arial" w:hAnsi="Arial"/>
          <w:sz w:val="15"/>
          <w:szCs w:val="15"/>
          <w:color w:val="2A2A2B"/>
        </w:rPr>
        <w:t>,</w:t>
      </w:r>
      <w:r>
        <w:rPr>
          <w:rFonts w:ascii="Arial" w:cs="Arial" w:eastAsia="Arial" w:hAnsi="Arial"/>
          <w:sz w:val="15"/>
          <w:szCs w:val="15"/>
          <w:color w:val="auto"/>
        </w:rPr>
        <w:t xml:space="preserve"> moratorium or other laws affecting or relating to creditors’ rights generally or the rules governing the availability of specific performance</w:t>
      </w:r>
      <w:r>
        <w:rPr>
          <w:rFonts w:ascii="Arial" w:cs="Arial" w:eastAsia="Arial" w:hAnsi="Arial"/>
          <w:sz w:val="15"/>
          <w:szCs w:val="15"/>
          <w:color w:val="2A2A2B"/>
        </w:rPr>
        <w:t>,</w:t>
      </w:r>
      <w:r>
        <w:rPr>
          <w:rFonts w:ascii="Arial" w:cs="Arial" w:eastAsia="Arial" w:hAnsi="Arial"/>
          <w:sz w:val="15"/>
          <w:szCs w:val="15"/>
          <w:color w:val="auto"/>
        </w:rPr>
        <w:t xml:space="preserve"> injunctive relief or other equitable remedies and general principles of equity</w:t>
      </w:r>
      <w:r>
        <w:rPr>
          <w:rFonts w:ascii="Arial" w:cs="Arial" w:eastAsia="Arial" w:hAnsi="Arial"/>
          <w:sz w:val="15"/>
          <w:szCs w:val="15"/>
          <w:color w:val="2A2A2B"/>
        </w:rPr>
        <w:t>,</w:t>
      </w:r>
      <w:r>
        <w:rPr>
          <w:rFonts w:ascii="Arial" w:cs="Arial" w:eastAsia="Arial" w:hAnsi="Arial"/>
          <w:sz w:val="15"/>
          <w:szCs w:val="15"/>
          <w:color w:val="auto"/>
        </w:rPr>
        <w:t xml:space="preserve"> regardless of whether considered in a proceeding in equity or at law (the “</w:t>
      </w:r>
      <w:r>
        <w:rPr>
          <w:rFonts w:ascii="Arial" w:cs="Arial" w:eastAsia="Arial" w:hAnsi="Arial"/>
          <w:sz w:val="15"/>
          <w:szCs w:val="15"/>
          <w:b w:val="1"/>
          <w:bCs w:val="1"/>
          <w:color w:val="auto"/>
        </w:rPr>
        <w:t>Enforceability Exceptions</w:t>
      </w:r>
      <w:r>
        <w:rPr>
          <w:rFonts w:ascii="Arial" w:cs="Arial" w:eastAsia="Arial" w:hAnsi="Arial"/>
          <w:sz w:val="15"/>
          <w:szCs w:val="15"/>
          <w:color w:val="auto"/>
        </w:rPr>
        <w:t>”). At the Closing</w:t>
      </w:r>
      <w:r>
        <w:rPr>
          <w:rFonts w:ascii="Arial" w:cs="Arial" w:eastAsia="Arial" w:hAnsi="Arial"/>
          <w:sz w:val="15"/>
          <w:szCs w:val="15"/>
          <w:color w:val="2A2A2B"/>
        </w:rPr>
        <w:t>,</w:t>
      </w:r>
      <w:r>
        <w:rPr>
          <w:rFonts w:ascii="Arial" w:cs="Arial" w:eastAsia="Arial" w:hAnsi="Arial"/>
          <w:sz w:val="15"/>
          <w:szCs w:val="15"/>
          <w:color w:val="auto"/>
        </w:rPr>
        <w:t xml:space="preserve"> the </w:t>
      </w:r>
      <w:r>
        <w:rPr>
          <w:rFonts w:ascii="Arial" w:cs="Arial" w:eastAsia="Arial" w:hAnsi="Arial"/>
          <w:sz w:val="15"/>
          <w:szCs w:val="15"/>
          <w:color w:val="2A2A2B"/>
        </w:rPr>
        <w:t>Notes</w:t>
      </w:r>
      <w:r>
        <w:rPr>
          <w:rFonts w:ascii="Arial" w:cs="Arial" w:eastAsia="Arial" w:hAnsi="Arial"/>
          <w:sz w:val="15"/>
          <w:szCs w:val="15"/>
          <w:color w:val="auto"/>
        </w:rPr>
        <w:t xml:space="preserve"> will be duly executed and delivered by the Company and will be a valid and binding obligation of the Company enforceable against the Company in accordance with its terms</w:t>
      </w:r>
      <w:r>
        <w:rPr>
          <w:rFonts w:ascii="Arial" w:cs="Arial" w:eastAsia="Arial" w:hAnsi="Arial"/>
          <w:sz w:val="15"/>
          <w:szCs w:val="15"/>
          <w:color w:val="3D3D3D"/>
        </w:rPr>
        <w:t>,</w:t>
      </w:r>
      <w:r>
        <w:rPr>
          <w:rFonts w:ascii="Arial" w:cs="Arial" w:eastAsia="Arial" w:hAnsi="Arial"/>
          <w:sz w:val="15"/>
          <w:szCs w:val="15"/>
          <w:color w:val="auto"/>
        </w:rPr>
        <w:t xml:space="preserve"> subject to the Enforceability Exceptions.</w:t>
      </w:r>
    </w:p>
    <w:p>
      <w:pPr>
        <w:spacing w:after="0" w:line="124" w:lineRule="exact"/>
        <w:rPr>
          <w:rFonts w:ascii="Arial" w:cs="Arial" w:eastAsia="Arial" w:hAnsi="Arial"/>
          <w:sz w:val="15"/>
          <w:szCs w:val="15"/>
          <w:color w:val="auto"/>
        </w:rPr>
      </w:pPr>
    </w:p>
    <w:p>
      <w:pPr>
        <w:jc w:val="both"/>
        <w:ind w:firstLine="514"/>
        <w:spacing w:after="0" w:line="276" w:lineRule="auto"/>
        <w:tabs>
          <w:tab w:leader="none" w:pos="1061"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Gen</w:t>
      </w:r>
      <w:r>
        <w:rPr>
          <w:rFonts w:ascii="Arial" w:cs="Arial" w:eastAsia="Arial" w:hAnsi="Arial"/>
          <w:sz w:val="16"/>
          <w:szCs w:val="16"/>
          <w:i w:val="1"/>
          <w:iCs w:val="1"/>
          <w:color w:val="2A2A2B"/>
        </w:rPr>
        <w:t>e</w:t>
      </w:r>
      <w:r>
        <w:rPr>
          <w:rFonts w:ascii="Arial" w:cs="Arial" w:eastAsia="Arial" w:hAnsi="Arial"/>
          <w:sz w:val="16"/>
          <w:szCs w:val="16"/>
          <w:i w:val="1"/>
          <w:iCs w:val="1"/>
          <w:color w:val="auto"/>
        </w:rPr>
        <w:t xml:space="preserve">ral Solicitation; No Integration. </w:t>
      </w:r>
      <w:r>
        <w:rPr>
          <w:rFonts w:ascii="Arial" w:cs="Arial" w:eastAsia="Arial" w:hAnsi="Arial"/>
          <w:sz w:val="16"/>
          <w:szCs w:val="16"/>
          <w:color w:val="auto"/>
        </w:rPr>
        <w:t>Neither the Company nor any other Person or entity authorized by the Company to act on its behalf has engaged</w:t>
      </w:r>
      <w:r>
        <w:rPr>
          <w:rFonts w:ascii="Arial" w:cs="Arial" w:eastAsia="Arial" w:hAnsi="Arial"/>
          <w:sz w:val="16"/>
          <w:szCs w:val="16"/>
          <w:i w:val="1"/>
          <w:iCs w:val="1"/>
          <w:color w:val="auto"/>
        </w:rPr>
        <w:t xml:space="preserve"> </w:t>
      </w:r>
      <w:r>
        <w:rPr>
          <w:rFonts w:ascii="Arial" w:cs="Arial" w:eastAsia="Arial" w:hAnsi="Arial"/>
          <w:sz w:val="16"/>
          <w:szCs w:val="16"/>
          <w:color w:val="auto"/>
        </w:rPr>
        <w:t>in a general solicitation or general advertising (within the meaning of Regulation D of the Securities Act) of investors with respect to offers or sales of the Notes. The Company has not</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sold</w:t>
      </w:r>
      <w:r>
        <w:rPr>
          <w:rFonts w:ascii="Arial" w:cs="Arial" w:eastAsia="Arial" w:hAnsi="Arial"/>
          <w:sz w:val="16"/>
          <w:szCs w:val="16"/>
          <w:color w:val="2A2A2B"/>
        </w:rPr>
        <w:t>,</w:t>
      </w:r>
      <w:r>
        <w:rPr>
          <w:rFonts w:ascii="Arial" w:cs="Arial" w:eastAsia="Arial" w:hAnsi="Arial"/>
          <w:sz w:val="16"/>
          <w:szCs w:val="16"/>
          <w:color w:val="auto"/>
        </w:rPr>
        <w:t xml:space="preserve"> offered for sale</w:t>
      </w:r>
      <w:r>
        <w:rPr>
          <w:rFonts w:ascii="Arial" w:cs="Arial" w:eastAsia="Arial" w:hAnsi="Arial"/>
          <w:sz w:val="16"/>
          <w:szCs w:val="16"/>
          <w:color w:val="2A2A2B"/>
        </w:rPr>
        <w:t>,</w:t>
      </w:r>
      <w:r>
        <w:rPr>
          <w:rFonts w:ascii="Arial" w:cs="Arial" w:eastAsia="Arial" w:hAnsi="Arial"/>
          <w:sz w:val="16"/>
          <w:szCs w:val="16"/>
          <w:color w:val="auto"/>
        </w:rPr>
        <w:t xml:space="preserve"> solicited offers to buy or otherwise negotiated in respect of</w:t>
      </w:r>
      <w:r>
        <w:rPr>
          <w:rFonts w:ascii="Arial" w:cs="Arial" w:eastAsia="Arial" w:hAnsi="Arial"/>
          <w:sz w:val="16"/>
          <w:szCs w:val="16"/>
          <w:color w:val="2A2A2B"/>
        </w:rPr>
        <w:t>,</w:t>
      </w:r>
      <w:r>
        <w:rPr>
          <w:rFonts w:ascii="Arial" w:cs="Arial" w:eastAsia="Arial" w:hAnsi="Arial"/>
          <w:sz w:val="16"/>
          <w:szCs w:val="16"/>
          <w:color w:val="auto"/>
        </w:rPr>
        <w:t xml:space="preserve"> any security (as defined in the Securities Act) which</w:t>
      </w:r>
      <w:r>
        <w:rPr>
          <w:rFonts w:ascii="Arial" w:cs="Arial" w:eastAsia="Arial" w:hAnsi="Arial"/>
          <w:sz w:val="16"/>
          <w:szCs w:val="16"/>
          <w:color w:val="2A2A2B"/>
        </w:rPr>
        <w:t>,</w:t>
      </w:r>
      <w:r>
        <w:rPr>
          <w:rFonts w:ascii="Arial" w:cs="Arial" w:eastAsia="Arial" w:hAnsi="Arial"/>
          <w:sz w:val="16"/>
          <w:szCs w:val="16"/>
          <w:color w:val="auto"/>
        </w:rPr>
        <w:t xml:space="preserve"> to its knowledge</w:t>
      </w:r>
      <w:r>
        <w:rPr>
          <w:rFonts w:ascii="Arial" w:cs="Arial" w:eastAsia="Arial" w:hAnsi="Arial"/>
          <w:sz w:val="16"/>
          <w:szCs w:val="16"/>
          <w:color w:val="2A2A2B"/>
        </w:rPr>
        <w:t>,</w:t>
      </w:r>
      <w:r>
        <w:rPr>
          <w:rFonts w:ascii="Arial" w:cs="Arial" w:eastAsia="Arial" w:hAnsi="Arial"/>
          <w:sz w:val="16"/>
          <w:szCs w:val="16"/>
          <w:color w:val="auto"/>
        </w:rPr>
        <w:t xml:space="preserve"> is or will be integrated with the Notes sold pursuant to this Agreement.</w:t>
      </w:r>
    </w:p>
    <w:p>
      <w:pPr>
        <w:spacing w:after="0" w:line="129" w:lineRule="exact"/>
        <w:rPr>
          <w:rFonts w:ascii="Arial" w:cs="Arial" w:eastAsia="Arial" w:hAnsi="Arial"/>
          <w:sz w:val="16"/>
          <w:szCs w:val="16"/>
          <w:color w:val="auto"/>
        </w:rPr>
      </w:pPr>
    </w:p>
    <w:p>
      <w:pPr>
        <w:ind w:firstLine="514"/>
        <w:spacing w:after="0" w:line="251" w:lineRule="auto"/>
        <w:tabs>
          <w:tab w:leader="none" w:pos="1051"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Valid Issuance. </w:t>
      </w:r>
      <w:r>
        <w:rPr>
          <w:rFonts w:ascii="Arial" w:cs="Arial" w:eastAsia="Arial" w:hAnsi="Arial"/>
          <w:sz w:val="17"/>
          <w:szCs w:val="17"/>
          <w:color w:val="auto"/>
        </w:rPr>
        <w:t>The Notes have been duly authorized by all necessary corporate action of the Company. When issued and sold against receipt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therefor</w:t>
      </w:r>
      <w:r>
        <w:rPr>
          <w:rFonts w:ascii="Arial" w:cs="Arial" w:eastAsia="Arial" w:hAnsi="Arial"/>
          <w:sz w:val="17"/>
          <w:szCs w:val="17"/>
          <w:color w:val="2A2A2B"/>
        </w:rPr>
        <w:t>,</w:t>
      </w:r>
      <w:r>
        <w:rPr>
          <w:rFonts w:ascii="Arial" w:cs="Arial" w:eastAsia="Arial" w:hAnsi="Arial"/>
          <w:sz w:val="17"/>
          <w:szCs w:val="17"/>
          <w:color w:val="auto"/>
        </w:rPr>
        <w:t xml:space="preserve"> the Notes will be valid and legally binding obligations of the Company, enforceable in accordance with their terms</w:t>
      </w:r>
      <w:r>
        <w:rPr>
          <w:rFonts w:ascii="Arial" w:cs="Arial" w:eastAsia="Arial" w:hAnsi="Arial"/>
          <w:sz w:val="17"/>
          <w:szCs w:val="17"/>
          <w:color w:val="2A2A2B"/>
        </w:rPr>
        <w:t>,</w:t>
      </w:r>
      <w:r>
        <w:rPr>
          <w:rFonts w:ascii="Arial" w:cs="Arial" w:eastAsia="Arial" w:hAnsi="Arial"/>
          <w:sz w:val="17"/>
          <w:szCs w:val="17"/>
          <w:color w:val="auto"/>
        </w:rPr>
        <w:t xml:space="preserve"> subject to the limitation of such enforcement by the Enforceability Exceptions. The Company has available and has reserved for issuance the maximum number of shares of Company Common Stock initially issuable upon conversion of the Notes if such conversion were to occur immediately following Closing (assuming fully physical share settlement). The Company Common Stock to be issued upon conversion of the Notes in accordance with the terms of the Notes has been duly authorized and reserved for issuance</w:t>
      </w:r>
      <w:r>
        <w:rPr>
          <w:rFonts w:ascii="Arial" w:cs="Arial" w:eastAsia="Arial" w:hAnsi="Arial"/>
          <w:sz w:val="17"/>
          <w:szCs w:val="17"/>
          <w:color w:val="2A2A2B"/>
        </w:rPr>
        <w:t>,</w:t>
      </w:r>
      <w:r>
        <w:rPr>
          <w:rFonts w:ascii="Arial" w:cs="Arial" w:eastAsia="Arial" w:hAnsi="Arial"/>
          <w:sz w:val="17"/>
          <w:szCs w:val="17"/>
          <w:color w:val="auto"/>
        </w:rPr>
        <w:t xml:space="preserve"> and when issued upon conversion of the Notes</w:t>
      </w:r>
      <w:r>
        <w:rPr>
          <w:rFonts w:ascii="Arial" w:cs="Arial" w:eastAsia="Arial" w:hAnsi="Arial"/>
          <w:sz w:val="17"/>
          <w:szCs w:val="17"/>
          <w:color w:val="3F3F42"/>
        </w:rPr>
        <w:t>,</w:t>
      </w:r>
      <w:r>
        <w:rPr>
          <w:rFonts w:ascii="Arial" w:cs="Arial" w:eastAsia="Arial" w:hAnsi="Arial"/>
          <w:sz w:val="17"/>
          <w:szCs w:val="17"/>
          <w:color w:val="auto"/>
        </w:rPr>
        <w:t xml:space="preserve"> all such Company Common Stock will be validly issued</w:t>
      </w:r>
      <w:r>
        <w:rPr>
          <w:rFonts w:ascii="Arial" w:cs="Arial" w:eastAsia="Arial" w:hAnsi="Arial"/>
          <w:sz w:val="17"/>
          <w:szCs w:val="17"/>
          <w:color w:val="2A2A2B"/>
        </w:rPr>
        <w:t>,</w:t>
      </w:r>
      <w:r>
        <w:rPr>
          <w:rFonts w:ascii="Arial" w:cs="Arial" w:eastAsia="Arial" w:hAnsi="Arial"/>
          <w:sz w:val="17"/>
          <w:szCs w:val="17"/>
          <w:color w:val="auto"/>
        </w:rPr>
        <w:t xml:space="preserve"> fully paid and nonassessable and free of pre-emptive or similar rights.</w:t>
      </w:r>
    </w:p>
    <w:p>
      <w:pPr>
        <w:spacing w:after="0" w:line="149" w:lineRule="exact"/>
        <w:rPr>
          <w:rFonts w:ascii="Arial" w:cs="Arial" w:eastAsia="Arial" w:hAnsi="Arial"/>
          <w:sz w:val="17"/>
          <w:szCs w:val="17"/>
          <w:color w:val="auto"/>
        </w:rPr>
      </w:pPr>
    </w:p>
    <w:p>
      <w:pPr>
        <w:ind w:right="300" w:firstLine="514"/>
        <w:spacing w:after="0" w:line="259" w:lineRule="auto"/>
        <w:tabs>
          <w:tab w:leader="none" w:pos="1054"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i w:val="1"/>
          <w:iCs w:val="1"/>
          <w:color w:val="2A2A2B"/>
        </w:rPr>
        <w:t>/</w:t>
      </w:r>
      <w:r>
        <w:rPr>
          <w:rFonts w:ascii="Arial" w:cs="Arial" w:eastAsia="Arial" w:hAnsi="Arial"/>
          <w:sz w:val="17"/>
          <w:szCs w:val="17"/>
          <w:i w:val="1"/>
          <w:iCs w:val="1"/>
          <w:color w:val="auto"/>
        </w:rPr>
        <w:t xml:space="preserve">No Consents. </w:t>
      </w:r>
      <w:r>
        <w:rPr>
          <w:rFonts w:ascii="Arial" w:cs="Arial" w:eastAsia="Arial" w:hAnsi="Arial"/>
          <w:sz w:val="17"/>
          <w:szCs w:val="17"/>
          <w:color w:val="auto"/>
        </w:rPr>
        <w:t>The execution</w:t>
      </w:r>
      <w:r>
        <w:rPr>
          <w:rFonts w:ascii="Arial" w:cs="Arial" w:eastAsia="Arial" w:hAnsi="Arial"/>
          <w:sz w:val="17"/>
          <w:szCs w:val="17"/>
          <w:color w:val="2A2A2B"/>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and performance of the Transaction Documents</w:t>
      </w:r>
      <w:r>
        <w:rPr>
          <w:rFonts w:ascii="Arial" w:cs="Arial" w:eastAsia="Arial" w:hAnsi="Arial"/>
          <w:sz w:val="17"/>
          <w:szCs w:val="17"/>
          <w:color w:val="2A2A2B"/>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issuance of the shares of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upon conversion of the Notes in accordance with their terms and the consummation by the Company of the Transactions, does not conflict with</w:t>
      </w:r>
      <w:r>
        <w:rPr>
          <w:rFonts w:ascii="Arial" w:cs="Arial" w:eastAsia="Arial" w:hAnsi="Arial"/>
          <w:sz w:val="17"/>
          <w:szCs w:val="17"/>
          <w:color w:val="2A2A2B"/>
        </w:rPr>
        <w:t>,</w:t>
      </w:r>
      <w:r>
        <w:rPr>
          <w:rFonts w:ascii="Arial" w:cs="Arial" w:eastAsia="Arial" w:hAnsi="Arial"/>
          <w:sz w:val="17"/>
          <w:szCs w:val="17"/>
          <w:color w:val="auto"/>
        </w:rPr>
        <w:t xml:space="preserve"> violate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60"/>
          </w:cols>
          <w:pgMar w:left="300" w:top="1152" w:right="339" w:bottom="1440" w:gutter="0" w:footer="0" w:header="0"/>
        </w:sectPr>
      </w:pPr>
    </w:p>
    <w:bookmarkStart w:id="143" w:name="page144"/>
    <w:bookmarkEnd w:id="143"/>
    <w:p>
      <w:pPr>
        <w:spacing w:after="0" w:line="265" w:lineRule="auto"/>
        <w:rPr>
          <w:sz w:val="20"/>
          <w:szCs w:val="20"/>
          <w:color w:val="auto"/>
        </w:rPr>
      </w:pPr>
      <w:r>
        <w:rPr>
          <w:rFonts w:ascii="Arial" w:cs="Arial" w:eastAsia="Arial" w:hAnsi="Arial"/>
          <w:sz w:val="16"/>
          <w:szCs w:val="16"/>
          <w:color w:val="auto"/>
        </w:rPr>
        <w:t>result in a breach of any provision of</w:t>
      </w:r>
      <w:r>
        <w:rPr>
          <w:rFonts w:ascii="Arial" w:cs="Arial" w:eastAsia="Arial" w:hAnsi="Arial"/>
          <w:sz w:val="16"/>
          <w:szCs w:val="16"/>
          <w:color w:val="2A2A2B"/>
        </w:rPr>
        <w:t>,</w:t>
      </w:r>
      <w:r>
        <w:rPr>
          <w:rFonts w:ascii="Arial" w:cs="Arial" w:eastAsia="Arial" w:hAnsi="Arial"/>
          <w:sz w:val="16"/>
          <w:szCs w:val="16"/>
          <w:color w:val="auto"/>
        </w:rPr>
        <w:t xml:space="preserve"> or constitute a default under</w:t>
      </w:r>
      <w:r>
        <w:rPr>
          <w:rFonts w:ascii="Arial" w:cs="Arial" w:eastAsia="Arial" w:hAnsi="Arial"/>
          <w:sz w:val="16"/>
          <w:szCs w:val="16"/>
          <w:color w:val="2A2A2B"/>
        </w:rPr>
        <w:t>,</w:t>
      </w:r>
      <w:r>
        <w:rPr>
          <w:rFonts w:ascii="Arial" w:cs="Arial" w:eastAsia="Arial" w:hAnsi="Arial"/>
          <w:sz w:val="16"/>
          <w:szCs w:val="16"/>
          <w:color w:val="auto"/>
        </w:rPr>
        <w:t xml:space="preserve"> or result in the termination of or accelerate the performance required by</w:t>
      </w:r>
      <w:r>
        <w:rPr>
          <w:rFonts w:ascii="Arial" w:cs="Arial" w:eastAsia="Arial" w:hAnsi="Arial"/>
          <w:sz w:val="16"/>
          <w:szCs w:val="16"/>
          <w:color w:val="2A2A2B"/>
        </w:rPr>
        <w:t>,</w:t>
      </w:r>
      <w:r>
        <w:rPr>
          <w:rFonts w:ascii="Arial" w:cs="Arial" w:eastAsia="Arial" w:hAnsi="Arial"/>
          <w:sz w:val="16"/>
          <w:szCs w:val="16"/>
          <w:color w:val="auto"/>
        </w:rPr>
        <w:t xml:space="preserve"> or result in a right of termination or acceleration under</w:t>
      </w:r>
      <w:r>
        <w:rPr>
          <w:rFonts w:ascii="Arial" w:cs="Arial" w:eastAsia="Arial" w:hAnsi="Arial"/>
          <w:sz w:val="16"/>
          <w:szCs w:val="16"/>
          <w:color w:val="2A2A2B"/>
        </w:rPr>
        <w:t>,</w:t>
      </w:r>
      <w:r>
        <w:rPr>
          <w:rFonts w:ascii="Arial" w:cs="Arial" w:eastAsia="Arial" w:hAnsi="Arial"/>
          <w:sz w:val="16"/>
          <w:szCs w:val="16"/>
          <w:color w:val="auto"/>
        </w:rPr>
        <w:t xml:space="preserve"> the certificate of incorporation or bylaws of the Company</w:t>
      </w:r>
      <w:r>
        <w:rPr>
          <w:rFonts w:ascii="Arial" w:cs="Arial" w:eastAsia="Arial" w:hAnsi="Arial"/>
          <w:sz w:val="16"/>
          <w:szCs w:val="16"/>
          <w:color w:val="2A2A2B"/>
        </w:rPr>
        <w:t>,</w:t>
      </w:r>
      <w:r>
        <w:rPr>
          <w:rFonts w:ascii="Arial" w:cs="Arial" w:eastAsia="Arial" w:hAnsi="Arial"/>
          <w:sz w:val="16"/>
          <w:szCs w:val="16"/>
          <w:color w:val="auto"/>
        </w:rPr>
        <w:t xml:space="preserve"> any “material contract</w:t>
      </w:r>
      <w:r>
        <w:rPr>
          <w:rFonts w:ascii="Arial" w:cs="Arial" w:eastAsia="Arial" w:hAnsi="Arial"/>
          <w:sz w:val="16"/>
          <w:szCs w:val="16"/>
          <w:color w:val="2A2A2B"/>
        </w:rPr>
        <w:t>”</w:t>
      </w:r>
      <w:r>
        <w:rPr>
          <w:rFonts w:ascii="Arial" w:cs="Arial" w:eastAsia="Arial" w:hAnsi="Arial"/>
          <w:sz w:val="16"/>
          <w:szCs w:val="16"/>
          <w:color w:val="auto"/>
        </w:rPr>
        <w:t xml:space="preserve"> (as such term is defined in Item 601(b)(10) of Regulation S-K of the SEC) to which the Company or any of its Subsidiaries is a party and was filed or was required to be filed with the Company Reports or any permit</w:t>
      </w:r>
      <w:r>
        <w:rPr>
          <w:rFonts w:ascii="Arial" w:cs="Arial" w:eastAsia="Arial" w:hAnsi="Arial"/>
          <w:sz w:val="16"/>
          <w:szCs w:val="16"/>
          <w:color w:val="2A2A2B"/>
        </w:rPr>
        <w:t>,</w:t>
      </w:r>
      <w:r>
        <w:rPr>
          <w:rFonts w:ascii="Arial" w:cs="Arial" w:eastAsia="Arial" w:hAnsi="Arial"/>
          <w:sz w:val="16"/>
          <w:szCs w:val="16"/>
          <w:color w:val="auto"/>
        </w:rPr>
        <w:t xml:space="preserve"> government license</w:t>
      </w:r>
      <w:r>
        <w:rPr>
          <w:rFonts w:ascii="Arial" w:cs="Arial" w:eastAsia="Arial" w:hAnsi="Arial"/>
          <w:sz w:val="16"/>
          <w:szCs w:val="16"/>
          <w:color w:val="2A2A2B"/>
        </w:rPr>
        <w:t>,</w:t>
      </w:r>
      <w:r>
        <w:rPr>
          <w:rFonts w:ascii="Arial" w:cs="Arial" w:eastAsia="Arial" w:hAnsi="Arial"/>
          <w:sz w:val="16"/>
          <w:szCs w:val="16"/>
          <w:color w:val="auto"/>
        </w:rPr>
        <w:t xml:space="preserve"> judgment</w:t>
      </w:r>
      <w:r>
        <w:rPr>
          <w:rFonts w:ascii="Arial" w:cs="Arial" w:eastAsia="Arial" w:hAnsi="Arial"/>
          <w:sz w:val="16"/>
          <w:szCs w:val="16"/>
          <w:color w:val="2A2A2B"/>
        </w:rPr>
        <w:t>,</w:t>
      </w:r>
      <w:r>
        <w:rPr>
          <w:rFonts w:ascii="Arial" w:cs="Arial" w:eastAsia="Arial" w:hAnsi="Arial"/>
          <w:sz w:val="16"/>
          <w:szCs w:val="16"/>
          <w:color w:val="auto"/>
        </w:rPr>
        <w:t xml:space="preserve"> order</w:t>
      </w:r>
      <w:r>
        <w:rPr>
          <w:rFonts w:ascii="Arial" w:cs="Arial" w:eastAsia="Arial" w:hAnsi="Arial"/>
          <w:sz w:val="16"/>
          <w:szCs w:val="16"/>
          <w:color w:val="2A2A2B"/>
        </w:rPr>
        <w:t>,</w:t>
      </w:r>
      <w:r>
        <w:rPr>
          <w:rFonts w:ascii="Arial" w:cs="Arial" w:eastAsia="Arial" w:hAnsi="Arial"/>
          <w:sz w:val="16"/>
          <w:szCs w:val="16"/>
          <w:color w:val="auto"/>
        </w:rPr>
        <w:t xml:space="preserve"> decree</w:t>
      </w:r>
      <w:r>
        <w:rPr>
          <w:rFonts w:ascii="Arial" w:cs="Arial" w:eastAsia="Arial" w:hAnsi="Arial"/>
          <w:sz w:val="16"/>
          <w:szCs w:val="16"/>
          <w:color w:val="2A2A2B"/>
        </w:rPr>
        <w:t>,</w:t>
      </w:r>
      <w:r>
        <w:rPr>
          <w:rFonts w:ascii="Arial" w:cs="Arial" w:eastAsia="Arial" w:hAnsi="Arial"/>
          <w:sz w:val="16"/>
          <w:szCs w:val="16"/>
          <w:color w:val="auto"/>
        </w:rPr>
        <w:t xml:space="preserve"> ruling</w:t>
      </w:r>
      <w:r>
        <w:rPr>
          <w:rFonts w:ascii="Arial" w:cs="Arial" w:eastAsia="Arial" w:hAnsi="Arial"/>
          <w:sz w:val="16"/>
          <w:szCs w:val="16"/>
          <w:color w:val="2A2A2B"/>
        </w:rPr>
        <w:t>,</w:t>
      </w:r>
      <w:r>
        <w:rPr>
          <w:rFonts w:ascii="Arial" w:cs="Arial" w:eastAsia="Arial" w:hAnsi="Arial"/>
          <w:sz w:val="16"/>
          <w:szCs w:val="16"/>
          <w:color w:val="auto"/>
        </w:rPr>
        <w:t xml:space="preserve"> injunction</w:t>
      </w:r>
      <w:r>
        <w:rPr>
          <w:rFonts w:ascii="Arial" w:cs="Arial" w:eastAsia="Arial" w:hAnsi="Arial"/>
          <w:sz w:val="16"/>
          <w:szCs w:val="16"/>
          <w:color w:val="2A2A2B"/>
        </w:rPr>
        <w:t>,</w:t>
      </w:r>
      <w:r>
        <w:rPr>
          <w:rFonts w:ascii="Arial" w:cs="Arial" w:eastAsia="Arial" w:hAnsi="Arial"/>
          <w:sz w:val="16"/>
          <w:szCs w:val="16"/>
          <w:color w:val="auto"/>
        </w:rPr>
        <w:t xml:space="preserve"> statute</w:t>
      </w:r>
      <w:r>
        <w:rPr>
          <w:rFonts w:ascii="Arial" w:cs="Arial" w:eastAsia="Arial" w:hAnsi="Arial"/>
          <w:sz w:val="16"/>
          <w:szCs w:val="16"/>
          <w:color w:val="2A2A2B"/>
        </w:rPr>
        <w:t>,</w:t>
      </w:r>
      <w:r>
        <w:rPr>
          <w:rFonts w:ascii="Arial" w:cs="Arial" w:eastAsia="Arial" w:hAnsi="Arial"/>
          <w:sz w:val="16"/>
          <w:szCs w:val="16"/>
          <w:color w:val="auto"/>
        </w:rPr>
        <w:t xml:space="preserve"> law</w:t>
      </w:r>
      <w:r>
        <w:rPr>
          <w:rFonts w:ascii="Arial" w:cs="Arial" w:eastAsia="Arial" w:hAnsi="Arial"/>
          <w:sz w:val="16"/>
          <w:szCs w:val="16"/>
          <w:color w:val="2A2A2B"/>
        </w:rPr>
        <w:t>,</w:t>
      </w:r>
      <w:r>
        <w:rPr>
          <w:rFonts w:ascii="Arial" w:cs="Arial" w:eastAsia="Arial" w:hAnsi="Arial"/>
          <w:sz w:val="16"/>
          <w:szCs w:val="16"/>
          <w:color w:val="auto"/>
        </w:rPr>
        <w:t xml:space="preserve"> ordinance</w:t>
      </w:r>
      <w:r>
        <w:rPr>
          <w:rFonts w:ascii="Arial" w:cs="Arial" w:eastAsia="Arial" w:hAnsi="Arial"/>
          <w:sz w:val="16"/>
          <w:szCs w:val="16"/>
          <w:color w:val="2A2A2B"/>
        </w:rPr>
        <w:t>,</w:t>
      </w:r>
      <w:r>
        <w:rPr>
          <w:rFonts w:ascii="Arial" w:cs="Arial" w:eastAsia="Arial" w:hAnsi="Arial"/>
          <w:sz w:val="16"/>
          <w:szCs w:val="16"/>
          <w:color w:val="auto"/>
        </w:rPr>
        <w:t xml:space="preserve"> rule or regulation applicable to the Company or any of its Subsidiaries</w:t>
      </w:r>
      <w:r>
        <w:rPr>
          <w:rFonts w:ascii="Arial" w:cs="Arial" w:eastAsia="Arial" w:hAnsi="Arial"/>
          <w:sz w:val="16"/>
          <w:szCs w:val="16"/>
          <w:color w:val="2A2A2B"/>
        </w:rPr>
        <w:t>,</w:t>
      </w:r>
      <w:r>
        <w:rPr>
          <w:rFonts w:ascii="Arial" w:cs="Arial" w:eastAsia="Arial" w:hAnsi="Arial"/>
          <w:sz w:val="16"/>
          <w:szCs w:val="16"/>
          <w:color w:val="auto"/>
        </w:rPr>
        <w:t xml:space="preserve"> other than in the cases of clauses (ii) </w:t>
      </w:r>
      <w:r>
        <w:rPr>
          <w:rFonts w:ascii="Arial" w:cs="Arial" w:eastAsia="Arial" w:hAnsi="Arial"/>
          <w:sz w:val="16"/>
          <w:szCs w:val="16"/>
          <w:color w:val="2A2A2B"/>
        </w:rPr>
        <w:t>and</w:t>
      </w:r>
      <w:r>
        <w:rPr>
          <w:rFonts w:ascii="Arial" w:cs="Arial" w:eastAsia="Arial" w:hAnsi="Arial"/>
          <w:sz w:val="16"/>
          <w:szCs w:val="16"/>
          <w:color w:val="auto"/>
        </w:rPr>
        <w:t xml:space="preserve"> (iii) as would not</w:t>
      </w:r>
      <w:r>
        <w:rPr>
          <w:rFonts w:ascii="Arial" w:cs="Arial" w:eastAsia="Arial" w:hAnsi="Arial"/>
          <w:sz w:val="16"/>
          <w:szCs w:val="16"/>
          <w:color w:val="2A2A2B"/>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B"/>
        </w:rPr>
        <w:t>,</w:t>
      </w:r>
      <w:r>
        <w:rPr>
          <w:rFonts w:ascii="Arial" w:cs="Arial" w:eastAsia="Arial" w:hAnsi="Arial"/>
          <w:sz w:val="16"/>
          <w:szCs w:val="16"/>
          <w:color w:val="auto"/>
        </w:rPr>
        <w:t xml:space="preserve"> reasonably be expected to have a Material Adverse Effect and would not materially affect the Company’s ability to comply with its obligations under the Notes or this Agreement. The Company has filed a Shares Outstanding Change Form and</w:t>
      </w:r>
      <w:r>
        <w:rPr>
          <w:rFonts w:ascii="Arial" w:cs="Arial" w:eastAsia="Arial" w:hAnsi="Arial"/>
          <w:sz w:val="16"/>
          <w:szCs w:val="16"/>
          <w:color w:val="2A2A2B"/>
        </w:rPr>
        <w:t>/</w:t>
      </w:r>
      <w:r>
        <w:rPr>
          <w:rFonts w:ascii="Arial" w:cs="Arial" w:eastAsia="Arial" w:hAnsi="Arial"/>
          <w:sz w:val="16"/>
          <w:szCs w:val="16"/>
          <w:color w:val="auto"/>
        </w:rPr>
        <w:t>or Listing of Additional Shares Notification Form with the NASDAQ with respect to the shares of Company Common Stock issuable upon conversion of the Notes. Assuming the accuracy of the representations of the Purchaser set forth herein</w:t>
      </w:r>
      <w:r>
        <w:rPr>
          <w:rFonts w:ascii="Arial" w:cs="Arial" w:eastAsia="Arial" w:hAnsi="Arial"/>
          <w:sz w:val="16"/>
          <w:szCs w:val="16"/>
          <w:color w:val="2A2A2B"/>
        </w:rPr>
        <w:t>,</w:t>
      </w:r>
      <w:r>
        <w:rPr>
          <w:rFonts w:ascii="Arial" w:cs="Arial" w:eastAsia="Arial" w:hAnsi="Arial"/>
          <w:sz w:val="16"/>
          <w:szCs w:val="16"/>
          <w:color w:val="auto"/>
        </w:rPr>
        <w:t xml:space="preserve"> other than </w:t>
      </w:r>
      <w:r>
        <w:rPr>
          <w:rFonts w:ascii="Arial" w:cs="Arial" w:eastAsia="Arial" w:hAnsi="Arial"/>
          <w:sz w:val="16"/>
          <w:szCs w:val="16"/>
          <w:color w:val="110F13"/>
        </w:rPr>
        <w:t>(A) any required filings or approvals under</w:t>
      </w:r>
      <w:r>
        <w:rPr>
          <w:rFonts w:ascii="Arial" w:cs="Arial" w:eastAsia="Arial" w:hAnsi="Arial"/>
          <w:sz w:val="16"/>
          <w:szCs w:val="16"/>
          <w:color w:val="auto"/>
        </w:rPr>
        <w:t xml:space="preserve"> </w:t>
      </w:r>
      <w:r>
        <w:rPr>
          <w:rFonts w:ascii="Arial" w:cs="Arial" w:eastAsia="Arial" w:hAnsi="Arial"/>
          <w:sz w:val="16"/>
          <w:szCs w:val="16"/>
          <w:color w:val="110F13"/>
        </w:rPr>
        <w:t>the HSR Act or any foreign antitrust or competition laws, requirements or regulations in connection with the issuance of shares of Company Common Stock upon the conversion of the Notes or (B) any required filings pursuant to the Exchange Act or the rules of the SEC or the NASDAQ</w:t>
      </w:r>
      <w:r>
        <w:rPr>
          <w:rFonts w:ascii="Arial" w:cs="Arial" w:eastAsia="Arial" w:hAnsi="Arial"/>
          <w:sz w:val="16"/>
          <w:szCs w:val="16"/>
          <w:color w:val="2A2A2B"/>
        </w:rPr>
        <w:t>,</w:t>
      </w:r>
      <w:r>
        <w:rPr>
          <w:rFonts w:ascii="Arial" w:cs="Arial" w:eastAsia="Arial" w:hAnsi="Arial"/>
          <w:sz w:val="16"/>
          <w:szCs w:val="16"/>
          <w:color w:val="110F13"/>
        </w:rPr>
        <w:t xml:space="preserve"> no consent</w:t>
      </w:r>
      <w:r>
        <w:rPr>
          <w:rFonts w:ascii="Arial" w:cs="Arial" w:eastAsia="Arial" w:hAnsi="Arial"/>
          <w:sz w:val="16"/>
          <w:szCs w:val="16"/>
          <w:color w:val="2A2A2B"/>
        </w:rPr>
        <w:t>,</w:t>
      </w:r>
      <w:r>
        <w:rPr>
          <w:rFonts w:ascii="Arial" w:cs="Arial" w:eastAsia="Arial" w:hAnsi="Arial"/>
          <w:sz w:val="16"/>
          <w:szCs w:val="16"/>
          <w:color w:val="110F13"/>
        </w:rPr>
        <w:t xml:space="preserve"> approval</w:t>
      </w:r>
      <w:r>
        <w:rPr>
          <w:rFonts w:ascii="Arial" w:cs="Arial" w:eastAsia="Arial" w:hAnsi="Arial"/>
          <w:sz w:val="16"/>
          <w:szCs w:val="16"/>
          <w:color w:val="2A2A2B"/>
        </w:rPr>
        <w:t>,</w:t>
      </w:r>
      <w:r>
        <w:rPr>
          <w:rFonts w:ascii="Arial" w:cs="Arial" w:eastAsia="Arial" w:hAnsi="Arial"/>
          <w:sz w:val="16"/>
          <w:szCs w:val="16"/>
          <w:color w:val="110F13"/>
        </w:rPr>
        <w:t xml:space="preserve"> order or authorization of</w:t>
      </w:r>
      <w:r>
        <w:rPr>
          <w:rFonts w:ascii="Arial" w:cs="Arial" w:eastAsia="Arial" w:hAnsi="Arial"/>
          <w:sz w:val="16"/>
          <w:szCs w:val="16"/>
          <w:color w:val="2A2A2B"/>
        </w:rPr>
        <w:t>,</w:t>
      </w:r>
      <w:r>
        <w:rPr>
          <w:rFonts w:ascii="Arial" w:cs="Arial" w:eastAsia="Arial" w:hAnsi="Arial"/>
          <w:sz w:val="16"/>
          <w:szCs w:val="16"/>
          <w:color w:val="110F13"/>
        </w:rPr>
        <w:t xml:space="preserve"> or registration</w:t>
      </w:r>
      <w:r>
        <w:rPr>
          <w:rFonts w:ascii="Arial" w:cs="Arial" w:eastAsia="Arial" w:hAnsi="Arial"/>
          <w:sz w:val="16"/>
          <w:szCs w:val="16"/>
          <w:color w:val="2A2A2B"/>
        </w:rPr>
        <w:t>,</w:t>
      </w:r>
      <w:r>
        <w:rPr>
          <w:rFonts w:ascii="Arial" w:cs="Arial" w:eastAsia="Arial" w:hAnsi="Arial"/>
          <w:sz w:val="16"/>
          <w:szCs w:val="16"/>
          <w:color w:val="110F13"/>
        </w:rPr>
        <w:t xml:space="preserve"> declaration or filing with</w:t>
      </w:r>
      <w:r>
        <w:rPr>
          <w:rFonts w:ascii="Arial" w:cs="Arial" w:eastAsia="Arial" w:hAnsi="Arial"/>
          <w:sz w:val="16"/>
          <w:szCs w:val="16"/>
          <w:color w:val="2A2A2B"/>
        </w:rPr>
        <w:t>,</w:t>
      </w:r>
      <w:r>
        <w:rPr>
          <w:rFonts w:ascii="Arial" w:cs="Arial" w:eastAsia="Arial" w:hAnsi="Arial"/>
          <w:sz w:val="16"/>
          <w:szCs w:val="16"/>
          <w:color w:val="110F13"/>
        </w:rPr>
        <w:t xml:space="preserve"> any Governmental Entity is required on the part of the Company or any of its Subsidiaries in connection with the execution, delivery and performance by the Company of the Transaction Documents and the consummation by the </w:t>
      </w:r>
      <w:r>
        <w:rPr>
          <w:rFonts w:ascii="Arial" w:cs="Arial" w:eastAsia="Arial" w:hAnsi="Arial"/>
          <w:sz w:val="16"/>
          <w:szCs w:val="16"/>
          <w:color w:val="000000"/>
        </w:rPr>
        <w:t>Company</w:t>
      </w:r>
      <w:r>
        <w:rPr>
          <w:rFonts w:ascii="Arial" w:cs="Arial" w:eastAsia="Arial" w:hAnsi="Arial"/>
          <w:sz w:val="16"/>
          <w:szCs w:val="16"/>
          <w:color w:val="110F13"/>
        </w:rPr>
        <w:t xml:space="preserve"> of the Transactions</w:t>
      </w:r>
      <w:r>
        <w:rPr>
          <w:rFonts w:ascii="Arial" w:cs="Arial" w:eastAsia="Arial" w:hAnsi="Arial"/>
          <w:sz w:val="16"/>
          <w:szCs w:val="16"/>
          <w:color w:val="2A2A2B"/>
        </w:rPr>
        <w:t>,</w:t>
      </w:r>
      <w:r>
        <w:rPr>
          <w:rFonts w:ascii="Arial" w:cs="Arial" w:eastAsia="Arial" w:hAnsi="Arial"/>
          <w:sz w:val="16"/>
          <w:szCs w:val="16"/>
          <w:color w:val="110F13"/>
        </w:rPr>
        <w:t xml:space="preserve"> except for any consent</w:t>
      </w:r>
      <w:r>
        <w:rPr>
          <w:rFonts w:ascii="Arial" w:cs="Arial" w:eastAsia="Arial" w:hAnsi="Arial"/>
          <w:sz w:val="16"/>
          <w:szCs w:val="16"/>
          <w:color w:val="2A2A2B"/>
        </w:rPr>
        <w:t>,</w:t>
      </w:r>
      <w:r>
        <w:rPr>
          <w:rFonts w:ascii="Arial" w:cs="Arial" w:eastAsia="Arial" w:hAnsi="Arial"/>
          <w:sz w:val="16"/>
          <w:szCs w:val="16"/>
          <w:color w:val="110F13"/>
        </w:rPr>
        <w:t xml:space="preserve"> approval</w:t>
      </w:r>
      <w:r>
        <w:rPr>
          <w:rFonts w:ascii="Arial" w:cs="Arial" w:eastAsia="Arial" w:hAnsi="Arial"/>
          <w:sz w:val="16"/>
          <w:szCs w:val="16"/>
          <w:color w:val="2A2A2B"/>
        </w:rPr>
        <w:t>,</w:t>
      </w:r>
      <w:r>
        <w:rPr>
          <w:rFonts w:ascii="Arial" w:cs="Arial" w:eastAsia="Arial" w:hAnsi="Arial"/>
          <w:sz w:val="16"/>
          <w:szCs w:val="16"/>
          <w:color w:val="110F13"/>
        </w:rPr>
        <w:t xml:space="preserve"> order</w:t>
      </w:r>
      <w:r>
        <w:rPr>
          <w:rFonts w:ascii="Arial" w:cs="Arial" w:eastAsia="Arial" w:hAnsi="Arial"/>
          <w:sz w:val="16"/>
          <w:szCs w:val="16"/>
          <w:color w:val="2A2A2B"/>
        </w:rPr>
        <w:t>,</w:t>
      </w:r>
      <w:r>
        <w:rPr>
          <w:rFonts w:ascii="Arial" w:cs="Arial" w:eastAsia="Arial" w:hAnsi="Arial"/>
          <w:sz w:val="16"/>
          <w:szCs w:val="16"/>
          <w:color w:val="110F13"/>
        </w:rPr>
        <w:t xml:space="preserve"> authorization</w:t>
      </w:r>
      <w:r>
        <w:rPr>
          <w:rFonts w:ascii="Arial" w:cs="Arial" w:eastAsia="Arial" w:hAnsi="Arial"/>
          <w:sz w:val="16"/>
          <w:szCs w:val="16"/>
          <w:color w:val="2A2A2B"/>
        </w:rPr>
        <w:t>,</w:t>
      </w:r>
      <w:r>
        <w:rPr>
          <w:rFonts w:ascii="Arial" w:cs="Arial" w:eastAsia="Arial" w:hAnsi="Arial"/>
          <w:sz w:val="16"/>
          <w:szCs w:val="16"/>
          <w:color w:val="110F13"/>
        </w:rPr>
        <w:t xml:space="preserve"> registration</w:t>
      </w:r>
      <w:r>
        <w:rPr>
          <w:rFonts w:ascii="Arial" w:cs="Arial" w:eastAsia="Arial" w:hAnsi="Arial"/>
          <w:sz w:val="16"/>
          <w:szCs w:val="16"/>
          <w:color w:val="2A2A2B"/>
        </w:rPr>
        <w:t>,</w:t>
      </w:r>
      <w:r>
        <w:rPr>
          <w:rFonts w:ascii="Arial" w:cs="Arial" w:eastAsia="Arial" w:hAnsi="Arial"/>
          <w:sz w:val="16"/>
          <w:szCs w:val="16"/>
          <w:color w:val="110F13"/>
        </w:rPr>
        <w:t xml:space="preserve"> declaration</w:t>
      </w:r>
      <w:r>
        <w:rPr>
          <w:rFonts w:ascii="Arial" w:cs="Arial" w:eastAsia="Arial" w:hAnsi="Arial"/>
          <w:sz w:val="16"/>
          <w:szCs w:val="16"/>
          <w:color w:val="2A2A2B"/>
        </w:rPr>
        <w:t>,</w:t>
      </w:r>
      <w:r>
        <w:rPr>
          <w:rFonts w:ascii="Arial" w:cs="Arial" w:eastAsia="Arial" w:hAnsi="Arial"/>
          <w:sz w:val="16"/>
          <w:szCs w:val="16"/>
          <w:color w:val="110F13"/>
        </w:rPr>
        <w:t xml:space="preserve"> filing</w:t>
      </w:r>
      <w:r>
        <w:rPr>
          <w:rFonts w:ascii="Arial" w:cs="Arial" w:eastAsia="Arial" w:hAnsi="Arial"/>
          <w:sz w:val="16"/>
          <w:szCs w:val="16"/>
          <w:color w:val="2A2A2B"/>
        </w:rPr>
        <w:t>,</w:t>
      </w:r>
      <w:r>
        <w:rPr>
          <w:rFonts w:ascii="Arial" w:cs="Arial" w:eastAsia="Arial" w:hAnsi="Arial"/>
          <w:sz w:val="16"/>
          <w:szCs w:val="16"/>
          <w:color w:val="110F13"/>
        </w:rPr>
        <w:t xml:space="preserve"> exemption or review</w:t>
      </w:r>
      <w:r>
        <w:rPr>
          <w:rFonts w:ascii="Arial" w:cs="Arial" w:eastAsia="Arial" w:hAnsi="Arial"/>
          <w:sz w:val="16"/>
          <w:szCs w:val="16"/>
          <w:color w:val="2A2A2B"/>
        </w:rPr>
        <w:t>,</w:t>
      </w:r>
      <w:r>
        <w:rPr>
          <w:rFonts w:ascii="Arial" w:cs="Arial" w:eastAsia="Arial" w:hAnsi="Arial"/>
          <w:sz w:val="16"/>
          <w:szCs w:val="16"/>
          <w:color w:val="110F13"/>
        </w:rPr>
        <w:t xml:space="preserve"> the failure of which to be obtained or made</w:t>
      </w:r>
      <w:r>
        <w:rPr>
          <w:rFonts w:ascii="Arial" w:cs="Arial" w:eastAsia="Arial" w:hAnsi="Arial"/>
          <w:sz w:val="16"/>
          <w:szCs w:val="16"/>
          <w:color w:val="2A2A2B"/>
        </w:rPr>
        <w:t>,</w:t>
      </w:r>
      <w:r>
        <w:rPr>
          <w:rFonts w:ascii="Arial" w:cs="Arial" w:eastAsia="Arial" w:hAnsi="Arial"/>
          <w:sz w:val="16"/>
          <w:szCs w:val="16"/>
          <w:color w:val="110F13"/>
        </w:rPr>
        <w:t xml:space="preserve"> individually or in the aggregate</w:t>
      </w:r>
      <w:r>
        <w:rPr>
          <w:rFonts w:ascii="Arial" w:cs="Arial" w:eastAsia="Arial" w:hAnsi="Arial"/>
          <w:sz w:val="16"/>
          <w:szCs w:val="16"/>
          <w:color w:val="2A2A2B"/>
        </w:rPr>
        <w:t>,</w:t>
      </w:r>
      <w:r>
        <w:rPr>
          <w:rFonts w:ascii="Arial" w:cs="Arial" w:eastAsia="Arial" w:hAnsi="Arial"/>
          <w:sz w:val="16"/>
          <w:szCs w:val="16"/>
          <w:color w:val="110F13"/>
        </w:rPr>
        <w:t xml:space="preserve"> </w:t>
      </w:r>
      <w:r>
        <w:rPr>
          <w:rFonts w:ascii="Arial" w:cs="Arial" w:eastAsia="Arial" w:hAnsi="Arial"/>
          <w:sz w:val="16"/>
          <w:szCs w:val="16"/>
          <w:color w:val="110E13"/>
        </w:rPr>
        <w:t>would not reasonably be expected to have a Material Adverse Effect and would not materially affect the Company’s ability to comply with its obligations</w:t>
      </w:r>
      <w:r>
        <w:rPr>
          <w:rFonts w:ascii="Arial" w:cs="Arial" w:eastAsia="Arial" w:hAnsi="Arial"/>
          <w:sz w:val="16"/>
          <w:szCs w:val="16"/>
          <w:color w:val="110F13"/>
        </w:rPr>
        <w:t xml:space="preserve"> </w:t>
      </w:r>
      <w:r>
        <w:rPr>
          <w:rFonts w:ascii="Arial" w:cs="Arial" w:eastAsia="Arial" w:hAnsi="Arial"/>
          <w:sz w:val="16"/>
          <w:szCs w:val="16"/>
          <w:color w:val="110E13"/>
        </w:rPr>
        <w:t>under the Notes or this Agreement. No vote or approval of the Company’s stockholders is or will be required under NASDAQ rules with respect to the issuance of Company Common Stock contemplated hereunder or under the Notes.</w:t>
      </w:r>
    </w:p>
    <w:p>
      <w:pPr>
        <w:spacing w:after="0" w:line="145" w:lineRule="exact"/>
        <w:rPr>
          <w:sz w:val="20"/>
          <w:szCs w:val="20"/>
          <w:color w:val="auto"/>
        </w:rPr>
      </w:pPr>
    </w:p>
    <w:p>
      <w:pPr>
        <w:ind w:left="1060" w:hanging="546"/>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Report</w:t>
      </w:r>
      <w:r>
        <w:rPr>
          <w:rFonts w:ascii="Arial" w:cs="Arial" w:eastAsia="Arial" w:hAnsi="Arial"/>
          <w:sz w:val="17"/>
          <w:szCs w:val="17"/>
          <w:color w:val="2A282B"/>
        </w:rPr>
        <w:t>s</w:t>
      </w:r>
      <w:r>
        <w:rPr>
          <w:rFonts w:ascii="Arial" w:cs="Arial" w:eastAsia="Arial" w:hAnsi="Arial"/>
          <w:sz w:val="17"/>
          <w:szCs w:val="17"/>
          <w:color w:val="auto"/>
        </w:rPr>
        <w:t>; Financial Statements.</w:t>
      </w:r>
    </w:p>
    <w:p>
      <w:pPr>
        <w:spacing w:after="0" w:line="175" w:lineRule="exact"/>
        <w:rPr>
          <w:rFonts w:ascii="Arial" w:cs="Arial" w:eastAsia="Arial" w:hAnsi="Arial"/>
          <w:sz w:val="17"/>
          <w:szCs w:val="17"/>
          <w:color w:val="auto"/>
        </w:rPr>
      </w:pPr>
    </w:p>
    <w:p>
      <w:pPr>
        <w:ind w:left="520" w:right="200" w:firstLine="510"/>
        <w:spacing w:after="0" w:line="251" w:lineRule="auto"/>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color w:val="110E13"/>
        </w:rPr>
        <w:t>The Company has filed or furnished with the SEC</w:t>
      </w:r>
      <w:r>
        <w:rPr>
          <w:rFonts w:ascii="Arial" w:cs="Arial" w:eastAsia="Arial" w:hAnsi="Arial"/>
          <w:sz w:val="17"/>
          <w:szCs w:val="17"/>
          <w:color w:val="2A282B"/>
        </w:rPr>
        <w:t>,</w:t>
      </w:r>
      <w:r>
        <w:rPr>
          <w:rFonts w:ascii="Arial" w:cs="Arial" w:eastAsia="Arial" w:hAnsi="Arial"/>
          <w:sz w:val="17"/>
          <w:szCs w:val="17"/>
          <w:color w:val="auto"/>
        </w:rPr>
        <w:t xml:space="preserve"> </w:t>
      </w:r>
      <w:r>
        <w:rPr>
          <w:rFonts w:ascii="Arial" w:cs="Arial" w:eastAsia="Arial" w:hAnsi="Arial"/>
          <w:sz w:val="17"/>
          <w:szCs w:val="17"/>
          <w:color w:val="110E13"/>
        </w:rPr>
        <w:t>as applicable</w:t>
      </w:r>
      <w:r>
        <w:rPr>
          <w:rFonts w:ascii="Arial" w:cs="Arial" w:eastAsia="Arial" w:hAnsi="Arial"/>
          <w:sz w:val="17"/>
          <w:szCs w:val="17"/>
          <w:color w:val="2A282B"/>
        </w:rPr>
        <w:t>,</w:t>
      </w:r>
      <w:r>
        <w:rPr>
          <w:rFonts w:ascii="Arial" w:cs="Arial" w:eastAsia="Arial" w:hAnsi="Arial"/>
          <w:sz w:val="17"/>
          <w:szCs w:val="17"/>
          <w:color w:val="auto"/>
        </w:rPr>
        <w:t xml:space="preserve"> </w:t>
      </w:r>
      <w:r>
        <w:rPr>
          <w:rFonts w:ascii="Arial" w:cs="Arial" w:eastAsia="Arial" w:hAnsi="Arial"/>
          <w:sz w:val="17"/>
          <w:szCs w:val="17"/>
          <w:color w:val="110E13"/>
        </w:rPr>
        <w:t>its annual report on Form 10-K for the fiscal year ended December 31</w:t>
      </w:r>
      <w:r>
        <w:rPr>
          <w:rFonts w:ascii="Arial" w:cs="Arial" w:eastAsia="Arial" w:hAnsi="Arial"/>
          <w:sz w:val="17"/>
          <w:szCs w:val="17"/>
          <w:color w:val="2A282B"/>
        </w:rPr>
        <w:t>,</w:t>
      </w:r>
      <w:r>
        <w:rPr>
          <w:rFonts w:ascii="Arial" w:cs="Arial" w:eastAsia="Arial" w:hAnsi="Arial"/>
          <w:sz w:val="17"/>
          <w:szCs w:val="17"/>
          <w:color w:val="auto"/>
        </w:rPr>
        <w:t xml:space="preserve"> </w:t>
      </w:r>
      <w:r>
        <w:rPr>
          <w:rFonts w:ascii="Arial" w:cs="Arial" w:eastAsia="Arial" w:hAnsi="Arial"/>
          <w:sz w:val="17"/>
          <w:szCs w:val="17"/>
          <w:color w:val="110E13"/>
        </w:rPr>
        <w:t>2020</w:t>
      </w:r>
      <w:r>
        <w:rPr>
          <w:rFonts w:ascii="Arial" w:cs="Arial" w:eastAsia="Arial" w:hAnsi="Arial"/>
          <w:sz w:val="17"/>
          <w:szCs w:val="17"/>
          <w:color w:val="2A282B"/>
        </w:rPr>
        <w:t>,</w:t>
      </w:r>
      <w:r>
        <w:rPr>
          <w:rFonts w:ascii="Arial" w:cs="Arial" w:eastAsia="Arial" w:hAnsi="Arial"/>
          <w:sz w:val="17"/>
          <w:szCs w:val="17"/>
          <w:color w:val="110E13"/>
        </w:rPr>
        <w:t xml:space="preserve"> its quarterly report on Form 10-Q for its fiscal quarter ended March 31</w:t>
      </w:r>
      <w:r>
        <w:rPr>
          <w:rFonts w:ascii="Arial" w:cs="Arial" w:eastAsia="Arial" w:hAnsi="Arial"/>
          <w:sz w:val="17"/>
          <w:szCs w:val="17"/>
          <w:color w:val="2A282B"/>
        </w:rPr>
        <w:t>,</w:t>
      </w:r>
      <w:r>
        <w:rPr>
          <w:rFonts w:ascii="Arial" w:cs="Arial" w:eastAsia="Arial" w:hAnsi="Arial"/>
          <w:sz w:val="17"/>
          <w:szCs w:val="17"/>
          <w:color w:val="110E13"/>
        </w:rPr>
        <w:t xml:space="preserve"> 2021</w:t>
      </w:r>
      <w:r>
        <w:rPr>
          <w:rFonts w:ascii="Arial" w:cs="Arial" w:eastAsia="Arial" w:hAnsi="Arial"/>
          <w:sz w:val="17"/>
          <w:szCs w:val="17"/>
          <w:color w:val="2A282B"/>
        </w:rPr>
        <w:t>,</w:t>
      </w:r>
      <w:r>
        <w:rPr>
          <w:rFonts w:ascii="Arial" w:cs="Arial" w:eastAsia="Arial" w:hAnsi="Arial"/>
          <w:sz w:val="17"/>
          <w:szCs w:val="17"/>
          <w:color w:val="110E13"/>
        </w:rPr>
        <w:t xml:space="preserve"> its definitive proxy statement relating to the annual meeting of the stockholders of the Company held in 2021 and all other forms</w:t>
      </w:r>
      <w:r>
        <w:rPr>
          <w:rFonts w:ascii="Arial" w:cs="Arial" w:eastAsia="Arial" w:hAnsi="Arial"/>
          <w:sz w:val="17"/>
          <w:szCs w:val="17"/>
          <w:color w:val="2A282B"/>
        </w:rPr>
        <w:t>,</w:t>
      </w:r>
      <w:r>
        <w:rPr>
          <w:rFonts w:ascii="Arial" w:cs="Arial" w:eastAsia="Arial" w:hAnsi="Arial"/>
          <w:sz w:val="17"/>
          <w:szCs w:val="17"/>
          <w:color w:val="110E13"/>
        </w:rPr>
        <w:t xml:space="preserve"> reports</w:t>
      </w:r>
      <w:r>
        <w:rPr>
          <w:rFonts w:ascii="Arial" w:cs="Arial" w:eastAsia="Arial" w:hAnsi="Arial"/>
          <w:sz w:val="17"/>
          <w:szCs w:val="17"/>
          <w:color w:val="2A282B"/>
        </w:rPr>
        <w:t>,</w:t>
      </w:r>
      <w:r>
        <w:rPr>
          <w:rFonts w:ascii="Arial" w:cs="Arial" w:eastAsia="Arial" w:hAnsi="Arial"/>
          <w:sz w:val="17"/>
          <w:szCs w:val="17"/>
          <w:color w:val="110E13"/>
        </w:rPr>
        <w:t xml:space="preserve"> schedules and other statements required to be filed or furnished by it with the SEC under the Exchange Act or the Securities Act since December 31</w:t>
      </w:r>
      <w:r>
        <w:rPr>
          <w:rFonts w:ascii="Arial" w:cs="Arial" w:eastAsia="Arial" w:hAnsi="Arial"/>
          <w:sz w:val="17"/>
          <w:szCs w:val="17"/>
          <w:color w:val="3F3F41"/>
        </w:rPr>
        <w:t>,</w:t>
      </w:r>
      <w:r>
        <w:rPr>
          <w:rFonts w:ascii="Arial" w:cs="Arial" w:eastAsia="Arial" w:hAnsi="Arial"/>
          <w:sz w:val="17"/>
          <w:szCs w:val="17"/>
          <w:color w:val="110E13"/>
        </w:rPr>
        <w:t xml:space="preserve"> 2020 (collectively</w:t>
      </w:r>
      <w:r>
        <w:rPr>
          <w:rFonts w:ascii="Arial" w:cs="Arial" w:eastAsia="Arial" w:hAnsi="Arial"/>
          <w:sz w:val="17"/>
          <w:szCs w:val="17"/>
          <w:color w:val="2A282B"/>
        </w:rPr>
        <w:t>,</w:t>
      </w:r>
      <w:r>
        <w:rPr>
          <w:rFonts w:ascii="Arial" w:cs="Arial" w:eastAsia="Arial" w:hAnsi="Arial"/>
          <w:sz w:val="17"/>
          <w:szCs w:val="17"/>
          <w:color w:val="110E13"/>
        </w:rPr>
        <w:t xml:space="preserve"> the </w:t>
      </w:r>
      <w:r>
        <w:rPr>
          <w:rFonts w:ascii="Arial" w:cs="Arial" w:eastAsia="Arial" w:hAnsi="Arial"/>
          <w:sz w:val="17"/>
          <w:szCs w:val="17"/>
          <w:b w:val="1"/>
          <w:bCs w:val="1"/>
          <w:color w:val="2A282B"/>
        </w:rPr>
        <w:t>“</w:t>
      </w:r>
      <w:r>
        <w:rPr>
          <w:rFonts w:ascii="Arial" w:cs="Arial" w:eastAsia="Arial" w:hAnsi="Arial"/>
          <w:sz w:val="17"/>
          <w:szCs w:val="17"/>
          <w:b w:val="1"/>
          <w:bCs w:val="1"/>
          <w:color w:val="110E13"/>
        </w:rPr>
        <w:t>Company Reports”)</w:t>
      </w:r>
      <w:r>
        <w:rPr>
          <w:rFonts w:ascii="Arial" w:cs="Arial" w:eastAsia="Arial" w:hAnsi="Arial"/>
          <w:sz w:val="17"/>
          <w:szCs w:val="17"/>
          <w:color w:val="110E13"/>
        </w:rPr>
        <w:t>. As of its respective date</w:t>
      </w:r>
      <w:r>
        <w:rPr>
          <w:rFonts w:ascii="Arial" w:cs="Arial" w:eastAsia="Arial" w:hAnsi="Arial"/>
          <w:sz w:val="17"/>
          <w:szCs w:val="17"/>
          <w:color w:val="2A282B"/>
        </w:rPr>
        <w:t>,</w:t>
      </w:r>
      <w:r>
        <w:rPr>
          <w:rFonts w:ascii="Arial" w:cs="Arial" w:eastAsia="Arial" w:hAnsi="Arial"/>
          <w:sz w:val="17"/>
          <w:szCs w:val="17"/>
          <w:color w:val="110E13"/>
        </w:rPr>
        <w:t xml:space="preserve"> and</w:t>
      </w:r>
      <w:r>
        <w:rPr>
          <w:rFonts w:ascii="Arial" w:cs="Arial" w:eastAsia="Arial" w:hAnsi="Arial"/>
          <w:sz w:val="17"/>
          <w:szCs w:val="17"/>
          <w:color w:val="2A282B"/>
        </w:rPr>
        <w:t>,</w:t>
      </w:r>
      <w:r>
        <w:rPr>
          <w:rFonts w:ascii="Arial" w:cs="Arial" w:eastAsia="Arial" w:hAnsi="Arial"/>
          <w:sz w:val="17"/>
          <w:szCs w:val="17"/>
          <w:color w:val="110E13"/>
        </w:rPr>
        <w:t xml:space="preserve"> if amended</w:t>
      </w:r>
      <w:r>
        <w:rPr>
          <w:rFonts w:ascii="Arial" w:cs="Arial" w:eastAsia="Arial" w:hAnsi="Arial"/>
          <w:sz w:val="17"/>
          <w:szCs w:val="17"/>
          <w:color w:val="2A282B"/>
        </w:rPr>
        <w:t>,</w:t>
      </w:r>
      <w:r>
        <w:rPr>
          <w:rFonts w:ascii="Arial" w:cs="Arial" w:eastAsia="Arial" w:hAnsi="Arial"/>
          <w:sz w:val="17"/>
          <w:szCs w:val="17"/>
          <w:color w:val="110E13"/>
        </w:rPr>
        <w:t xml:space="preserve"> as of the date of the last such amendment</w:t>
      </w:r>
      <w:r>
        <w:rPr>
          <w:rFonts w:ascii="Arial" w:cs="Arial" w:eastAsia="Arial" w:hAnsi="Arial"/>
          <w:sz w:val="17"/>
          <w:szCs w:val="17"/>
          <w:color w:val="2A282B"/>
        </w:rPr>
        <w:t>,</w:t>
      </w:r>
      <w:r>
        <w:rPr>
          <w:rFonts w:ascii="Arial" w:cs="Arial" w:eastAsia="Arial" w:hAnsi="Arial"/>
          <w:sz w:val="17"/>
          <w:szCs w:val="17"/>
          <w:color w:val="110E13"/>
        </w:rPr>
        <w:t xml:space="preserve"> each Company Report complied in all material respects as to form with the applicable requirements of the Securities Act and the Exchange Act</w:t>
      </w:r>
      <w:r>
        <w:rPr>
          <w:rFonts w:ascii="Arial" w:cs="Arial" w:eastAsia="Arial" w:hAnsi="Arial"/>
          <w:sz w:val="17"/>
          <w:szCs w:val="17"/>
          <w:color w:val="2A282B"/>
        </w:rPr>
        <w:t>,</w:t>
      </w:r>
      <w:r>
        <w:rPr>
          <w:rFonts w:ascii="Arial" w:cs="Arial" w:eastAsia="Arial" w:hAnsi="Arial"/>
          <w:sz w:val="17"/>
          <w:szCs w:val="17"/>
          <w:color w:val="110E13"/>
        </w:rPr>
        <w:t xml:space="preserve"> and any rules and regulations promulgated thereunder applicable to such Company Report. As of its respective date</w:t>
      </w:r>
      <w:r>
        <w:rPr>
          <w:rFonts w:ascii="Arial" w:cs="Arial" w:eastAsia="Arial" w:hAnsi="Arial"/>
          <w:sz w:val="17"/>
          <w:szCs w:val="17"/>
          <w:color w:val="2A282B"/>
        </w:rPr>
        <w:t>,</w:t>
      </w:r>
      <w:r>
        <w:rPr>
          <w:rFonts w:ascii="Arial" w:cs="Arial" w:eastAsia="Arial" w:hAnsi="Arial"/>
          <w:sz w:val="17"/>
          <w:szCs w:val="17"/>
          <w:color w:val="110E13"/>
        </w:rPr>
        <w:t xml:space="preserve"> and</w:t>
      </w:r>
      <w:r>
        <w:rPr>
          <w:rFonts w:ascii="Arial" w:cs="Arial" w:eastAsia="Arial" w:hAnsi="Arial"/>
          <w:sz w:val="17"/>
          <w:szCs w:val="17"/>
          <w:color w:val="2A282B"/>
        </w:rPr>
        <w:t>,</w:t>
      </w:r>
      <w:r>
        <w:rPr>
          <w:rFonts w:ascii="Arial" w:cs="Arial" w:eastAsia="Arial" w:hAnsi="Arial"/>
          <w:sz w:val="17"/>
          <w:szCs w:val="17"/>
          <w:color w:val="110E13"/>
        </w:rPr>
        <w:t xml:space="preserve"> if amended</w:t>
      </w:r>
      <w:r>
        <w:rPr>
          <w:rFonts w:ascii="Arial" w:cs="Arial" w:eastAsia="Arial" w:hAnsi="Arial"/>
          <w:sz w:val="17"/>
          <w:szCs w:val="17"/>
          <w:color w:val="2A282B"/>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60"/>
          </w:cols>
          <w:pgMar w:left="300" w:top="1152" w:right="339" w:bottom="1440" w:gutter="0" w:footer="0" w:header="0"/>
        </w:sectPr>
      </w:pPr>
    </w:p>
    <w:bookmarkStart w:id="144" w:name="page145"/>
    <w:bookmarkEnd w:id="144"/>
    <w:p>
      <w:pPr>
        <w:ind w:left="340" w:right="100"/>
        <w:spacing w:after="0" w:line="340" w:lineRule="auto"/>
        <w:rPr>
          <w:sz w:val="20"/>
          <w:szCs w:val="20"/>
          <w:color w:val="auto"/>
        </w:rPr>
      </w:pPr>
      <w:r>
        <w:rPr>
          <w:rFonts w:ascii="Arial" w:cs="Arial" w:eastAsia="Arial" w:hAnsi="Arial"/>
          <w:sz w:val="15"/>
          <w:szCs w:val="15"/>
          <w:color w:val="110E13"/>
        </w:rPr>
        <w:t>as of the date of the last such amendment</w:t>
      </w:r>
      <w:r>
        <w:rPr>
          <w:rFonts w:ascii="Arial" w:cs="Arial" w:eastAsia="Arial" w:hAnsi="Arial"/>
          <w:sz w:val="15"/>
          <w:szCs w:val="15"/>
          <w:color w:val="2A282B"/>
        </w:rPr>
        <w:t>,</w:t>
      </w:r>
      <w:r>
        <w:rPr>
          <w:rFonts w:ascii="Arial" w:cs="Arial" w:eastAsia="Arial" w:hAnsi="Arial"/>
          <w:sz w:val="15"/>
          <w:szCs w:val="15"/>
          <w:color w:val="110E13"/>
        </w:rPr>
        <w:t xml:space="preserve"> no Company Report contained any untrue statement of a material fact or omitted to state a material fact required to be stated therein or necessary to make the statements made therein</w:t>
      </w:r>
      <w:r>
        <w:rPr>
          <w:rFonts w:ascii="Arial" w:cs="Arial" w:eastAsia="Arial" w:hAnsi="Arial"/>
          <w:sz w:val="15"/>
          <w:szCs w:val="15"/>
          <w:color w:val="3F3F41"/>
        </w:rPr>
        <w:t>,</w:t>
      </w:r>
      <w:r>
        <w:rPr>
          <w:rFonts w:ascii="Arial" w:cs="Arial" w:eastAsia="Arial" w:hAnsi="Arial"/>
          <w:sz w:val="15"/>
          <w:szCs w:val="15"/>
          <w:color w:val="110E13"/>
        </w:rPr>
        <w:t xml:space="preserve"> in the light of the circumstances in which they were made</w:t>
      </w:r>
      <w:r>
        <w:rPr>
          <w:rFonts w:ascii="Arial" w:cs="Arial" w:eastAsia="Arial" w:hAnsi="Arial"/>
          <w:sz w:val="15"/>
          <w:szCs w:val="15"/>
          <w:color w:val="2A282B"/>
        </w:rPr>
        <w:t>,</w:t>
      </w:r>
      <w:r>
        <w:rPr>
          <w:rFonts w:ascii="Arial" w:cs="Arial" w:eastAsia="Arial" w:hAnsi="Arial"/>
          <w:sz w:val="15"/>
          <w:szCs w:val="15"/>
          <w:color w:val="110E13"/>
        </w:rPr>
        <w:t xml:space="preserve"> not misleading.</w:t>
      </w:r>
    </w:p>
    <w:p>
      <w:pPr>
        <w:spacing w:after="0" w:line="95" w:lineRule="exact"/>
        <w:rPr>
          <w:sz w:val="20"/>
          <w:szCs w:val="20"/>
          <w:color w:val="auto"/>
        </w:rPr>
      </w:pPr>
    </w:p>
    <w:p>
      <w:pPr>
        <w:ind w:left="340" w:right="60" w:firstLine="504"/>
        <w:spacing w:after="0" w:line="268" w:lineRule="auto"/>
        <w:tabs>
          <w:tab w:leader="none" w:pos="1358" w:val="left"/>
        </w:tabs>
        <w:numPr>
          <w:ilvl w:val="1"/>
          <w:numId w:val="90"/>
        </w:numPr>
        <w:rPr>
          <w:rFonts w:ascii="Arial" w:cs="Arial" w:eastAsia="Arial" w:hAnsi="Arial"/>
          <w:sz w:val="16"/>
          <w:szCs w:val="16"/>
          <w:color w:val="auto"/>
        </w:rPr>
      </w:pPr>
      <w:r>
        <w:rPr>
          <w:rFonts w:ascii="Arial" w:cs="Arial" w:eastAsia="Arial" w:hAnsi="Arial"/>
          <w:sz w:val="16"/>
          <w:szCs w:val="16"/>
          <w:color w:val="110E13"/>
        </w:rPr>
        <w:t>Each of the consolidated balance sheets</w:t>
      </w:r>
      <w:r>
        <w:rPr>
          <w:rFonts w:ascii="Arial" w:cs="Arial" w:eastAsia="Arial" w:hAnsi="Arial"/>
          <w:sz w:val="16"/>
          <w:szCs w:val="16"/>
          <w:color w:val="2A282B"/>
        </w:rPr>
        <w:t>,</w:t>
      </w:r>
      <w:r>
        <w:rPr>
          <w:rFonts w:ascii="Arial" w:cs="Arial" w:eastAsia="Arial" w:hAnsi="Arial"/>
          <w:sz w:val="16"/>
          <w:szCs w:val="16"/>
          <w:color w:val="110E13"/>
        </w:rPr>
        <w:t xml:space="preserve"> and the related consolidated statements of operations</w:t>
      </w:r>
      <w:r>
        <w:rPr>
          <w:rFonts w:ascii="Arial" w:cs="Arial" w:eastAsia="Arial" w:hAnsi="Arial"/>
          <w:sz w:val="16"/>
          <w:szCs w:val="16"/>
          <w:color w:val="2A282B"/>
        </w:rPr>
        <w:t>,</w:t>
      </w:r>
      <w:r>
        <w:rPr>
          <w:rFonts w:ascii="Arial" w:cs="Arial" w:eastAsia="Arial" w:hAnsi="Arial"/>
          <w:sz w:val="16"/>
          <w:szCs w:val="16"/>
          <w:color w:val="110E13"/>
        </w:rPr>
        <w:t xml:space="preserve"> shareholders’ equity (deficit) and consolidated statement of cash flows</w:t>
      </w:r>
      <w:r>
        <w:rPr>
          <w:rFonts w:ascii="Arial" w:cs="Arial" w:eastAsia="Arial" w:hAnsi="Arial"/>
          <w:sz w:val="16"/>
          <w:szCs w:val="16"/>
          <w:color w:val="2A282B"/>
        </w:rPr>
        <w:t>,</w:t>
      </w:r>
      <w:r>
        <w:rPr>
          <w:rFonts w:ascii="Arial" w:cs="Arial" w:eastAsia="Arial" w:hAnsi="Arial"/>
          <w:sz w:val="16"/>
          <w:szCs w:val="16"/>
          <w:color w:val="110E13"/>
        </w:rPr>
        <w:t xml:space="preserve"> included in the Company Reports filed with the SEC under the Exchange Act have been prepared from</w:t>
      </w:r>
      <w:r>
        <w:rPr>
          <w:rFonts w:ascii="Arial" w:cs="Arial" w:eastAsia="Arial" w:hAnsi="Arial"/>
          <w:sz w:val="16"/>
          <w:szCs w:val="16"/>
          <w:color w:val="2A282B"/>
        </w:rPr>
        <w:t>,</w:t>
      </w:r>
      <w:r>
        <w:rPr>
          <w:rFonts w:ascii="Arial" w:cs="Arial" w:eastAsia="Arial" w:hAnsi="Arial"/>
          <w:sz w:val="16"/>
          <w:szCs w:val="16"/>
          <w:color w:val="110E13"/>
        </w:rPr>
        <w:t xml:space="preserve"> and are in accordance with</w:t>
      </w:r>
      <w:r>
        <w:rPr>
          <w:rFonts w:ascii="Arial" w:cs="Arial" w:eastAsia="Arial" w:hAnsi="Arial"/>
          <w:sz w:val="16"/>
          <w:szCs w:val="16"/>
          <w:color w:val="2A282B"/>
        </w:rPr>
        <w:t>,</w:t>
      </w:r>
      <w:r>
        <w:rPr>
          <w:rFonts w:ascii="Arial" w:cs="Arial" w:eastAsia="Arial" w:hAnsi="Arial"/>
          <w:sz w:val="16"/>
          <w:szCs w:val="16"/>
          <w:color w:val="110E13"/>
        </w:rPr>
        <w:t xml:space="preserve"> the books and records of the Company and its Subsidiaries</w:t>
      </w:r>
      <w:r>
        <w:rPr>
          <w:rFonts w:ascii="Arial" w:cs="Arial" w:eastAsia="Arial" w:hAnsi="Arial"/>
          <w:sz w:val="16"/>
          <w:szCs w:val="16"/>
          <w:color w:val="2A282B"/>
        </w:rPr>
        <w:t>,</w:t>
      </w:r>
      <w:r>
        <w:rPr>
          <w:rFonts w:ascii="Arial" w:cs="Arial" w:eastAsia="Arial" w:hAnsi="Arial"/>
          <w:sz w:val="16"/>
          <w:szCs w:val="16"/>
          <w:color w:val="110E13"/>
        </w:rPr>
        <w:t xml:space="preserve"> fairly present in all material respects the consolidated financial position of the Company and its consolidated Subsidiaries as of the dates shown and the results of the consolidated operations</w:t>
      </w:r>
      <w:r>
        <w:rPr>
          <w:rFonts w:ascii="Arial" w:cs="Arial" w:eastAsia="Arial" w:hAnsi="Arial"/>
          <w:sz w:val="16"/>
          <w:szCs w:val="16"/>
          <w:color w:val="2A282B"/>
        </w:rPr>
        <w:t>,</w:t>
      </w:r>
      <w:r>
        <w:rPr>
          <w:rFonts w:ascii="Arial" w:cs="Arial" w:eastAsia="Arial" w:hAnsi="Arial"/>
          <w:sz w:val="16"/>
          <w:szCs w:val="16"/>
          <w:color w:val="110E13"/>
        </w:rPr>
        <w:t xml:space="preserve"> changes in stockholders </w:t>
      </w:r>
      <w:r>
        <w:rPr>
          <w:rFonts w:ascii="Arial" w:cs="Arial" w:eastAsia="Arial" w:hAnsi="Arial"/>
          <w:sz w:val="16"/>
          <w:szCs w:val="16"/>
          <w:color w:val="2A282B"/>
        </w:rPr>
        <w:t>‘</w:t>
      </w:r>
      <w:r>
        <w:rPr>
          <w:rFonts w:ascii="Arial" w:cs="Arial" w:eastAsia="Arial" w:hAnsi="Arial"/>
          <w:sz w:val="16"/>
          <w:szCs w:val="16"/>
          <w:color w:val="110E13"/>
        </w:rPr>
        <w:t xml:space="preserve"> equity and cash flows of the Company and its consolidated Subsidiaries for the respective fiscal periods or as of the respective dates therein set forth</w:t>
      </w:r>
      <w:r>
        <w:rPr>
          <w:rFonts w:ascii="Arial" w:cs="Arial" w:eastAsia="Arial" w:hAnsi="Arial"/>
          <w:sz w:val="16"/>
          <w:szCs w:val="16"/>
          <w:color w:val="2A282B"/>
        </w:rPr>
        <w:t>,</w:t>
      </w:r>
      <w:r>
        <w:rPr>
          <w:rFonts w:ascii="Arial" w:cs="Arial" w:eastAsia="Arial" w:hAnsi="Arial"/>
          <w:sz w:val="16"/>
          <w:szCs w:val="16"/>
          <w:color w:val="110E13"/>
        </w:rPr>
        <w:t xml:space="preserve"> subject</w:t>
      </w:r>
      <w:r>
        <w:rPr>
          <w:rFonts w:ascii="Arial" w:cs="Arial" w:eastAsia="Arial" w:hAnsi="Arial"/>
          <w:sz w:val="16"/>
          <w:szCs w:val="16"/>
          <w:color w:val="2A282B"/>
        </w:rPr>
        <w:t>,</w:t>
      </w:r>
      <w:r>
        <w:rPr>
          <w:rFonts w:ascii="Arial" w:cs="Arial" w:eastAsia="Arial" w:hAnsi="Arial"/>
          <w:sz w:val="16"/>
          <w:szCs w:val="16"/>
          <w:color w:val="110E13"/>
        </w:rPr>
        <w:t xml:space="preserve"> in the case of any unaudited financial statements, to normal recurring year-end audit adjustments</w:t>
      </w:r>
      <w:r>
        <w:rPr>
          <w:rFonts w:ascii="Arial" w:cs="Arial" w:eastAsia="Arial" w:hAnsi="Arial"/>
          <w:sz w:val="16"/>
          <w:szCs w:val="16"/>
          <w:color w:val="2A282B"/>
        </w:rPr>
        <w:t>,</w:t>
      </w:r>
      <w:r>
        <w:rPr>
          <w:rFonts w:ascii="Arial" w:cs="Arial" w:eastAsia="Arial" w:hAnsi="Arial"/>
          <w:sz w:val="16"/>
          <w:szCs w:val="16"/>
          <w:color w:val="110E13"/>
        </w:rPr>
        <w:t xml:space="preserve"> have been prepared in accordance with GAAP consistently applied during the periods involved</w:t>
      </w:r>
      <w:r>
        <w:rPr>
          <w:rFonts w:ascii="Arial" w:cs="Arial" w:eastAsia="Arial" w:hAnsi="Arial"/>
          <w:sz w:val="16"/>
          <w:szCs w:val="16"/>
          <w:color w:val="2A282B"/>
        </w:rPr>
        <w:t>,</w:t>
      </w:r>
      <w:r>
        <w:rPr>
          <w:rFonts w:ascii="Arial" w:cs="Arial" w:eastAsia="Arial" w:hAnsi="Arial"/>
          <w:sz w:val="16"/>
          <w:szCs w:val="16"/>
          <w:color w:val="110E13"/>
        </w:rPr>
        <w:t xml:space="preserve"> and in the case of unaudited financial statements except for the absence of footnote disclosure</w:t>
      </w:r>
      <w:r>
        <w:rPr>
          <w:rFonts w:ascii="Arial" w:cs="Arial" w:eastAsia="Arial" w:hAnsi="Arial"/>
          <w:sz w:val="16"/>
          <w:szCs w:val="16"/>
          <w:color w:val="2A282B"/>
        </w:rPr>
        <w:t>,</w:t>
      </w:r>
      <w:r>
        <w:rPr>
          <w:rFonts w:ascii="Arial" w:cs="Arial" w:eastAsia="Arial" w:hAnsi="Arial"/>
          <w:sz w:val="16"/>
          <w:szCs w:val="16"/>
          <w:color w:val="110E13"/>
        </w:rPr>
        <w:t xml:space="preserve"> and otherwise comply in all material respects with the requirements of the SEC.</w:t>
      </w:r>
    </w:p>
    <w:p>
      <w:pPr>
        <w:spacing w:after="0" w:line="138" w:lineRule="exact"/>
        <w:rPr>
          <w:rFonts w:ascii="Arial" w:cs="Arial" w:eastAsia="Arial" w:hAnsi="Arial"/>
          <w:sz w:val="16"/>
          <w:szCs w:val="16"/>
          <w:color w:val="auto"/>
        </w:rPr>
      </w:pPr>
    </w:p>
    <w:p>
      <w:pPr>
        <w:ind w:left="340" w:right="240" w:firstLine="504"/>
        <w:spacing w:after="0" w:line="310" w:lineRule="auto"/>
        <w:tabs>
          <w:tab w:leader="none" w:pos="1352" w:val="left"/>
        </w:tabs>
        <w:numPr>
          <w:ilvl w:val="1"/>
          <w:numId w:val="90"/>
        </w:numPr>
        <w:rPr>
          <w:rFonts w:ascii="Arial" w:cs="Arial" w:eastAsia="Arial" w:hAnsi="Arial"/>
          <w:sz w:val="15"/>
          <w:szCs w:val="15"/>
          <w:color w:val="auto"/>
        </w:rPr>
      </w:pPr>
      <w:r>
        <w:rPr>
          <w:rFonts w:ascii="Arial" w:cs="Arial" w:eastAsia="Arial" w:hAnsi="Arial"/>
          <w:sz w:val="15"/>
          <w:szCs w:val="15"/>
          <w:color w:val="110E13"/>
        </w:rPr>
        <w:t>Except as disclosed in Company Reports, the Company and its Subsidiaries have established and maintained a system of internal controls over financial reporting (as defined in Rule 13a-15 under the Exchange Act) sufficient to provide reasonable assurance regarding the reliability of the Company’s financial reporting and the preparation of Company financial statements for external purposes in accordance with GAAP.</w:t>
      </w:r>
    </w:p>
    <w:p>
      <w:pPr>
        <w:spacing w:after="0" w:line="116" w:lineRule="exact"/>
        <w:rPr>
          <w:rFonts w:ascii="Arial" w:cs="Arial" w:eastAsia="Arial" w:hAnsi="Arial"/>
          <w:sz w:val="15"/>
          <w:szCs w:val="15"/>
          <w:color w:val="auto"/>
        </w:rPr>
      </w:pPr>
    </w:p>
    <w:p>
      <w:pPr>
        <w:ind w:left="-180" w:right="240" w:firstLine="514"/>
        <w:spacing w:after="0" w:line="259" w:lineRule="auto"/>
        <w:tabs>
          <w:tab w:leader="none" w:pos="881"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Absenc</w:t>
      </w:r>
      <w:r>
        <w:rPr>
          <w:rFonts w:ascii="Arial" w:cs="Arial" w:eastAsia="Arial" w:hAnsi="Arial"/>
          <w:sz w:val="17"/>
          <w:szCs w:val="17"/>
          <w:i w:val="1"/>
          <w:iCs w:val="1"/>
          <w:color w:val="2A2A2D"/>
        </w:rPr>
        <w:t>e</w:t>
      </w:r>
      <w:r>
        <w:rPr>
          <w:rFonts w:ascii="Arial" w:cs="Arial" w:eastAsia="Arial" w:hAnsi="Arial"/>
          <w:sz w:val="17"/>
          <w:szCs w:val="17"/>
          <w:i w:val="1"/>
          <w:iCs w:val="1"/>
          <w:color w:val="auto"/>
        </w:rPr>
        <w:t xml:space="preserve"> of C</w:t>
      </w:r>
      <w:r>
        <w:rPr>
          <w:rFonts w:ascii="Arial" w:cs="Arial" w:eastAsia="Arial" w:hAnsi="Arial"/>
          <w:sz w:val="17"/>
          <w:szCs w:val="17"/>
          <w:i w:val="1"/>
          <w:iCs w:val="1"/>
          <w:color w:val="2A2A2D"/>
        </w:rPr>
        <w:t>e</w:t>
      </w:r>
      <w:r>
        <w:rPr>
          <w:rFonts w:ascii="Arial" w:cs="Arial" w:eastAsia="Arial" w:hAnsi="Arial"/>
          <w:sz w:val="17"/>
          <w:szCs w:val="17"/>
          <w:i w:val="1"/>
          <w:iCs w:val="1"/>
          <w:color w:val="auto"/>
        </w:rPr>
        <w:t xml:space="preserve">rtain Changes. </w:t>
      </w:r>
      <w:r>
        <w:rPr>
          <w:rFonts w:ascii="Arial" w:cs="Arial" w:eastAsia="Arial" w:hAnsi="Arial"/>
          <w:sz w:val="17"/>
          <w:szCs w:val="17"/>
          <w:color w:val="auto"/>
        </w:rPr>
        <w:t>Since January 1, 2021</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its Subsidiaries have conducted their respective businesses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in the ordinary course of business</w:t>
      </w:r>
      <w:r>
        <w:rPr>
          <w:rFonts w:ascii="Arial" w:cs="Arial" w:eastAsia="Arial" w:hAnsi="Arial"/>
          <w:sz w:val="17"/>
          <w:szCs w:val="17"/>
          <w:color w:val="2A2A2D"/>
        </w:rPr>
        <w:t>,</w:t>
      </w:r>
      <w:r>
        <w:rPr>
          <w:rFonts w:ascii="Arial" w:cs="Arial" w:eastAsia="Arial" w:hAnsi="Arial"/>
          <w:sz w:val="17"/>
          <w:szCs w:val="17"/>
          <w:color w:val="auto"/>
        </w:rPr>
        <w:t xml:space="preserve"> and no events</w:t>
      </w:r>
      <w:r>
        <w:rPr>
          <w:rFonts w:ascii="Arial" w:cs="Arial" w:eastAsia="Arial" w:hAnsi="Arial"/>
          <w:sz w:val="17"/>
          <w:szCs w:val="17"/>
          <w:color w:val="2A2A2D"/>
        </w:rPr>
        <w:t>,</w:t>
      </w:r>
      <w:r>
        <w:rPr>
          <w:rFonts w:ascii="Arial" w:cs="Arial" w:eastAsia="Arial" w:hAnsi="Arial"/>
          <w:sz w:val="17"/>
          <w:szCs w:val="17"/>
          <w:color w:val="auto"/>
        </w:rPr>
        <w:t xml:space="preserve"> changes or developments have occurred that</w:t>
      </w:r>
      <w:r>
        <w:rPr>
          <w:rFonts w:ascii="Arial" w:cs="Arial" w:eastAsia="Arial" w:hAnsi="Arial"/>
          <w:sz w:val="17"/>
          <w:szCs w:val="17"/>
          <w:color w:val="2A2A2D"/>
        </w:rPr>
        <w:t>,</w:t>
      </w:r>
      <w:r>
        <w:rPr>
          <w:rFonts w:ascii="Arial" w:cs="Arial" w:eastAsia="Arial" w:hAnsi="Arial"/>
          <w:sz w:val="17"/>
          <w:szCs w:val="17"/>
          <w:color w:val="auto"/>
        </w:rPr>
        <w:t xml:space="preserve"> individually or in the aggregate</w:t>
      </w:r>
      <w:r>
        <w:rPr>
          <w:rFonts w:ascii="Arial" w:cs="Arial" w:eastAsia="Arial" w:hAnsi="Arial"/>
          <w:sz w:val="17"/>
          <w:szCs w:val="17"/>
          <w:color w:val="2A2A2D"/>
        </w:rPr>
        <w:t>,</w:t>
      </w:r>
      <w:r>
        <w:rPr>
          <w:rFonts w:ascii="Arial" w:cs="Arial" w:eastAsia="Arial" w:hAnsi="Arial"/>
          <w:sz w:val="17"/>
          <w:szCs w:val="17"/>
          <w:color w:val="auto"/>
        </w:rPr>
        <w:t xml:space="preserve"> have had or would reasonably be expected to have a Material Adverse Effect.</w:t>
      </w:r>
    </w:p>
    <w:p>
      <w:pPr>
        <w:spacing w:after="0" w:line="141" w:lineRule="exact"/>
        <w:rPr>
          <w:rFonts w:ascii="Arial" w:cs="Arial" w:eastAsia="Arial" w:hAnsi="Arial"/>
          <w:sz w:val="17"/>
          <w:szCs w:val="17"/>
          <w:color w:val="auto"/>
        </w:rPr>
      </w:pPr>
    </w:p>
    <w:p>
      <w:pPr>
        <w:ind w:left="-180" w:firstLine="514"/>
        <w:spacing w:after="0" w:line="259" w:lineRule="auto"/>
        <w:tabs>
          <w:tab w:leader="none" w:pos="875"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No Undisclosed Liabilities, etc. </w:t>
      </w:r>
      <w:r>
        <w:rPr>
          <w:rFonts w:ascii="Arial" w:cs="Arial" w:eastAsia="Arial" w:hAnsi="Arial"/>
          <w:sz w:val="17"/>
          <w:szCs w:val="17"/>
          <w:color w:val="auto"/>
        </w:rPr>
        <w:t>As of the date hereof</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no liabilities of the Company or any of its Subsidiaries</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except liabilities reflected or</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against in the financial statements contained in the Company Reports</w:t>
      </w:r>
      <w:r>
        <w:rPr>
          <w:rFonts w:ascii="Arial" w:cs="Arial" w:eastAsia="Arial" w:hAnsi="Arial"/>
          <w:sz w:val="17"/>
          <w:szCs w:val="17"/>
          <w:color w:val="2A2A2D"/>
        </w:rPr>
        <w:t>,</w:t>
      </w:r>
      <w:r>
        <w:rPr>
          <w:rFonts w:ascii="Arial" w:cs="Arial" w:eastAsia="Arial" w:hAnsi="Arial"/>
          <w:sz w:val="17"/>
          <w:szCs w:val="17"/>
          <w:color w:val="auto"/>
        </w:rPr>
        <w:t xml:space="preserve"> liabilities incurred since January 1</w:t>
      </w:r>
      <w:r>
        <w:rPr>
          <w:rFonts w:ascii="Arial" w:cs="Arial" w:eastAsia="Arial" w:hAnsi="Arial"/>
          <w:sz w:val="17"/>
          <w:szCs w:val="17"/>
          <w:color w:val="2A2A2D"/>
        </w:rPr>
        <w:t>,</w:t>
      </w:r>
      <w:r>
        <w:rPr>
          <w:rFonts w:ascii="Arial" w:cs="Arial" w:eastAsia="Arial" w:hAnsi="Arial"/>
          <w:sz w:val="17"/>
          <w:szCs w:val="17"/>
          <w:color w:val="auto"/>
        </w:rPr>
        <w:t xml:space="preserve"> 2021 in the ordinary course of business and liabilities that would not</w:t>
      </w:r>
      <w:r>
        <w:rPr>
          <w:rFonts w:ascii="Arial" w:cs="Arial" w:eastAsia="Arial" w:hAnsi="Arial"/>
          <w:sz w:val="17"/>
          <w:szCs w:val="17"/>
          <w:color w:val="2A2A2D"/>
        </w:rPr>
        <w:t>,</w:t>
      </w:r>
      <w:r>
        <w:rPr>
          <w:rFonts w:ascii="Arial" w:cs="Arial" w:eastAsia="Arial" w:hAnsi="Arial"/>
          <w:sz w:val="17"/>
          <w:szCs w:val="17"/>
          <w:color w:val="auto"/>
        </w:rPr>
        <w:t xml:space="preserve"> individually or in the aggregate</w:t>
      </w:r>
      <w:r>
        <w:rPr>
          <w:rFonts w:ascii="Arial" w:cs="Arial" w:eastAsia="Arial" w:hAnsi="Arial"/>
          <w:sz w:val="17"/>
          <w:szCs w:val="17"/>
          <w:color w:val="2A2A2D"/>
        </w:rPr>
        <w:t>,</w:t>
      </w:r>
      <w:r>
        <w:rPr>
          <w:rFonts w:ascii="Arial" w:cs="Arial" w:eastAsia="Arial" w:hAnsi="Arial"/>
          <w:sz w:val="17"/>
          <w:szCs w:val="17"/>
          <w:color w:val="auto"/>
        </w:rPr>
        <w:t xml:space="preserve"> reasonably be expected to have a Material Adverse Effect.</w:t>
      </w:r>
    </w:p>
    <w:p>
      <w:pPr>
        <w:spacing w:after="0" w:line="141" w:lineRule="exact"/>
        <w:rPr>
          <w:rFonts w:ascii="Arial" w:cs="Arial" w:eastAsia="Arial" w:hAnsi="Arial"/>
          <w:sz w:val="17"/>
          <w:szCs w:val="17"/>
          <w:color w:val="auto"/>
        </w:rPr>
      </w:pPr>
    </w:p>
    <w:p>
      <w:pPr>
        <w:ind w:left="880" w:hanging="546"/>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110F13"/>
        </w:rPr>
        <w:t>Complianc</w:t>
      </w:r>
      <w:r>
        <w:rPr>
          <w:rFonts w:ascii="Arial" w:cs="Arial" w:eastAsia="Arial" w:hAnsi="Arial"/>
          <w:sz w:val="17"/>
          <w:szCs w:val="17"/>
          <w:i w:val="1"/>
          <w:iCs w:val="1"/>
          <w:color w:val="2A2A2D"/>
        </w:rPr>
        <w:t>e</w:t>
      </w:r>
      <w:r>
        <w:rPr>
          <w:rFonts w:ascii="Arial" w:cs="Arial" w:eastAsia="Arial" w:hAnsi="Arial"/>
          <w:sz w:val="17"/>
          <w:szCs w:val="17"/>
          <w:i w:val="1"/>
          <w:iCs w:val="1"/>
          <w:color w:val="110F13"/>
        </w:rPr>
        <w:t xml:space="preserve"> with Applicable Law.</w:t>
      </w:r>
    </w:p>
    <w:p>
      <w:pPr>
        <w:spacing w:after="0" w:line="175" w:lineRule="exact"/>
        <w:rPr>
          <w:rFonts w:ascii="Arial" w:cs="Arial" w:eastAsia="Arial" w:hAnsi="Arial"/>
          <w:sz w:val="17"/>
          <w:szCs w:val="17"/>
          <w:color w:val="auto"/>
        </w:rPr>
      </w:pPr>
    </w:p>
    <w:p>
      <w:pPr>
        <w:ind w:left="340" w:right="400" w:firstLine="504"/>
        <w:spacing w:after="0" w:line="271" w:lineRule="auto"/>
        <w:tabs>
          <w:tab w:leader="none" w:pos="1353" w:val="left"/>
        </w:tabs>
        <w:numPr>
          <w:ilvl w:val="1"/>
          <w:numId w:val="91"/>
        </w:numPr>
        <w:rPr>
          <w:rFonts w:ascii="Arial" w:cs="Arial" w:eastAsia="Arial" w:hAnsi="Arial"/>
          <w:sz w:val="17"/>
          <w:szCs w:val="17"/>
          <w:color w:val="auto"/>
        </w:rPr>
      </w:pPr>
      <w:r>
        <w:rPr>
          <w:rFonts w:ascii="Arial" w:cs="Arial" w:eastAsia="Arial" w:hAnsi="Arial"/>
          <w:sz w:val="17"/>
          <w:szCs w:val="17"/>
          <w:color w:val="110E13"/>
        </w:rPr>
        <w:t>Each of the Company and its Subsidiaries has complied in all respects with, and is not in default or violation in any respect of</w:t>
      </w:r>
      <w:r>
        <w:rPr>
          <w:rFonts w:ascii="Arial" w:cs="Arial" w:eastAsia="Arial" w:hAnsi="Arial"/>
          <w:sz w:val="17"/>
          <w:szCs w:val="17"/>
          <w:color w:val="2A2A2D"/>
        </w:rPr>
        <w:t>,</w:t>
      </w:r>
      <w:r>
        <w:rPr>
          <w:rFonts w:ascii="Arial" w:cs="Arial" w:eastAsia="Arial" w:hAnsi="Arial"/>
          <w:sz w:val="17"/>
          <w:szCs w:val="17"/>
          <w:color w:val="110E13"/>
        </w:rPr>
        <w:t xml:space="preserve"> any law</w:t>
      </w:r>
      <w:r>
        <w:rPr>
          <w:rFonts w:ascii="Arial" w:cs="Arial" w:eastAsia="Arial" w:hAnsi="Arial"/>
          <w:sz w:val="17"/>
          <w:szCs w:val="17"/>
          <w:color w:val="2A2A2D"/>
        </w:rPr>
        <w:t>,</w:t>
      </w:r>
      <w:r>
        <w:rPr>
          <w:rFonts w:ascii="Arial" w:cs="Arial" w:eastAsia="Arial" w:hAnsi="Arial"/>
          <w:sz w:val="17"/>
          <w:szCs w:val="17"/>
          <w:color w:val="110E13"/>
        </w:rPr>
        <w:t xml:space="preserve"> statute</w:t>
      </w:r>
      <w:r>
        <w:rPr>
          <w:rFonts w:ascii="Arial" w:cs="Arial" w:eastAsia="Arial" w:hAnsi="Arial"/>
          <w:sz w:val="17"/>
          <w:szCs w:val="17"/>
          <w:color w:val="2A2A2D"/>
        </w:rPr>
        <w:t>,</w:t>
      </w:r>
      <w:r>
        <w:rPr>
          <w:rFonts w:ascii="Arial" w:cs="Arial" w:eastAsia="Arial" w:hAnsi="Arial"/>
          <w:sz w:val="17"/>
          <w:szCs w:val="17"/>
          <w:color w:val="110E13"/>
        </w:rPr>
        <w:t xml:space="preserve"> order</w:t>
      </w:r>
      <w:r>
        <w:rPr>
          <w:rFonts w:ascii="Arial" w:cs="Arial" w:eastAsia="Arial" w:hAnsi="Arial"/>
          <w:sz w:val="17"/>
          <w:szCs w:val="17"/>
          <w:color w:val="2A2A2D"/>
        </w:rPr>
        <w:t>,</w:t>
      </w:r>
      <w:r>
        <w:rPr>
          <w:rFonts w:ascii="Arial" w:cs="Arial" w:eastAsia="Arial" w:hAnsi="Arial"/>
          <w:sz w:val="17"/>
          <w:szCs w:val="17"/>
          <w:color w:val="110E13"/>
        </w:rPr>
        <w:t xml:space="preserve"> rule</w:t>
      </w:r>
      <w:r>
        <w:rPr>
          <w:rFonts w:ascii="Arial" w:cs="Arial" w:eastAsia="Arial" w:hAnsi="Arial"/>
          <w:sz w:val="17"/>
          <w:szCs w:val="17"/>
          <w:color w:val="2A2A2D"/>
        </w:rPr>
        <w:t>,</w:t>
      </w:r>
      <w:r>
        <w:rPr>
          <w:rFonts w:ascii="Arial" w:cs="Arial" w:eastAsia="Arial" w:hAnsi="Arial"/>
          <w:sz w:val="17"/>
          <w:szCs w:val="17"/>
          <w:color w:val="110E13"/>
        </w:rPr>
        <w:t xml:space="preserve"> regulation</w:t>
      </w:r>
      <w:r>
        <w:rPr>
          <w:rFonts w:ascii="Arial" w:cs="Arial" w:eastAsia="Arial" w:hAnsi="Arial"/>
          <w:sz w:val="17"/>
          <w:szCs w:val="17"/>
          <w:color w:val="2A2A2D"/>
        </w:rPr>
        <w:t>,</w:t>
      </w:r>
      <w:r>
        <w:rPr>
          <w:rFonts w:ascii="Arial" w:cs="Arial" w:eastAsia="Arial" w:hAnsi="Arial"/>
          <w:sz w:val="17"/>
          <w:szCs w:val="17"/>
          <w:color w:val="110E13"/>
        </w:rPr>
        <w:t xml:space="preserve"> policy or guideline of any federal</w:t>
      </w:r>
      <w:r>
        <w:rPr>
          <w:rFonts w:ascii="Arial" w:cs="Arial" w:eastAsia="Arial" w:hAnsi="Arial"/>
          <w:sz w:val="17"/>
          <w:szCs w:val="17"/>
          <w:color w:val="2A2A2D"/>
        </w:rPr>
        <w:t>,</w:t>
      </w:r>
      <w:r>
        <w:rPr>
          <w:rFonts w:ascii="Arial" w:cs="Arial" w:eastAsia="Arial" w:hAnsi="Arial"/>
          <w:sz w:val="17"/>
          <w:szCs w:val="17"/>
          <w:color w:val="110E13"/>
        </w:rPr>
        <w:t xml:space="preserve"> state or local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40"/>
          </w:cols>
          <w:pgMar w:left="480" w:top="1162" w:right="479" w:bottom="1440" w:gutter="0" w:footer="0" w:header="0"/>
        </w:sectPr>
      </w:pPr>
    </w:p>
    <w:bookmarkStart w:id="145" w:name="page146"/>
    <w:bookmarkEnd w:id="145"/>
    <w:p>
      <w:pPr>
        <w:ind w:left="460" w:right="200"/>
        <w:spacing w:after="0" w:line="310" w:lineRule="auto"/>
        <w:rPr>
          <w:sz w:val="20"/>
          <w:szCs w:val="20"/>
          <w:color w:val="auto"/>
        </w:rPr>
      </w:pPr>
      <w:r>
        <w:rPr>
          <w:rFonts w:ascii="Arial" w:cs="Arial" w:eastAsia="Arial" w:hAnsi="Arial"/>
          <w:sz w:val="15"/>
          <w:szCs w:val="15"/>
          <w:color w:val="110E13"/>
        </w:rPr>
        <w:t>Governmental Entity applicable to the Company or such Subsidiary</w:t>
      </w:r>
      <w:r>
        <w:rPr>
          <w:rFonts w:ascii="Arial" w:cs="Arial" w:eastAsia="Arial" w:hAnsi="Arial"/>
          <w:sz w:val="15"/>
          <w:szCs w:val="15"/>
          <w:color w:val="2A2A2D"/>
        </w:rPr>
        <w:t>,</w:t>
      </w:r>
      <w:r>
        <w:rPr>
          <w:rFonts w:ascii="Arial" w:cs="Arial" w:eastAsia="Arial" w:hAnsi="Arial"/>
          <w:sz w:val="15"/>
          <w:szCs w:val="15"/>
          <w:color w:val="110E13"/>
        </w:rPr>
        <w:t xml:space="preserve"> and none of the Company or any of its Subsidiaries has received any written notice from any Governmental Entity of a violation of any such law</w:t>
      </w:r>
      <w:r>
        <w:rPr>
          <w:rFonts w:ascii="Arial" w:cs="Arial" w:eastAsia="Arial" w:hAnsi="Arial"/>
          <w:sz w:val="15"/>
          <w:szCs w:val="15"/>
          <w:color w:val="2A2A2D"/>
        </w:rPr>
        <w:t>,</w:t>
      </w:r>
      <w:r>
        <w:rPr>
          <w:rFonts w:ascii="Arial" w:cs="Arial" w:eastAsia="Arial" w:hAnsi="Arial"/>
          <w:sz w:val="15"/>
          <w:szCs w:val="15"/>
          <w:color w:val="110E13"/>
        </w:rPr>
        <w:t xml:space="preserve"> statute</w:t>
      </w:r>
      <w:r>
        <w:rPr>
          <w:rFonts w:ascii="Arial" w:cs="Arial" w:eastAsia="Arial" w:hAnsi="Arial"/>
          <w:sz w:val="15"/>
          <w:szCs w:val="15"/>
          <w:color w:val="2A2A2D"/>
        </w:rPr>
        <w:t>,</w:t>
      </w:r>
      <w:r>
        <w:rPr>
          <w:rFonts w:ascii="Arial" w:cs="Arial" w:eastAsia="Arial" w:hAnsi="Arial"/>
          <w:sz w:val="15"/>
          <w:szCs w:val="15"/>
          <w:color w:val="110E13"/>
        </w:rPr>
        <w:t xml:space="preserve"> order</w:t>
      </w:r>
      <w:r>
        <w:rPr>
          <w:rFonts w:ascii="Arial" w:cs="Arial" w:eastAsia="Arial" w:hAnsi="Arial"/>
          <w:sz w:val="15"/>
          <w:szCs w:val="15"/>
          <w:color w:val="2A2A2D"/>
        </w:rPr>
        <w:t>,</w:t>
      </w:r>
      <w:r>
        <w:rPr>
          <w:rFonts w:ascii="Arial" w:cs="Arial" w:eastAsia="Arial" w:hAnsi="Arial"/>
          <w:sz w:val="15"/>
          <w:szCs w:val="15"/>
          <w:color w:val="110E13"/>
        </w:rPr>
        <w:t xml:space="preserve"> rule</w:t>
      </w:r>
      <w:r>
        <w:rPr>
          <w:rFonts w:ascii="Arial" w:cs="Arial" w:eastAsia="Arial" w:hAnsi="Arial"/>
          <w:sz w:val="15"/>
          <w:szCs w:val="15"/>
          <w:color w:val="2A2A2D"/>
        </w:rPr>
        <w:t>,</w:t>
      </w:r>
      <w:r>
        <w:rPr>
          <w:rFonts w:ascii="Arial" w:cs="Arial" w:eastAsia="Arial" w:hAnsi="Arial"/>
          <w:sz w:val="15"/>
          <w:szCs w:val="15"/>
          <w:color w:val="110E13"/>
        </w:rPr>
        <w:t xml:space="preserve"> regulation</w:t>
      </w:r>
      <w:r>
        <w:rPr>
          <w:rFonts w:ascii="Arial" w:cs="Arial" w:eastAsia="Arial" w:hAnsi="Arial"/>
          <w:sz w:val="15"/>
          <w:szCs w:val="15"/>
          <w:color w:val="2A2A2D"/>
        </w:rPr>
        <w:t>,</w:t>
      </w:r>
      <w:r>
        <w:rPr>
          <w:rFonts w:ascii="Arial" w:cs="Arial" w:eastAsia="Arial" w:hAnsi="Arial"/>
          <w:sz w:val="15"/>
          <w:szCs w:val="15"/>
          <w:color w:val="110E13"/>
        </w:rPr>
        <w:t xml:space="preserve"> policy or guideline</w:t>
      </w:r>
      <w:r>
        <w:rPr>
          <w:rFonts w:ascii="Arial" w:cs="Arial" w:eastAsia="Arial" w:hAnsi="Arial"/>
          <w:sz w:val="15"/>
          <w:szCs w:val="15"/>
          <w:color w:val="2A2A2D"/>
        </w:rPr>
        <w:t>,</w:t>
      </w:r>
      <w:r>
        <w:rPr>
          <w:rFonts w:ascii="Arial" w:cs="Arial" w:eastAsia="Arial" w:hAnsi="Arial"/>
          <w:sz w:val="15"/>
          <w:szCs w:val="15"/>
          <w:color w:val="110E13"/>
        </w:rPr>
        <w:t xml:space="preserve"> other than such non-compliance</w:t>
      </w:r>
      <w:r>
        <w:rPr>
          <w:rFonts w:ascii="Arial" w:cs="Arial" w:eastAsia="Arial" w:hAnsi="Arial"/>
          <w:sz w:val="15"/>
          <w:szCs w:val="15"/>
          <w:color w:val="2A2A2D"/>
        </w:rPr>
        <w:t>,</w:t>
      </w:r>
      <w:r>
        <w:rPr>
          <w:rFonts w:ascii="Arial" w:cs="Arial" w:eastAsia="Arial" w:hAnsi="Arial"/>
          <w:sz w:val="15"/>
          <w:szCs w:val="15"/>
          <w:color w:val="110E13"/>
        </w:rPr>
        <w:t xml:space="preserve"> defaults</w:t>
      </w:r>
      <w:r>
        <w:rPr>
          <w:rFonts w:ascii="Arial" w:cs="Arial" w:eastAsia="Arial" w:hAnsi="Arial"/>
          <w:sz w:val="15"/>
          <w:szCs w:val="15"/>
          <w:color w:val="2A2A2D"/>
        </w:rPr>
        <w:t>,</w:t>
      </w:r>
      <w:r>
        <w:rPr>
          <w:rFonts w:ascii="Arial" w:cs="Arial" w:eastAsia="Arial" w:hAnsi="Arial"/>
          <w:sz w:val="15"/>
          <w:szCs w:val="15"/>
          <w:color w:val="110E13"/>
        </w:rPr>
        <w:t xml:space="preserve"> violations or notices that</w:t>
      </w:r>
      <w:r>
        <w:rPr>
          <w:rFonts w:ascii="Arial" w:cs="Arial" w:eastAsia="Arial" w:hAnsi="Arial"/>
          <w:sz w:val="15"/>
          <w:szCs w:val="15"/>
          <w:color w:val="2A2A2D"/>
        </w:rPr>
        <w:t>,</w:t>
      </w:r>
      <w:r>
        <w:rPr>
          <w:rFonts w:ascii="Arial" w:cs="Arial" w:eastAsia="Arial" w:hAnsi="Arial"/>
          <w:sz w:val="15"/>
          <w:szCs w:val="15"/>
          <w:color w:val="110E13"/>
        </w:rPr>
        <w:t xml:space="preserve"> individually or in the aggregate</w:t>
      </w:r>
      <w:r>
        <w:rPr>
          <w:rFonts w:ascii="Arial" w:cs="Arial" w:eastAsia="Arial" w:hAnsi="Arial"/>
          <w:sz w:val="15"/>
          <w:szCs w:val="15"/>
          <w:color w:val="2A2A2D"/>
        </w:rPr>
        <w:t>,</w:t>
      </w:r>
      <w:r>
        <w:rPr>
          <w:rFonts w:ascii="Arial" w:cs="Arial" w:eastAsia="Arial" w:hAnsi="Arial"/>
          <w:sz w:val="15"/>
          <w:szCs w:val="15"/>
          <w:color w:val="110E13"/>
        </w:rPr>
        <w:t xml:space="preserve"> are not material to the Company and its Subsidiaries</w:t>
      </w:r>
      <w:r>
        <w:rPr>
          <w:rFonts w:ascii="Arial" w:cs="Arial" w:eastAsia="Arial" w:hAnsi="Arial"/>
          <w:sz w:val="15"/>
          <w:szCs w:val="15"/>
          <w:color w:val="2A2A2D"/>
        </w:rPr>
        <w:t>,</w:t>
      </w:r>
      <w:r>
        <w:rPr>
          <w:rFonts w:ascii="Arial" w:cs="Arial" w:eastAsia="Arial" w:hAnsi="Arial"/>
          <w:sz w:val="15"/>
          <w:szCs w:val="15"/>
          <w:color w:val="110E13"/>
        </w:rPr>
        <w:t xml:space="preserve"> taken as a whole.</w:t>
      </w:r>
    </w:p>
    <w:p>
      <w:pPr>
        <w:spacing w:after="0" w:line="117" w:lineRule="exact"/>
        <w:rPr>
          <w:sz w:val="20"/>
          <w:szCs w:val="20"/>
          <w:color w:val="auto"/>
        </w:rPr>
      </w:pPr>
    </w:p>
    <w:p>
      <w:pPr>
        <w:ind w:left="460" w:right="120" w:firstLine="504"/>
        <w:spacing w:after="0" w:line="267" w:lineRule="auto"/>
        <w:tabs>
          <w:tab w:leader="none" w:pos="1478" w:val="left"/>
        </w:tabs>
        <w:numPr>
          <w:ilvl w:val="1"/>
          <w:numId w:val="92"/>
        </w:numPr>
        <w:rPr>
          <w:rFonts w:ascii="Arial" w:cs="Arial" w:eastAsia="Arial" w:hAnsi="Arial"/>
          <w:sz w:val="16"/>
          <w:szCs w:val="16"/>
          <w:color w:val="auto"/>
        </w:rPr>
      </w:pPr>
      <w:r>
        <w:rPr>
          <w:rFonts w:ascii="Arial" w:cs="Arial" w:eastAsia="Arial" w:hAnsi="Arial"/>
          <w:sz w:val="16"/>
          <w:szCs w:val="16"/>
          <w:color w:val="110E13"/>
        </w:rPr>
        <w:t>None of the Company or its Subsidiaries has violated or committed any act or made any payment in violation of</w:t>
      </w:r>
      <w:r>
        <w:rPr>
          <w:rFonts w:ascii="Arial" w:cs="Arial" w:eastAsia="Arial" w:hAnsi="Arial"/>
          <w:sz w:val="16"/>
          <w:szCs w:val="16"/>
          <w:color w:val="2A2A2D"/>
        </w:rPr>
        <w:t>,</w:t>
      </w:r>
      <w:r>
        <w:rPr>
          <w:rFonts w:ascii="Arial" w:cs="Arial" w:eastAsia="Arial" w:hAnsi="Arial"/>
          <w:sz w:val="16"/>
          <w:szCs w:val="16"/>
          <w:color w:val="110E13"/>
        </w:rPr>
        <w:t xml:space="preserve"> or that requires disclosure under</w:t>
      </w:r>
      <w:r>
        <w:rPr>
          <w:rFonts w:ascii="Arial" w:cs="Arial" w:eastAsia="Arial" w:hAnsi="Arial"/>
          <w:sz w:val="16"/>
          <w:szCs w:val="16"/>
          <w:color w:val="3D3B3B"/>
        </w:rPr>
        <w:t>,</w:t>
      </w:r>
      <w:r>
        <w:rPr>
          <w:rFonts w:ascii="Arial" w:cs="Arial" w:eastAsia="Arial" w:hAnsi="Arial"/>
          <w:sz w:val="16"/>
          <w:szCs w:val="16"/>
          <w:color w:val="110E13"/>
        </w:rPr>
        <w:t xml:space="preserve"> the United States Foreign Corrupt Practices Act of 1977</w:t>
      </w:r>
      <w:r>
        <w:rPr>
          <w:rFonts w:ascii="Arial" w:cs="Arial" w:eastAsia="Arial" w:hAnsi="Arial"/>
          <w:sz w:val="16"/>
          <w:szCs w:val="16"/>
          <w:color w:val="2A2A2D"/>
        </w:rPr>
        <w:t>,</w:t>
      </w:r>
      <w:r>
        <w:rPr>
          <w:rFonts w:ascii="Arial" w:cs="Arial" w:eastAsia="Arial" w:hAnsi="Arial"/>
          <w:sz w:val="16"/>
          <w:szCs w:val="16"/>
          <w:color w:val="110E13"/>
        </w:rPr>
        <w:t xml:space="preserve"> as amended</w:t>
      </w:r>
      <w:r>
        <w:rPr>
          <w:rFonts w:ascii="Arial" w:cs="Arial" w:eastAsia="Arial" w:hAnsi="Arial"/>
          <w:sz w:val="16"/>
          <w:szCs w:val="16"/>
          <w:color w:val="2A2A2D"/>
        </w:rPr>
        <w:t>,</w:t>
      </w:r>
      <w:r>
        <w:rPr>
          <w:rFonts w:ascii="Arial" w:cs="Arial" w:eastAsia="Arial" w:hAnsi="Arial"/>
          <w:sz w:val="16"/>
          <w:szCs w:val="16"/>
          <w:color w:val="110E13"/>
        </w:rPr>
        <w:t xml:space="preserve"> and the rules and regulations thereunder (the “</w:t>
      </w:r>
      <w:r>
        <w:rPr>
          <w:rFonts w:ascii="Arial" w:cs="Arial" w:eastAsia="Arial" w:hAnsi="Arial"/>
          <w:sz w:val="16"/>
          <w:szCs w:val="16"/>
          <w:b w:val="1"/>
          <w:bCs w:val="1"/>
          <w:color w:val="110E13"/>
        </w:rPr>
        <w:t>FCPA</w:t>
      </w:r>
      <w:r>
        <w:rPr>
          <w:rFonts w:ascii="Arial" w:cs="Arial" w:eastAsia="Arial" w:hAnsi="Arial"/>
          <w:sz w:val="16"/>
          <w:szCs w:val="16"/>
          <w:color w:val="2A2A2D"/>
        </w:rPr>
        <w:t>”</w:t>
      </w:r>
      <w:r>
        <w:rPr>
          <w:rFonts w:ascii="Arial" w:cs="Arial" w:eastAsia="Arial" w:hAnsi="Arial"/>
          <w:sz w:val="16"/>
          <w:szCs w:val="16"/>
          <w:b w:val="1"/>
          <w:bCs w:val="1"/>
          <w:color w:val="110E13"/>
        </w:rPr>
        <w:t>)</w:t>
      </w:r>
      <w:r>
        <w:rPr>
          <w:rFonts w:ascii="Arial" w:cs="Arial" w:eastAsia="Arial" w:hAnsi="Arial"/>
          <w:sz w:val="16"/>
          <w:szCs w:val="16"/>
          <w:b w:val="1"/>
          <w:bCs w:val="1"/>
          <w:color w:val="2A2A2D"/>
        </w:rPr>
        <w:t>,</w:t>
      </w:r>
      <w:r>
        <w:rPr>
          <w:rFonts w:ascii="Arial" w:cs="Arial" w:eastAsia="Arial" w:hAnsi="Arial"/>
          <w:sz w:val="16"/>
          <w:szCs w:val="16"/>
          <w:color w:val="110E13"/>
        </w:rPr>
        <w:t xml:space="preserve"> or any other applicable anti-corruption law. None of the Company or its Subsidiaries</w:t>
      </w:r>
      <w:r>
        <w:rPr>
          <w:rFonts w:ascii="Arial" w:cs="Arial" w:eastAsia="Arial" w:hAnsi="Arial"/>
          <w:sz w:val="16"/>
          <w:szCs w:val="16"/>
          <w:color w:val="2A2A2D"/>
        </w:rPr>
        <w:t>,</w:t>
      </w:r>
      <w:r>
        <w:rPr>
          <w:rFonts w:ascii="Arial" w:cs="Arial" w:eastAsia="Arial" w:hAnsi="Arial"/>
          <w:sz w:val="16"/>
          <w:szCs w:val="16"/>
          <w:color w:val="110E13"/>
        </w:rPr>
        <w:t xml:space="preserve"> nor</w:t>
      </w:r>
      <w:r>
        <w:rPr>
          <w:rFonts w:ascii="Arial" w:cs="Arial" w:eastAsia="Arial" w:hAnsi="Arial"/>
          <w:sz w:val="16"/>
          <w:szCs w:val="16"/>
          <w:color w:val="2A2A2D"/>
        </w:rPr>
        <w:t>,</w:t>
      </w:r>
      <w:r>
        <w:rPr>
          <w:rFonts w:ascii="Arial" w:cs="Arial" w:eastAsia="Arial" w:hAnsi="Arial"/>
          <w:sz w:val="16"/>
          <w:szCs w:val="16"/>
          <w:color w:val="110E13"/>
        </w:rPr>
        <w:t xml:space="preserve"> to the knowledge of the Company</w:t>
      </w:r>
      <w:r>
        <w:rPr>
          <w:rFonts w:ascii="Arial" w:cs="Arial" w:eastAsia="Arial" w:hAnsi="Arial"/>
          <w:sz w:val="16"/>
          <w:szCs w:val="16"/>
          <w:color w:val="2A2A2D"/>
        </w:rPr>
        <w:t>,</w:t>
      </w:r>
      <w:r>
        <w:rPr>
          <w:rFonts w:ascii="Arial" w:cs="Arial" w:eastAsia="Arial" w:hAnsi="Arial"/>
          <w:sz w:val="16"/>
          <w:szCs w:val="16"/>
          <w:color w:val="110E13"/>
        </w:rPr>
        <w:t xml:space="preserve"> any of their respective directors</w:t>
      </w:r>
      <w:r>
        <w:rPr>
          <w:rFonts w:ascii="Arial" w:cs="Arial" w:eastAsia="Arial" w:hAnsi="Arial"/>
          <w:sz w:val="16"/>
          <w:szCs w:val="16"/>
          <w:color w:val="2A2A2D"/>
        </w:rPr>
        <w:t>,</w:t>
      </w:r>
      <w:r>
        <w:rPr>
          <w:rFonts w:ascii="Arial" w:cs="Arial" w:eastAsia="Arial" w:hAnsi="Arial"/>
          <w:sz w:val="16"/>
          <w:szCs w:val="16"/>
          <w:color w:val="110E13"/>
        </w:rPr>
        <w:t xml:space="preserve"> officers</w:t>
      </w:r>
      <w:r>
        <w:rPr>
          <w:rFonts w:ascii="Arial" w:cs="Arial" w:eastAsia="Arial" w:hAnsi="Arial"/>
          <w:sz w:val="16"/>
          <w:szCs w:val="16"/>
          <w:color w:val="2A2A2D"/>
        </w:rPr>
        <w:t>,</w:t>
      </w:r>
      <w:r>
        <w:rPr>
          <w:rFonts w:ascii="Arial" w:cs="Arial" w:eastAsia="Arial" w:hAnsi="Arial"/>
          <w:sz w:val="16"/>
          <w:szCs w:val="16"/>
          <w:color w:val="110E13"/>
        </w:rPr>
        <w:t xml:space="preserve"> partners</w:t>
      </w:r>
      <w:r>
        <w:rPr>
          <w:rFonts w:ascii="Arial" w:cs="Arial" w:eastAsia="Arial" w:hAnsi="Arial"/>
          <w:sz w:val="16"/>
          <w:szCs w:val="16"/>
          <w:color w:val="2A2A2D"/>
        </w:rPr>
        <w:t>,</w:t>
      </w:r>
      <w:r>
        <w:rPr>
          <w:rFonts w:ascii="Arial" w:cs="Arial" w:eastAsia="Arial" w:hAnsi="Arial"/>
          <w:sz w:val="16"/>
          <w:szCs w:val="16"/>
          <w:color w:val="110E13"/>
        </w:rPr>
        <w:t xml:space="preserve"> members</w:t>
      </w:r>
      <w:r>
        <w:rPr>
          <w:rFonts w:ascii="Arial" w:cs="Arial" w:eastAsia="Arial" w:hAnsi="Arial"/>
          <w:sz w:val="16"/>
          <w:szCs w:val="16"/>
          <w:color w:val="2A2A2D"/>
        </w:rPr>
        <w:t>,</w:t>
      </w:r>
      <w:r>
        <w:rPr>
          <w:rFonts w:ascii="Arial" w:cs="Arial" w:eastAsia="Arial" w:hAnsi="Arial"/>
          <w:sz w:val="16"/>
          <w:szCs w:val="16"/>
          <w:color w:val="110E13"/>
        </w:rPr>
        <w:t xml:space="preserve"> managers or employees has (i) used any corporate funds for unlawful contributions</w:t>
      </w:r>
      <w:r>
        <w:rPr>
          <w:rFonts w:ascii="Arial" w:cs="Arial" w:eastAsia="Arial" w:hAnsi="Arial"/>
          <w:sz w:val="16"/>
          <w:szCs w:val="16"/>
          <w:color w:val="2A2A2D"/>
        </w:rPr>
        <w:t>,</w:t>
      </w:r>
      <w:r>
        <w:rPr>
          <w:rFonts w:ascii="Arial" w:cs="Arial" w:eastAsia="Arial" w:hAnsi="Arial"/>
          <w:sz w:val="16"/>
          <w:szCs w:val="16"/>
          <w:color w:val="110E13"/>
        </w:rPr>
        <w:t xml:space="preserve"> gifts</w:t>
      </w:r>
      <w:r>
        <w:rPr>
          <w:rFonts w:ascii="Arial" w:cs="Arial" w:eastAsia="Arial" w:hAnsi="Arial"/>
          <w:sz w:val="16"/>
          <w:szCs w:val="16"/>
          <w:color w:val="2A2A2D"/>
        </w:rPr>
        <w:t>,</w:t>
      </w:r>
      <w:r>
        <w:rPr>
          <w:rFonts w:ascii="Arial" w:cs="Arial" w:eastAsia="Arial" w:hAnsi="Arial"/>
          <w:sz w:val="16"/>
          <w:szCs w:val="16"/>
          <w:color w:val="110E13"/>
        </w:rPr>
        <w:t xml:space="preserve"> entertainment or other unlawful expenses relating to political activity</w:t>
      </w:r>
      <w:r>
        <w:rPr>
          <w:rFonts w:ascii="Arial" w:cs="Arial" w:eastAsia="Arial" w:hAnsi="Arial"/>
          <w:sz w:val="16"/>
          <w:szCs w:val="16"/>
          <w:color w:val="2A2A2D"/>
        </w:rPr>
        <w:t>,</w:t>
      </w:r>
      <w:r>
        <w:rPr>
          <w:rFonts w:ascii="Arial" w:cs="Arial" w:eastAsia="Arial" w:hAnsi="Arial"/>
          <w:sz w:val="16"/>
          <w:szCs w:val="16"/>
          <w:color w:val="110E13"/>
        </w:rPr>
        <w:t xml:space="preserve"> or (ii) made any unlawful payment to any “government official” (including any officer or employee of a government or government-owned or controlled entity or of a public international organization</w:t>
      </w:r>
      <w:r>
        <w:rPr>
          <w:rFonts w:ascii="Arial" w:cs="Arial" w:eastAsia="Arial" w:hAnsi="Arial"/>
          <w:sz w:val="16"/>
          <w:szCs w:val="16"/>
          <w:color w:val="2A2A2D"/>
        </w:rPr>
        <w:t>,</w:t>
      </w:r>
      <w:r>
        <w:rPr>
          <w:rFonts w:ascii="Arial" w:cs="Arial" w:eastAsia="Arial" w:hAnsi="Arial"/>
          <w:sz w:val="16"/>
          <w:szCs w:val="16"/>
          <w:color w:val="110E13"/>
        </w:rPr>
        <w:t xml:space="preserve"> or any person acting in an official capacity for or on behalf of any of the foregoing</w:t>
      </w:r>
      <w:r>
        <w:rPr>
          <w:rFonts w:ascii="Arial" w:cs="Arial" w:eastAsia="Arial" w:hAnsi="Arial"/>
          <w:sz w:val="16"/>
          <w:szCs w:val="16"/>
          <w:color w:val="2A2A2D"/>
        </w:rPr>
        <w:t>,</w:t>
      </w:r>
      <w:r>
        <w:rPr>
          <w:rFonts w:ascii="Arial" w:cs="Arial" w:eastAsia="Arial" w:hAnsi="Arial"/>
          <w:sz w:val="16"/>
          <w:szCs w:val="16"/>
          <w:color w:val="110E13"/>
        </w:rPr>
        <w:t xml:space="preserve"> or any political party or party official or candidate for political office). No action</w:t>
      </w:r>
      <w:r>
        <w:rPr>
          <w:rFonts w:ascii="Arial" w:cs="Arial" w:eastAsia="Arial" w:hAnsi="Arial"/>
          <w:sz w:val="16"/>
          <w:szCs w:val="16"/>
          <w:color w:val="2A2A2D"/>
        </w:rPr>
        <w:t>,</w:t>
      </w:r>
      <w:r>
        <w:rPr>
          <w:rFonts w:ascii="Arial" w:cs="Arial" w:eastAsia="Arial" w:hAnsi="Arial"/>
          <w:sz w:val="16"/>
          <w:szCs w:val="16"/>
          <w:color w:val="110E13"/>
        </w:rPr>
        <w:t xml:space="preserve"> suit</w:t>
      </w:r>
      <w:r>
        <w:rPr>
          <w:rFonts w:ascii="Arial" w:cs="Arial" w:eastAsia="Arial" w:hAnsi="Arial"/>
          <w:sz w:val="16"/>
          <w:szCs w:val="16"/>
          <w:color w:val="2A2A2D"/>
        </w:rPr>
        <w:t>,</w:t>
      </w:r>
      <w:r>
        <w:rPr>
          <w:rFonts w:ascii="Arial" w:cs="Arial" w:eastAsia="Arial" w:hAnsi="Arial"/>
          <w:sz w:val="16"/>
          <w:szCs w:val="16"/>
          <w:color w:val="110E13"/>
        </w:rPr>
        <w:t xml:space="preserve"> investigation or other proceeding </w:t>
      </w:r>
      <w:r>
        <w:rPr>
          <w:rFonts w:ascii="Arial" w:cs="Arial" w:eastAsia="Arial" w:hAnsi="Arial"/>
          <w:sz w:val="16"/>
          <w:szCs w:val="16"/>
          <w:color w:val="110F13"/>
        </w:rPr>
        <w:t>involving the Company or any of its</w:t>
      </w:r>
      <w:r>
        <w:rPr>
          <w:rFonts w:ascii="Arial" w:cs="Arial" w:eastAsia="Arial" w:hAnsi="Arial"/>
          <w:sz w:val="16"/>
          <w:szCs w:val="16"/>
          <w:color w:val="110E13"/>
        </w:rPr>
        <w:t xml:space="preserve"> </w:t>
      </w:r>
      <w:r>
        <w:rPr>
          <w:rFonts w:ascii="Arial" w:cs="Arial" w:eastAsia="Arial" w:hAnsi="Arial"/>
          <w:sz w:val="16"/>
          <w:szCs w:val="16"/>
          <w:color w:val="110F13"/>
        </w:rPr>
        <w:t>agents with respect to the FCPA or any other applicable anti-corruption law is pending or</w:t>
      </w:r>
      <w:r>
        <w:rPr>
          <w:rFonts w:ascii="Arial" w:cs="Arial" w:eastAsia="Arial" w:hAnsi="Arial"/>
          <w:sz w:val="16"/>
          <w:szCs w:val="16"/>
          <w:color w:val="2A2A2D"/>
        </w:rPr>
        <w:t>,</w:t>
      </w:r>
      <w:r>
        <w:rPr>
          <w:rFonts w:ascii="Arial" w:cs="Arial" w:eastAsia="Arial" w:hAnsi="Arial"/>
          <w:sz w:val="16"/>
          <w:szCs w:val="16"/>
          <w:color w:val="110F13"/>
        </w:rPr>
        <w:t xml:space="preserve"> to the knowledge of the Company</w:t>
      </w:r>
      <w:r>
        <w:rPr>
          <w:rFonts w:ascii="Arial" w:cs="Arial" w:eastAsia="Arial" w:hAnsi="Arial"/>
          <w:sz w:val="16"/>
          <w:szCs w:val="16"/>
          <w:color w:val="2A2A2D"/>
        </w:rPr>
        <w:t>,</w:t>
      </w:r>
      <w:r>
        <w:rPr>
          <w:rFonts w:ascii="Arial" w:cs="Arial" w:eastAsia="Arial" w:hAnsi="Arial"/>
          <w:sz w:val="16"/>
          <w:szCs w:val="16"/>
          <w:color w:val="110F13"/>
        </w:rPr>
        <w:t xml:space="preserve"> threatened. The Company and its Subsidiaries have instituted and currently maintain policies and procedures (including monitoring and training processes and programs) designed to comply with such laws in all material respects.</w:t>
      </w:r>
    </w:p>
    <w:p>
      <w:pPr>
        <w:spacing w:after="0" w:line="138" w:lineRule="exact"/>
        <w:rPr>
          <w:rFonts w:ascii="Arial" w:cs="Arial" w:eastAsia="Arial" w:hAnsi="Arial"/>
          <w:sz w:val="16"/>
          <w:szCs w:val="16"/>
          <w:color w:val="auto"/>
        </w:rPr>
      </w:pPr>
    </w:p>
    <w:p>
      <w:pPr>
        <w:ind w:left="-60" w:firstLine="514"/>
        <w:spacing w:after="0" w:line="269" w:lineRule="auto"/>
        <w:tabs>
          <w:tab w:leader="none" w:pos="1001"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Legal Proc</w:t>
      </w:r>
      <w:r>
        <w:rPr>
          <w:rFonts w:ascii="Arial" w:cs="Arial" w:eastAsia="Arial" w:hAnsi="Arial"/>
          <w:sz w:val="16"/>
          <w:szCs w:val="16"/>
          <w:i w:val="1"/>
          <w:iCs w:val="1"/>
          <w:color w:val="2A2A2D"/>
        </w:rPr>
        <w:t>e</w:t>
      </w:r>
      <w:r>
        <w:rPr>
          <w:rFonts w:ascii="Arial" w:cs="Arial" w:eastAsia="Arial" w:hAnsi="Arial"/>
          <w:sz w:val="16"/>
          <w:szCs w:val="16"/>
          <w:i w:val="1"/>
          <w:iCs w:val="1"/>
          <w:color w:val="auto"/>
        </w:rPr>
        <w:t>eding</w:t>
      </w:r>
      <w:r>
        <w:rPr>
          <w:rFonts w:ascii="Arial" w:cs="Arial" w:eastAsia="Arial" w:hAnsi="Arial"/>
          <w:sz w:val="16"/>
          <w:szCs w:val="16"/>
          <w:i w:val="1"/>
          <w:iCs w:val="1"/>
          <w:color w:val="2A2A2D"/>
        </w:rPr>
        <w:t>s</w:t>
      </w:r>
      <w:r>
        <w:rPr>
          <w:rFonts w:ascii="Arial" w:cs="Arial" w:eastAsia="Arial" w:hAnsi="Arial"/>
          <w:sz w:val="16"/>
          <w:szCs w:val="16"/>
          <w:i w:val="1"/>
          <w:iCs w:val="1"/>
          <w:color w:val="auto"/>
        </w:rPr>
        <w:t xml:space="preserve"> and Liabilities. </w:t>
      </w:r>
      <w:r>
        <w:rPr>
          <w:rFonts w:ascii="Arial" w:cs="Arial" w:eastAsia="Arial" w:hAnsi="Arial"/>
          <w:sz w:val="16"/>
          <w:szCs w:val="16"/>
          <w:color w:val="auto"/>
        </w:rPr>
        <w:t>Neither the Company nor any of its Subsidiaries is a party to any</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there are no pending</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w:t>
      </w:r>
      <w:r>
        <w:rPr>
          <w:rFonts w:ascii="Arial" w:cs="Arial" w:eastAsia="Arial" w:hAnsi="Arial"/>
          <w:sz w:val="16"/>
          <w:szCs w:val="16"/>
          <w:color w:val="2A2A2D"/>
        </w:rPr>
        <w:t>,</w:t>
      </w:r>
      <w:r>
        <w:rPr>
          <w:rFonts w:ascii="Arial" w:cs="Arial" w:eastAsia="Arial" w:hAnsi="Arial"/>
          <w:sz w:val="16"/>
          <w:szCs w:val="16"/>
          <w:color w:val="auto"/>
        </w:rPr>
        <w:t xml:space="preserve"> threatened</w:t>
      </w:r>
      <w:r>
        <w:rPr>
          <w:rFonts w:ascii="Arial" w:cs="Arial" w:eastAsia="Arial" w:hAnsi="Arial"/>
          <w:sz w:val="16"/>
          <w:szCs w:val="16"/>
          <w:color w:val="2A2A2D"/>
        </w:rPr>
        <w:t>,</w:t>
      </w:r>
      <w:r>
        <w:rPr>
          <w:rFonts w:ascii="Arial" w:cs="Arial" w:eastAsia="Arial" w:hAnsi="Arial"/>
          <w:sz w:val="16"/>
          <w:szCs w:val="16"/>
          <w:color w:val="auto"/>
        </w:rPr>
        <w:t xml:space="preserve"> legal</w:t>
      </w:r>
      <w:r>
        <w:rPr>
          <w:rFonts w:ascii="Arial" w:cs="Arial" w:eastAsia="Arial" w:hAnsi="Arial"/>
          <w:sz w:val="16"/>
          <w:szCs w:val="16"/>
          <w:color w:val="2A2A2D"/>
        </w:rPr>
        <w:t>,</w:t>
      </w:r>
      <w:r>
        <w:rPr>
          <w:rFonts w:ascii="Arial" w:cs="Arial" w:eastAsia="Arial" w:hAnsi="Arial"/>
          <w:sz w:val="16"/>
          <w:szCs w:val="16"/>
          <w:color w:val="auto"/>
        </w:rPr>
        <w:t xml:space="preserve"> administrative</w:t>
      </w:r>
      <w:r>
        <w:rPr>
          <w:rFonts w:ascii="Arial" w:cs="Arial" w:eastAsia="Arial" w:hAnsi="Arial"/>
          <w:sz w:val="16"/>
          <w:szCs w:val="16"/>
          <w:color w:val="2A2A2D"/>
        </w:rPr>
        <w:t>,</w:t>
      </w:r>
      <w:r>
        <w:rPr>
          <w:rFonts w:ascii="Arial" w:cs="Arial" w:eastAsia="Arial" w:hAnsi="Arial"/>
          <w:sz w:val="16"/>
          <w:szCs w:val="16"/>
          <w:color w:val="auto"/>
        </w:rPr>
        <w:t xml:space="preserve"> arbitral or other proceedings, claims</w:t>
      </w:r>
      <w:r>
        <w:rPr>
          <w:rFonts w:ascii="Arial" w:cs="Arial" w:eastAsia="Arial" w:hAnsi="Arial"/>
          <w:sz w:val="16"/>
          <w:szCs w:val="16"/>
          <w:color w:val="2A2A2D"/>
        </w:rPr>
        <w:t>,</w:t>
      </w:r>
      <w:r>
        <w:rPr>
          <w:rFonts w:ascii="Arial" w:cs="Arial" w:eastAsia="Arial" w:hAnsi="Arial"/>
          <w:sz w:val="16"/>
          <w:szCs w:val="16"/>
          <w:color w:val="auto"/>
        </w:rPr>
        <w:t xml:space="preserve"> actions or governmental investigations of any nature against the Company or any of its Subsidiaries that</w:t>
      </w:r>
      <w:r>
        <w:rPr>
          <w:rFonts w:ascii="Arial" w:cs="Arial" w:eastAsia="Arial" w:hAnsi="Arial"/>
          <w:sz w:val="16"/>
          <w:szCs w:val="16"/>
          <w:color w:val="2A2A2D"/>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auto"/>
        </w:rPr>
        <w:t xml:space="preserve"> have had or would reasonably be expected to have a Material Adverse Effect or that challenge the validity of or seek to prevent the Transactions. Neither the Company nor any of its Subsidiaries is subject to any order</w:t>
      </w:r>
      <w:r>
        <w:rPr>
          <w:rFonts w:ascii="Arial" w:cs="Arial" w:eastAsia="Arial" w:hAnsi="Arial"/>
          <w:sz w:val="16"/>
          <w:szCs w:val="16"/>
          <w:color w:val="2A2A2D"/>
        </w:rPr>
        <w:t>,</w:t>
      </w:r>
      <w:r>
        <w:rPr>
          <w:rFonts w:ascii="Arial" w:cs="Arial" w:eastAsia="Arial" w:hAnsi="Arial"/>
          <w:sz w:val="16"/>
          <w:szCs w:val="16"/>
          <w:color w:val="auto"/>
        </w:rPr>
        <w:t xml:space="preserve"> judgment or decree of a Governmental Entity that</w:t>
      </w:r>
      <w:r>
        <w:rPr>
          <w:rFonts w:ascii="Arial" w:cs="Arial" w:eastAsia="Arial" w:hAnsi="Arial"/>
          <w:sz w:val="16"/>
          <w:szCs w:val="16"/>
          <w:color w:val="2A2A2D"/>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auto"/>
        </w:rPr>
        <w:t xml:space="preserve"> has had or would reasonably be expected to have a Material Adverse Effect. Except as</w:t>
      </w:r>
      <w:r>
        <w:rPr>
          <w:rFonts w:ascii="Arial" w:cs="Arial" w:eastAsia="Arial" w:hAnsi="Arial"/>
          <w:sz w:val="16"/>
          <w:szCs w:val="16"/>
          <w:color w:val="2A2A2D"/>
        </w:rPr>
        <w:t>,</w:t>
      </w:r>
      <w:r>
        <w:rPr>
          <w:rFonts w:ascii="Arial" w:cs="Arial" w:eastAsia="Arial" w:hAnsi="Arial"/>
          <w:sz w:val="16"/>
          <w:szCs w:val="16"/>
          <w:color w:val="auto"/>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auto"/>
        </w:rPr>
        <w:t xml:space="preserve"> has not had and would not reasonably be expected to have a Material Adverse Effect</w:t>
      </w:r>
      <w:r>
        <w:rPr>
          <w:rFonts w:ascii="Arial" w:cs="Arial" w:eastAsia="Arial" w:hAnsi="Arial"/>
          <w:sz w:val="16"/>
          <w:szCs w:val="16"/>
          <w:color w:val="2A2A2D"/>
        </w:rPr>
        <w:t>,</w:t>
      </w:r>
      <w:r>
        <w:rPr>
          <w:rFonts w:ascii="Arial" w:cs="Arial" w:eastAsia="Arial" w:hAnsi="Arial"/>
          <w:sz w:val="16"/>
          <w:szCs w:val="16"/>
          <w:color w:val="auto"/>
        </w:rPr>
        <w:t xml:space="preserve"> to the knowledge of the Company</w:t>
      </w:r>
      <w:r>
        <w:rPr>
          <w:rFonts w:ascii="Arial" w:cs="Arial" w:eastAsia="Arial" w:hAnsi="Arial"/>
          <w:sz w:val="16"/>
          <w:szCs w:val="16"/>
          <w:color w:val="2A2A2D"/>
        </w:rPr>
        <w:t>,</w:t>
      </w:r>
      <w:r>
        <w:rPr>
          <w:rFonts w:ascii="Arial" w:cs="Arial" w:eastAsia="Arial" w:hAnsi="Arial"/>
          <w:sz w:val="16"/>
          <w:szCs w:val="16"/>
          <w:color w:val="auto"/>
        </w:rPr>
        <w:t xml:space="preserve"> there is no investigation or review pending or threatened by any Governmental Entity with respect to the Company or any of its Subsidiaries.</w:t>
      </w:r>
    </w:p>
    <w:p>
      <w:pPr>
        <w:spacing w:after="0" w:line="137" w:lineRule="exact"/>
        <w:rPr>
          <w:rFonts w:ascii="Arial" w:cs="Arial" w:eastAsia="Arial" w:hAnsi="Arial"/>
          <w:sz w:val="16"/>
          <w:szCs w:val="16"/>
          <w:color w:val="auto"/>
        </w:rPr>
      </w:pPr>
    </w:p>
    <w:p>
      <w:pPr>
        <w:ind w:left="-60" w:right="100" w:firstLine="514"/>
        <w:spacing w:after="0" w:line="271" w:lineRule="auto"/>
        <w:tabs>
          <w:tab w:leader="none" w:pos="995"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110F13"/>
        </w:rPr>
        <w:t>Investm</w:t>
      </w:r>
      <w:r>
        <w:rPr>
          <w:rFonts w:ascii="Arial" w:cs="Arial" w:eastAsia="Arial" w:hAnsi="Arial"/>
          <w:sz w:val="17"/>
          <w:szCs w:val="17"/>
          <w:i w:val="1"/>
          <w:iCs w:val="1"/>
          <w:color w:val="2A2A2D"/>
        </w:rPr>
        <w:t>e</w:t>
      </w:r>
      <w:r>
        <w:rPr>
          <w:rFonts w:ascii="Arial" w:cs="Arial" w:eastAsia="Arial" w:hAnsi="Arial"/>
          <w:sz w:val="17"/>
          <w:szCs w:val="17"/>
          <w:i w:val="1"/>
          <w:iCs w:val="1"/>
          <w:color w:val="110F13"/>
        </w:rPr>
        <w:t xml:space="preserve">nt Company Act. </w:t>
      </w:r>
      <w:r>
        <w:rPr>
          <w:rFonts w:ascii="Arial" w:cs="Arial" w:eastAsia="Arial" w:hAnsi="Arial"/>
          <w:sz w:val="17"/>
          <w:szCs w:val="17"/>
          <w:color w:val="110F13"/>
        </w:rPr>
        <w:t>The Company is not</w:t>
      </w:r>
      <w:r>
        <w:rPr>
          <w:rFonts w:ascii="Arial" w:cs="Arial" w:eastAsia="Arial" w:hAnsi="Arial"/>
          <w:sz w:val="17"/>
          <w:szCs w:val="17"/>
          <w:color w:val="2A2A2D"/>
        </w:rPr>
        <w:t>,</w:t>
      </w:r>
      <w:r>
        <w:rPr>
          <w:rFonts w:ascii="Arial" w:cs="Arial" w:eastAsia="Arial" w:hAnsi="Arial"/>
          <w:sz w:val="17"/>
          <w:szCs w:val="17"/>
          <w:i w:val="1"/>
          <w:iCs w:val="1"/>
          <w:color w:val="110F13"/>
        </w:rPr>
        <w:t xml:space="preserve"> </w:t>
      </w:r>
      <w:r>
        <w:rPr>
          <w:rFonts w:ascii="Arial" w:cs="Arial" w:eastAsia="Arial" w:hAnsi="Arial"/>
          <w:sz w:val="17"/>
          <w:szCs w:val="17"/>
          <w:color w:val="110F13"/>
        </w:rPr>
        <w:t>and immediately after receipt of payment</w:t>
      </w:r>
      <w:r>
        <w:rPr>
          <w:rFonts w:ascii="Arial" w:cs="Arial" w:eastAsia="Arial" w:hAnsi="Arial"/>
          <w:sz w:val="17"/>
          <w:szCs w:val="17"/>
          <w:i w:val="1"/>
          <w:iCs w:val="1"/>
          <w:color w:val="110F13"/>
        </w:rPr>
        <w:t xml:space="preserve"> </w:t>
      </w:r>
      <w:r>
        <w:rPr>
          <w:rFonts w:ascii="Arial" w:cs="Arial" w:eastAsia="Arial" w:hAnsi="Arial"/>
          <w:sz w:val="17"/>
          <w:szCs w:val="17"/>
          <w:color w:val="000000"/>
        </w:rPr>
        <w:t>for</w:t>
      </w:r>
      <w:r>
        <w:rPr>
          <w:rFonts w:ascii="Arial" w:cs="Arial" w:eastAsia="Arial" w:hAnsi="Arial"/>
          <w:sz w:val="17"/>
          <w:szCs w:val="17"/>
          <w:i w:val="1"/>
          <w:iCs w:val="1"/>
          <w:color w:val="110F13"/>
        </w:rPr>
        <w:t xml:space="preserve"> </w:t>
      </w:r>
      <w:r>
        <w:rPr>
          <w:rFonts w:ascii="Arial" w:cs="Arial" w:eastAsia="Arial" w:hAnsi="Arial"/>
          <w:sz w:val="17"/>
          <w:szCs w:val="17"/>
          <w:color w:val="110F13"/>
        </w:rPr>
        <w:t>the Notes will not be</w:t>
      </w:r>
      <w:r>
        <w:rPr>
          <w:rFonts w:ascii="Arial" w:cs="Arial" w:eastAsia="Arial" w:hAnsi="Arial"/>
          <w:sz w:val="17"/>
          <w:szCs w:val="17"/>
          <w:color w:val="2A2A2D"/>
        </w:rPr>
        <w:t>,</w:t>
      </w:r>
      <w:r>
        <w:rPr>
          <w:rFonts w:ascii="Arial" w:cs="Arial" w:eastAsia="Arial" w:hAnsi="Arial"/>
          <w:sz w:val="17"/>
          <w:szCs w:val="17"/>
          <w:i w:val="1"/>
          <w:iCs w:val="1"/>
          <w:color w:val="110F13"/>
        </w:rPr>
        <w:t xml:space="preserve"> </w:t>
      </w:r>
      <w:r>
        <w:rPr>
          <w:rFonts w:ascii="Arial" w:cs="Arial" w:eastAsia="Arial" w:hAnsi="Arial"/>
          <w:sz w:val="17"/>
          <w:szCs w:val="17"/>
          <w:color w:val="110F13"/>
        </w:rPr>
        <w:t>an “investment company” within</w:t>
      </w:r>
      <w:r>
        <w:rPr>
          <w:rFonts w:ascii="Arial" w:cs="Arial" w:eastAsia="Arial" w:hAnsi="Arial"/>
          <w:sz w:val="17"/>
          <w:szCs w:val="17"/>
          <w:i w:val="1"/>
          <w:iCs w:val="1"/>
          <w:color w:val="110F13"/>
        </w:rPr>
        <w:t xml:space="preserve"> </w:t>
      </w:r>
      <w:r>
        <w:rPr>
          <w:rFonts w:ascii="Arial" w:cs="Arial" w:eastAsia="Arial" w:hAnsi="Arial"/>
          <w:sz w:val="17"/>
          <w:szCs w:val="17"/>
          <w:color w:val="110F13"/>
        </w:rPr>
        <w:t>the meaning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80"/>
          </w:cols>
          <w:pgMar w:left="360" w:top="1162" w:right="359" w:bottom="1440" w:gutter="0" w:footer="0" w:header="0"/>
        </w:sectPr>
      </w:pPr>
    </w:p>
    <w:bookmarkStart w:id="146" w:name="page147"/>
    <w:bookmarkEnd w:id="146"/>
    <w:p>
      <w:pPr>
        <w:ind w:left="1060" w:hanging="546"/>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i w:val="1"/>
          <w:iCs w:val="1"/>
          <w:color w:val="auto"/>
        </w:rPr>
        <w:t xml:space="preserve">Taxes and Tax Returns. </w:t>
      </w:r>
      <w:r>
        <w:rPr>
          <w:rFonts w:ascii="Arial" w:cs="Arial" w:eastAsia="Arial" w:hAnsi="Arial"/>
          <w:sz w:val="15"/>
          <w:szCs w:val="15"/>
          <w:color w:val="auto"/>
        </w:rPr>
        <w:t>Except as</w:t>
      </w:r>
      <w:r>
        <w:rPr>
          <w:rFonts w:ascii="Arial" w:cs="Arial" w:eastAsia="Arial" w:hAnsi="Arial"/>
          <w:sz w:val="15"/>
          <w:szCs w:val="15"/>
          <w:color w:val="2A2A2D"/>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individually or in the aggregate</w:t>
      </w:r>
      <w:r>
        <w:rPr>
          <w:rFonts w:ascii="Arial" w:cs="Arial" w:eastAsia="Arial" w:hAnsi="Arial"/>
          <w:sz w:val="15"/>
          <w:szCs w:val="15"/>
          <w:color w:val="2A2A2D"/>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has not had and would not reasonably be expected to have a Material Adverse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Effect:</w:t>
      </w:r>
    </w:p>
    <w:p>
      <w:pPr>
        <w:spacing w:after="0" w:line="162" w:lineRule="exact"/>
        <w:rPr>
          <w:sz w:val="20"/>
          <w:szCs w:val="20"/>
          <w:color w:val="auto"/>
        </w:rPr>
      </w:pPr>
    </w:p>
    <w:p>
      <w:pPr>
        <w:ind w:left="520" w:right="80" w:firstLine="504"/>
        <w:spacing w:after="0" w:line="300" w:lineRule="auto"/>
        <w:tabs>
          <w:tab w:leader="none" w:pos="1533" w:val="left"/>
        </w:tabs>
        <w:numPr>
          <w:ilvl w:val="1"/>
          <w:numId w:val="95"/>
        </w:numPr>
        <w:rPr>
          <w:rFonts w:ascii="Arial" w:cs="Arial" w:eastAsia="Arial" w:hAnsi="Arial"/>
          <w:sz w:val="15"/>
          <w:szCs w:val="15"/>
          <w:color w:val="auto"/>
        </w:rPr>
      </w:pPr>
      <w:r>
        <w:rPr>
          <w:rFonts w:ascii="Arial" w:cs="Arial" w:eastAsia="Arial" w:hAnsi="Arial"/>
          <w:sz w:val="15"/>
          <w:szCs w:val="15"/>
          <w:color w:val="110E13"/>
        </w:rPr>
        <w:t>the Company and each of its Subsidiaries have timely filed (taking into account all applicable extensions) all Tax Returns required to be filed by them</w:t>
      </w:r>
      <w:r>
        <w:rPr>
          <w:rFonts w:ascii="Arial" w:cs="Arial" w:eastAsia="Arial" w:hAnsi="Arial"/>
          <w:sz w:val="15"/>
          <w:szCs w:val="15"/>
          <w:color w:val="2A2A2D"/>
        </w:rPr>
        <w:t>,</w:t>
      </w:r>
      <w:r>
        <w:rPr>
          <w:rFonts w:ascii="Arial" w:cs="Arial" w:eastAsia="Arial" w:hAnsi="Arial"/>
          <w:sz w:val="15"/>
          <w:szCs w:val="15"/>
          <w:color w:val="110E13"/>
        </w:rPr>
        <w:t xml:space="preserve"> and all such Tax Returns were correct and complete in all respects</w:t>
      </w:r>
      <w:r>
        <w:rPr>
          <w:rFonts w:ascii="Arial" w:cs="Arial" w:eastAsia="Arial" w:hAnsi="Arial"/>
          <w:sz w:val="15"/>
          <w:szCs w:val="15"/>
          <w:color w:val="2A2A2D"/>
        </w:rPr>
        <w:t>,</w:t>
      </w:r>
      <w:r>
        <w:rPr>
          <w:rFonts w:ascii="Arial" w:cs="Arial" w:eastAsia="Arial" w:hAnsi="Arial"/>
          <w:sz w:val="15"/>
          <w:szCs w:val="15"/>
          <w:color w:val="110E13"/>
        </w:rPr>
        <w:t xml:space="preserve"> and the Company and each of its Subsidiaries have paid (or have had paid on their behalf) to the appropriate Governmental Entity all Taxes that are shown as being required to be paid by them on such Tax Returns</w:t>
      </w:r>
      <w:r>
        <w:rPr>
          <w:rFonts w:ascii="Arial" w:cs="Arial" w:eastAsia="Arial" w:hAnsi="Arial"/>
          <w:sz w:val="15"/>
          <w:szCs w:val="15"/>
          <w:color w:val="2A2A2D"/>
        </w:rPr>
        <w:t>,</w:t>
      </w:r>
      <w:r>
        <w:rPr>
          <w:rFonts w:ascii="Arial" w:cs="Arial" w:eastAsia="Arial" w:hAnsi="Arial"/>
          <w:sz w:val="15"/>
          <w:szCs w:val="15"/>
          <w:color w:val="110E13"/>
        </w:rPr>
        <w:t xml:space="preserve"> except</w:t>
      </w:r>
      <w:r>
        <w:rPr>
          <w:rFonts w:ascii="Arial" w:cs="Arial" w:eastAsia="Arial" w:hAnsi="Arial"/>
          <w:sz w:val="15"/>
          <w:szCs w:val="15"/>
          <w:color w:val="2A2A2D"/>
        </w:rPr>
        <w:t>,</w:t>
      </w:r>
      <w:r>
        <w:rPr>
          <w:rFonts w:ascii="Arial" w:cs="Arial" w:eastAsia="Arial" w:hAnsi="Arial"/>
          <w:sz w:val="15"/>
          <w:szCs w:val="15"/>
          <w:color w:val="110E13"/>
        </w:rPr>
        <w:t xml:space="preserve"> in each case</w:t>
      </w:r>
      <w:r>
        <w:rPr>
          <w:rFonts w:ascii="Arial" w:cs="Arial" w:eastAsia="Arial" w:hAnsi="Arial"/>
          <w:sz w:val="15"/>
          <w:szCs w:val="15"/>
          <w:color w:val="2A2A2D"/>
        </w:rPr>
        <w:t>,</w:t>
      </w:r>
      <w:r>
        <w:rPr>
          <w:rFonts w:ascii="Arial" w:cs="Arial" w:eastAsia="Arial" w:hAnsi="Arial"/>
          <w:sz w:val="15"/>
          <w:szCs w:val="15"/>
          <w:color w:val="110E13"/>
        </w:rPr>
        <w:t xml:space="preserve"> with respect to matters contested in good faith or for which adequate reserves have been established in accordance with GAAP</w:t>
      </w:r>
      <w:r>
        <w:rPr>
          <w:rFonts w:ascii="Arial" w:cs="Arial" w:eastAsia="Arial" w:hAnsi="Arial"/>
          <w:sz w:val="15"/>
          <w:szCs w:val="15"/>
          <w:color w:val="2A2A2D"/>
        </w:rPr>
        <w:t>; and</w:t>
      </w:r>
    </w:p>
    <w:p>
      <w:pPr>
        <w:spacing w:after="0" w:line="124" w:lineRule="exact"/>
        <w:rPr>
          <w:rFonts w:ascii="Arial" w:cs="Arial" w:eastAsia="Arial" w:hAnsi="Arial"/>
          <w:sz w:val="15"/>
          <w:szCs w:val="15"/>
          <w:color w:val="auto"/>
        </w:rPr>
      </w:pPr>
    </w:p>
    <w:p>
      <w:pPr>
        <w:ind w:left="520" w:right="140" w:firstLine="504"/>
        <w:spacing w:after="0" w:line="271" w:lineRule="auto"/>
        <w:tabs>
          <w:tab w:leader="none" w:pos="1538" w:val="left"/>
        </w:tabs>
        <w:numPr>
          <w:ilvl w:val="1"/>
          <w:numId w:val="95"/>
        </w:numPr>
        <w:rPr>
          <w:rFonts w:ascii="Arial" w:cs="Arial" w:eastAsia="Arial" w:hAnsi="Arial"/>
          <w:sz w:val="17"/>
          <w:szCs w:val="17"/>
          <w:color w:val="auto"/>
        </w:rPr>
      </w:pPr>
      <w:r>
        <w:rPr>
          <w:rFonts w:ascii="Arial" w:cs="Arial" w:eastAsia="Arial" w:hAnsi="Arial"/>
          <w:sz w:val="17"/>
          <w:szCs w:val="17"/>
          <w:color w:val="110E13"/>
        </w:rPr>
        <w:t>there are no disputes pending</w:t>
      </w:r>
      <w:r>
        <w:rPr>
          <w:rFonts w:ascii="Arial" w:cs="Arial" w:eastAsia="Arial" w:hAnsi="Arial"/>
          <w:sz w:val="17"/>
          <w:szCs w:val="17"/>
          <w:color w:val="2A2A2D"/>
        </w:rPr>
        <w:t>,</w:t>
      </w:r>
      <w:r>
        <w:rPr>
          <w:rFonts w:ascii="Arial" w:cs="Arial" w:eastAsia="Arial" w:hAnsi="Arial"/>
          <w:sz w:val="17"/>
          <w:szCs w:val="17"/>
          <w:color w:val="110E13"/>
        </w:rPr>
        <w:t xml:space="preserve"> or claims asserted in writing</w:t>
      </w:r>
      <w:r>
        <w:rPr>
          <w:rFonts w:ascii="Arial" w:cs="Arial" w:eastAsia="Arial" w:hAnsi="Arial"/>
          <w:sz w:val="17"/>
          <w:szCs w:val="17"/>
          <w:color w:val="2A2A2D"/>
        </w:rPr>
        <w:t>,</w:t>
      </w:r>
      <w:r>
        <w:rPr>
          <w:rFonts w:ascii="Arial" w:cs="Arial" w:eastAsia="Arial" w:hAnsi="Arial"/>
          <w:sz w:val="17"/>
          <w:szCs w:val="17"/>
          <w:color w:val="110E13"/>
        </w:rPr>
        <w:t xml:space="preserve"> in respect of Taxes of the Company or any of its Subsidiaries for which reserves that are adequate under GAAP have not been established</w:t>
      </w:r>
      <w:r>
        <w:rPr>
          <w:rFonts w:ascii="Arial" w:cs="Arial" w:eastAsia="Arial" w:hAnsi="Arial"/>
          <w:sz w:val="17"/>
          <w:szCs w:val="17"/>
          <w:color w:val="2A2A2D"/>
        </w:rPr>
        <w:t>.</w:t>
      </w:r>
    </w:p>
    <w:p>
      <w:pPr>
        <w:spacing w:after="0" w:line="131" w:lineRule="exact"/>
        <w:rPr>
          <w:rFonts w:ascii="Arial" w:cs="Arial" w:eastAsia="Arial" w:hAnsi="Arial"/>
          <w:sz w:val="17"/>
          <w:szCs w:val="17"/>
          <w:color w:val="auto"/>
        </w:rPr>
      </w:pPr>
    </w:p>
    <w:p>
      <w:pPr>
        <w:ind w:right="60" w:firstLine="514"/>
        <w:spacing w:after="0" w:line="253" w:lineRule="auto"/>
        <w:tabs>
          <w:tab w:leader="none" w:pos="1061"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No Piggyback or Preemptiv</w:t>
      </w:r>
      <w:r>
        <w:rPr>
          <w:rFonts w:ascii="Arial" w:cs="Arial" w:eastAsia="Arial" w:hAnsi="Arial"/>
          <w:sz w:val="17"/>
          <w:szCs w:val="17"/>
          <w:i w:val="1"/>
          <w:iCs w:val="1"/>
          <w:color w:val="282A2B"/>
        </w:rPr>
        <w:t>e</w:t>
      </w:r>
      <w:r>
        <w:rPr>
          <w:rFonts w:ascii="Arial" w:cs="Arial" w:eastAsia="Arial" w:hAnsi="Arial"/>
          <w:sz w:val="17"/>
          <w:szCs w:val="17"/>
          <w:i w:val="1"/>
          <w:iCs w:val="1"/>
          <w:color w:val="auto"/>
        </w:rPr>
        <w:t xml:space="preserve"> Rights</w:t>
      </w:r>
      <w:r>
        <w:rPr>
          <w:rFonts w:ascii="Arial" w:cs="Arial" w:eastAsia="Arial" w:hAnsi="Arial"/>
          <w:sz w:val="17"/>
          <w:szCs w:val="17"/>
          <w:i w:val="1"/>
          <w:iCs w:val="1"/>
          <w:color w:val="282A2B"/>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as disclosed in the Company Reports filed with or furnished to the SEC and publicly available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there are no contracts, agreements or understandings between the Company and any person granting such person the right (other than rights which have been waived in writing or otherwise satisfied) to (i) require the Company to include any securities other than securities issued to Purchaser in a Registration Statement or (ii) preemptive rights to subscribe for the Company Common Stock issuable upon conversion of the Notes, except in each case of (i) and (ii), as may have been duly waived.</w:t>
      </w:r>
    </w:p>
    <w:p>
      <w:pPr>
        <w:spacing w:after="0" w:line="147" w:lineRule="exact"/>
        <w:rPr>
          <w:rFonts w:ascii="Arial" w:cs="Arial" w:eastAsia="Arial" w:hAnsi="Arial"/>
          <w:sz w:val="17"/>
          <w:szCs w:val="17"/>
          <w:color w:val="auto"/>
        </w:rPr>
      </w:pPr>
    </w:p>
    <w:p>
      <w:pPr>
        <w:ind w:firstLine="514"/>
        <w:spacing w:after="0" w:line="303" w:lineRule="auto"/>
        <w:tabs>
          <w:tab w:leader="none" w:pos="1061"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Brokers and Find</w:t>
      </w:r>
      <w:r>
        <w:rPr>
          <w:rFonts w:ascii="Arial" w:cs="Arial" w:eastAsia="Arial" w:hAnsi="Arial"/>
          <w:sz w:val="16"/>
          <w:szCs w:val="16"/>
          <w:i w:val="1"/>
          <w:iCs w:val="1"/>
          <w:color w:val="282A2B"/>
        </w:rPr>
        <w:t>e</w:t>
      </w:r>
      <w:r>
        <w:rPr>
          <w:rFonts w:ascii="Arial" w:cs="Arial" w:eastAsia="Arial" w:hAnsi="Arial"/>
          <w:sz w:val="16"/>
          <w:szCs w:val="16"/>
          <w:i w:val="1"/>
          <w:iCs w:val="1"/>
          <w:color w:val="auto"/>
        </w:rPr>
        <w:t xml:space="preserve">rs. </w:t>
      </w:r>
      <w:r>
        <w:rPr>
          <w:rFonts w:ascii="Arial" w:cs="Arial" w:eastAsia="Arial" w:hAnsi="Arial"/>
          <w:sz w:val="16"/>
          <w:szCs w:val="16"/>
          <w:color w:val="auto"/>
        </w:rPr>
        <w:t>The Company has not retained</w:t>
      </w:r>
      <w:r>
        <w:rPr>
          <w:rFonts w:ascii="Arial" w:cs="Arial" w:eastAsia="Arial" w:hAnsi="Arial"/>
          <w:sz w:val="16"/>
          <w:szCs w:val="16"/>
          <w:color w:val="282A2B"/>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or been represented by</w:t>
      </w:r>
      <w:r>
        <w:rPr>
          <w:rFonts w:ascii="Arial" w:cs="Arial" w:eastAsia="Arial" w:hAnsi="Arial"/>
          <w:sz w:val="16"/>
          <w:szCs w:val="16"/>
          <w:color w:val="282A2B"/>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become obligated to</w:t>
      </w:r>
      <w:r>
        <w:rPr>
          <w:rFonts w:ascii="Arial" w:cs="Arial" w:eastAsia="Arial" w:hAnsi="Arial"/>
          <w:sz w:val="16"/>
          <w:szCs w:val="16"/>
          <w:color w:val="282A2B"/>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any broker</w:t>
      </w:r>
      <w:r>
        <w:rPr>
          <w:rFonts w:ascii="Arial" w:cs="Arial" w:eastAsia="Arial" w:hAnsi="Arial"/>
          <w:sz w:val="16"/>
          <w:szCs w:val="16"/>
          <w:color w:val="282A2B"/>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agent</w:t>
      </w:r>
      <w:r>
        <w:rPr>
          <w:rFonts w:ascii="Arial" w:cs="Arial" w:eastAsia="Arial" w:hAnsi="Arial"/>
          <w:sz w:val="16"/>
          <w:szCs w:val="16"/>
          <w:color w:val="282A2B"/>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advisor or finder in connection with the transactions contemplated by this Agreement whose fees the Purchaser would be required to pay.</w:t>
      </w:r>
    </w:p>
    <w:p>
      <w:pPr>
        <w:spacing w:after="0" w:line="108" w:lineRule="exact"/>
        <w:rPr>
          <w:rFonts w:ascii="Arial" w:cs="Arial" w:eastAsia="Arial" w:hAnsi="Arial"/>
          <w:sz w:val="16"/>
          <w:szCs w:val="16"/>
          <w:color w:val="auto"/>
        </w:rPr>
      </w:pPr>
    </w:p>
    <w:p>
      <w:pPr>
        <w:ind w:right="200" w:firstLine="514"/>
        <w:spacing w:after="0" w:line="273" w:lineRule="auto"/>
        <w:tabs>
          <w:tab w:leader="none" w:pos="1061"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individually or in the aggregate, would not reasonably be expected to have a Material Adverse Effect, (i)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own or possess sufficient rights to use all Intellectual Property used in or necessary for the conduct of their respective businesses as currently conducted, (ii) to the knowledge of the Company, the conduct of the respective businesses of the Company and its Subsidiaries does not infringe, misappropriate or otherwise violate the Intellectual Property rights of any Person and (iii) to the knowledge of the Company, no Person is infringing, misappropriating or otherwise violating the rights of the Company or its Subsidiaries in any Owned Intellectual Property.</w:t>
      </w:r>
    </w:p>
    <w:p>
      <w:pPr>
        <w:spacing w:after="0" w:line="131" w:lineRule="exact"/>
        <w:rPr>
          <w:rFonts w:ascii="Arial" w:cs="Arial" w:eastAsia="Arial" w:hAnsi="Arial"/>
          <w:sz w:val="16"/>
          <w:szCs w:val="16"/>
          <w:color w:val="auto"/>
        </w:rPr>
      </w:pPr>
    </w:p>
    <w:p>
      <w:pPr>
        <w:ind w:right="280" w:firstLine="514"/>
        <w:spacing w:after="0" w:line="310" w:lineRule="auto"/>
        <w:tabs>
          <w:tab w:leader="none" w:pos="1061"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Relat</w:t>
      </w:r>
      <w:r>
        <w:rPr>
          <w:rFonts w:ascii="Arial" w:cs="Arial" w:eastAsia="Arial" w:hAnsi="Arial"/>
          <w:sz w:val="15"/>
          <w:szCs w:val="15"/>
          <w:i w:val="1"/>
          <w:iCs w:val="1"/>
          <w:color w:val="2A2A2B"/>
        </w:rPr>
        <w:t>e</w:t>
      </w:r>
      <w:r>
        <w:rPr>
          <w:rFonts w:ascii="Arial" w:cs="Arial" w:eastAsia="Arial" w:hAnsi="Arial"/>
          <w:sz w:val="15"/>
          <w:szCs w:val="15"/>
          <w:i w:val="1"/>
          <w:iCs w:val="1"/>
          <w:color w:val="auto"/>
        </w:rPr>
        <w:t xml:space="preserve">d Party Transactions. </w:t>
      </w:r>
      <w:r>
        <w:rPr>
          <w:rFonts w:ascii="Arial" w:cs="Arial" w:eastAsia="Arial" w:hAnsi="Arial"/>
          <w:sz w:val="15"/>
          <w:szCs w:val="15"/>
          <w:color w:val="auto"/>
        </w:rPr>
        <w:t>Since January 1</w:t>
      </w:r>
      <w:r>
        <w:rPr>
          <w:rFonts w:ascii="Arial" w:cs="Arial" w:eastAsia="Arial" w:hAnsi="Arial"/>
          <w:sz w:val="15"/>
          <w:szCs w:val="15"/>
          <w:color w:val="2A2A2B"/>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2021</w:t>
      </w:r>
      <w:r>
        <w:rPr>
          <w:rFonts w:ascii="Arial" w:cs="Arial" w:eastAsia="Arial" w:hAnsi="Arial"/>
          <w:sz w:val="15"/>
          <w:szCs w:val="15"/>
          <w:color w:val="2A2A2B"/>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there has been no transaction</w:t>
      </w:r>
      <w:r>
        <w:rPr>
          <w:rFonts w:ascii="Arial" w:cs="Arial" w:eastAsia="Arial" w:hAnsi="Arial"/>
          <w:sz w:val="15"/>
          <w:szCs w:val="15"/>
          <w:color w:val="2A2A2B"/>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or series of related transactions</w:t>
      </w:r>
      <w:r>
        <w:rPr>
          <w:rFonts w:ascii="Arial" w:cs="Arial" w:eastAsia="Arial" w:hAnsi="Arial"/>
          <w:sz w:val="15"/>
          <w:szCs w:val="15"/>
          <w:color w:val="2A2A2B"/>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w:t>
      </w:r>
      <w:r>
        <w:rPr>
          <w:rFonts w:ascii="Arial" w:cs="Arial" w:eastAsia="Arial" w:hAnsi="Arial"/>
          <w:sz w:val="15"/>
          <w:szCs w:val="15"/>
          <w:color w:val="2A2A2B"/>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arrangements or</w:t>
      </w:r>
      <w:r>
        <w:rPr>
          <w:rFonts w:ascii="Arial" w:cs="Arial" w:eastAsia="Arial" w:hAnsi="Arial"/>
          <w:sz w:val="15"/>
          <w:szCs w:val="15"/>
          <w:i w:val="1"/>
          <w:iCs w:val="1"/>
          <w:color w:val="auto"/>
        </w:rPr>
        <w:t xml:space="preserve"> </w:t>
      </w:r>
      <w:r>
        <w:rPr>
          <w:rFonts w:ascii="Arial" w:cs="Arial" w:eastAsia="Arial" w:hAnsi="Arial"/>
          <w:sz w:val="15"/>
          <w:szCs w:val="15"/>
          <w:color w:val="auto"/>
        </w:rPr>
        <w:t>understandings</w:t>
      </w:r>
      <w:r>
        <w:rPr>
          <w:rFonts w:ascii="Arial" w:cs="Arial" w:eastAsia="Arial" w:hAnsi="Arial"/>
          <w:sz w:val="15"/>
          <w:szCs w:val="15"/>
          <w:color w:val="2A2A2B"/>
        </w:rPr>
        <w:t>,</w:t>
      </w:r>
      <w:r>
        <w:rPr>
          <w:rFonts w:ascii="Arial" w:cs="Arial" w:eastAsia="Arial" w:hAnsi="Arial"/>
          <w:sz w:val="15"/>
          <w:szCs w:val="15"/>
          <w:color w:val="auto"/>
        </w:rPr>
        <w:t xml:space="preserve"> nor is there any proposed transaction</w:t>
      </w:r>
      <w:r>
        <w:rPr>
          <w:rFonts w:ascii="Arial" w:cs="Arial" w:eastAsia="Arial" w:hAnsi="Arial"/>
          <w:sz w:val="15"/>
          <w:szCs w:val="15"/>
          <w:color w:val="2A2A2B"/>
        </w:rPr>
        <w:t>,</w:t>
      </w:r>
      <w:r>
        <w:rPr>
          <w:rFonts w:ascii="Arial" w:cs="Arial" w:eastAsia="Arial" w:hAnsi="Arial"/>
          <w:sz w:val="15"/>
          <w:szCs w:val="15"/>
          <w:color w:val="auto"/>
        </w:rPr>
        <w:t xml:space="preserve"> or series of related transactions</w:t>
      </w:r>
      <w:r>
        <w:rPr>
          <w:rFonts w:ascii="Arial" w:cs="Arial" w:eastAsia="Arial" w:hAnsi="Arial"/>
          <w:sz w:val="15"/>
          <w:szCs w:val="15"/>
          <w:color w:val="2A2A2B"/>
        </w:rPr>
        <w:t>,</w:t>
      </w:r>
      <w:r>
        <w:rPr>
          <w:rFonts w:ascii="Arial" w:cs="Arial" w:eastAsia="Arial" w:hAnsi="Arial"/>
          <w:sz w:val="15"/>
          <w:szCs w:val="15"/>
          <w:color w:val="auto"/>
        </w:rPr>
        <w:t xml:space="preserve"> agreements</w:t>
      </w:r>
      <w:r>
        <w:rPr>
          <w:rFonts w:ascii="Arial" w:cs="Arial" w:eastAsia="Arial" w:hAnsi="Arial"/>
          <w:sz w:val="15"/>
          <w:szCs w:val="15"/>
          <w:color w:val="2A2A2B"/>
        </w:rPr>
        <w:t>,</w:t>
      </w:r>
      <w:r>
        <w:rPr>
          <w:rFonts w:ascii="Arial" w:cs="Arial" w:eastAsia="Arial" w:hAnsi="Arial"/>
          <w:sz w:val="15"/>
          <w:szCs w:val="15"/>
          <w:color w:val="auto"/>
        </w:rPr>
        <w:t xml:space="preserve"> arrangements or understandings</w:t>
      </w:r>
      <w:r>
        <w:rPr>
          <w:rFonts w:ascii="Arial" w:cs="Arial" w:eastAsia="Arial" w:hAnsi="Arial"/>
          <w:sz w:val="15"/>
          <w:szCs w:val="15"/>
          <w:color w:val="2A2A2B"/>
        </w:rPr>
        <w:t>,</w:t>
      </w:r>
      <w:r>
        <w:rPr>
          <w:rFonts w:ascii="Arial" w:cs="Arial" w:eastAsia="Arial" w:hAnsi="Arial"/>
          <w:sz w:val="15"/>
          <w:szCs w:val="15"/>
          <w:color w:val="auto"/>
        </w:rPr>
        <w:t xml:space="preserve"> that would be required to be disclosed under Item 404 of </w:t>
      </w:r>
      <w:r>
        <w:rPr>
          <w:rFonts w:ascii="Arial" w:cs="Arial" w:eastAsia="Arial" w:hAnsi="Arial"/>
          <w:sz w:val="15"/>
          <w:szCs w:val="15"/>
          <w:color w:val="110F13"/>
        </w:rPr>
        <w:t>Regulation S-K promulgated by the SEC under the Securities Act that have not been disclosed in the Company Reports.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00" w:top="1152" w:right="399" w:bottom="1440" w:gutter="0" w:footer="0" w:header="0"/>
        </w:sectPr>
      </w:pPr>
    </w:p>
    <w:bookmarkStart w:id="147" w:name="page148"/>
    <w:bookmarkEnd w:id="147"/>
    <w:p>
      <w:pPr>
        <w:ind w:left="1040" w:hanging="526"/>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Additional Representations.</w:t>
      </w:r>
    </w:p>
    <w:p>
      <w:pPr>
        <w:spacing w:after="0" w:line="175" w:lineRule="exact"/>
        <w:rPr>
          <w:rFonts w:ascii="Arial" w:cs="Arial" w:eastAsia="Arial" w:hAnsi="Arial"/>
          <w:sz w:val="17"/>
          <w:szCs w:val="17"/>
          <w:color w:val="auto"/>
        </w:rPr>
      </w:pPr>
    </w:p>
    <w:p>
      <w:pPr>
        <w:ind w:left="520" w:right="200" w:firstLine="504"/>
        <w:spacing w:after="0" w:line="255" w:lineRule="auto"/>
        <w:tabs>
          <w:tab w:leader="none" w:pos="1533" w:val="left"/>
        </w:tabs>
        <w:numPr>
          <w:ilvl w:val="1"/>
          <w:numId w:val="97"/>
        </w:numPr>
        <w:rPr>
          <w:rFonts w:ascii="Arial" w:cs="Arial" w:eastAsia="Arial" w:hAnsi="Arial"/>
          <w:sz w:val="17"/>
          <w:szCs w:val="17"/>
          <w:color w:val="auto"/>
        </w:rPr>
      </w:pPr>
      <w:r>
        <w:rPr>
          <w:rFonts w:ascii="Arial" w:cs="Arial" w:eastAsia="Arial" w:hAnsi="Arial"/>
          <w:sz w:val="17"/>
          <w:szCs w:val="17"/>
          <w:color w:val="110E13"/>
        </w:rPr>
        <w:t xml:space="preserve">The Company acknowledges that the Purchaser makes no representation or warranty as to any matter whatsoever except as expressly set forth in </w:t>
      </w:r>
      <w:r>
        <w:rPr>
          <w:rFonts w:ascii="Arial" w:cs="Arial" w:eastAsia="Arial" w:hAnsi="Arial"/>
          <w:sz w:val="17"/>
          <w:szCs w:val="17"/>
          <w:color w:val="000000"/>
        </w:rPr>
        <w:t>Section 3.02</w:t>
      </w:r>
      <w:r>
        <w:rPr>
          <w:rFonts w:ascii="Arial" w:cs="Arial" w:eastAsia="Arial" w:hAnsi="Arial"/>
          <w:sz w:val="17"/>
          <w:szCs w:val="17"/>
          <w:color w:val="110E13"/>
        </w:rPr>
        <w:t xml:space="preserve"> and in any certificate delivered by the Purchaser pursuant to this Agreement</w:t>
      </w:r>
      <w:r>
        <w:rPr>
          <w:rFonts w:ascii="Arial" w:cs="Arial" w:eastAsia="Arial" w:hAnsi="Arial"/>
          <w:sz w:val="17"/>
          <w:szCs w:val="17"/>
          <w:color w:val="2A282B"/>
        </w:rPr>
        <w:t>,</w:t>
      </w:r>
      <w:r>
        <w:rPr>
          <w:rFonts w:ascii="Arial" w:cs="Arial" w:eastAsia="Arial" w:hAnsi="Arial"/>
          <w:sz w:val="17"/>
          <w:szCs w:val="17"/>
          <w:color w:val="110E13"/>
        </w:rPr>
        <w:t xml:space="preserve"> and the Company has not relied on or been induced by such information or any other representations or warranties (whether express or implied or made orally or in writing) not expressly set forth in </w:t>
      </w:r>
      <w:r>
        <w:rPr>
          <w:rFonts w:ascii="Arial" w:cs="Arial" w:eastAsia="Arial" w:hAnsi="Arial"/>
          <w:sz w:val="17"/>
          <w:szCs w:val="17"/>
          <w:color w:val="000000"/>
        </w:rPr>
        <w:t>Section 3.02</w:t>
      </w:r>
      <w:r>
        <w:rPr>
          <w:rFonts w:ascii="Arial" w:cs="Arial" w:eastAsia="Arial" w:hAnsi="Arial"/>
          <w:sz w:val="17"/>
          <w:szCs w:val="17"/>
          <w:color w:val="110E13"/>
        </w:rPr>
        <w:t xml:space="preserve"> and in any certificate delivered by the Purchaser pursuant to this Agreement.</w:t>
      </w:r>
    </w:p>
    <w:p>
      <w:pPr>
        <w:spacing w:after="0" w:line="155" w:lineRule="exact"/>
        <w:rPr>
          <w:rFonts w:ascii="Arial" w:cs="Arial" w:eastAsia="Arial" w:hAnsi="Arial"/>
          <w:sz w:val="17"/>
          <w:szCs w:val="17"/>
          <w:color w:val="auto"/>
        </w:rPr>
      </w:pPr>
    </w:p>
    <w:p>
      <w:pPr>
        <w:ind w:left="520" w:right="140" w:firstLine="504"/>
        <w:spacing w:after="0" w:line="269" w:lineRule="auto"/>
        <w:tabs>
          <w:tab w:leader="none" w:pos="1538" w:val="left"/>
        </w:tabs>
        <w:numPr>
          <w:ilvl w:val="1"/>
          <w:numId w:val="97"/>
        </w:numPr>
        <w:rPr>
          <w:rFonts w:ascii="Arial" w:cs="Arial" w:eastAsia="Arial" w:hAnsi="Arial"/>
          <w:sz w:val="16"/>
          <w:szCs w:val="16"/>
          <w:color w:val="auto"/>
        </w:rPr>
      </w:pPr>
      <w:r>
        <w:rPr>
          <w:rFonts w:ascii="Arial" w:cs="Arial" w:eastAsia="Arial" w:hAnsi="Arial"/>
          <w:sz w:val="16"/>
          <w:szCs w:val="16"/>
          <w:color w:val="110E13"/>
        </w:rPr>
        <w:t>The Company acknowledges and agrees that</w:t>
      </w:r>
      <w:r>
        <w:rPr>
          <w:rFonts w:ascii="Arial" w:cs="Arial" w:eastAsia="Arial" w:hAnsi="Arial"/>
          <w:sz w:val="16"/>
          <w:szCs w:val="16"/>
          <w:color w:val="3B383B"/>
        </w:rPr>
        <w:t>,</w:t>
      </w:r>
      <w:r>
        <w:rPr>
          <w:rFonts w:ascii="Arial" w:cs="Arial" w:eastAsia="Arial" w:hAnsi="Arial"/>
          <w:sz w:val="16"/>
          <w:szCs w:val="16"/>
          <w:color w:val="110E13"/>
        </w:rPr>
        <w:t xml:space="preserve"> except for the representations and warranties expressly set forth in </w:t>
      </w:r>
      <w:r>
        <w:rPr>
          <w:rFonts w:ascii="Arial" w:cs="Arial" w:eastAsia="Arial" w:hAnsi="Arial"/>
          <w:sz w:val="16"/>
          <w:szCs w:val="16"/>
          <w:color w:val="000000"/>
        </w:rPr>
        <w:t>Section 3.02</w:t>
      </w:r>
      <w:r>
        <w:rPr>
          <w:rFonts w:ascii="Arial" w:cs="Arial" w:eastAsia="Arial" w:hAnsi="Arial"/>
          <w:sz w:val="16"/>
          <w:szCs w:val="16"/>
          <w:color w:val="110E13"/>
        </w:rPr>
        <w:t xml:space="preserve"> and in any certificate delivered by the Purchaser pursuant to this Agreement</w:t>
      </w:r>
      <w:r>
        <w:rPr>
          <w:rFonts w:ascii="Arial" w:cs="Arial" w:eastAsia="Arial" w:hAnsi="Arial"/>
          <w:sz w:val="16"/>
          <w:szCs w:val="16"/>
          <w:color w:val="2A282B"/>
        </w:rPr>
        <w:t>,</w:t>
      </w:r>
      <w:r>
        <w:rPr>
          <w:rFonts w:ascii="Arial" w:cs="Arial" w:eastAsia="Arial" w:hAnsi="Arial"/>
          <w:sz w:val="16"/>
          <w:szCs w:val="16"/>
          <w:color w:val="110E13"/>
        </w:rPr>
        <w:t xml:space="preserve"> (i) no person has been authorized by the Purchaser to make any representation or warranty relating to the Purchaser or otherwise in connection with the transactions contemplated hereby</w:t>
      </w:r>
      <w:r>
        <w:rPr>
          <w:rFonts w:ascii="Arial" w:cs="Arial" w:eastAsia="Arial" w:hAnsi="Arial"/>
          <w:sz w:val="16"/>
          <w:szCs w:val="16"/>
          <w:color w:val="2A282B"/>
        </w:rPr>
        <w:t>,</w:t>
      </w:r>
      <w:r>
        <w:rPr>
          <w:rFonts w:ascii="Arial" w:cs="Arial" w:eastAsia="Arial" w:hAnsi="Arial"/>
          <w:sz w:val="16"/>
          <w:szCs w:val="16"/>
          <w:color w:val="110E13"/>
        </w:rPr>
        <w:t xml:space="preserve"> and if made, such representation or warranty must not be relied upon by the Company as having been authorized by the Purchaser</w:t>
      </w:r>
      <w:r>
        <w:rPr>
          <w:rFonts w:ascii="Arial" w:cs="Arial" w:eastAsia="Arial" w:hAnsi="Arial"/>
          <w:sz w:val="16"/>
          <w:szCs w:val="16"/>
          <w:color w:val="2A282B"/>
        </w:rPr>
        <w:t>,</w:t>
      </w:r>
      <w:r>
        <w:rPr>
          <w:rFonts w:ascii="Arial" w:cs="Arial" w:eastAsia="Arial" w:hAnsi="Arial"/>
          <w:sz w:val="16"/>
          <w:szCs w:val="16"/>
          <w:color w:val="110E13"/>
        </w:rPr>
        <w:t xml:space="preserve"> and (ii) any materials or information provided or addressed to the Company or any of its Affiliates or representatives are not and shall not be deemed to be or include representations or warranties of the Purchaser unless any such materials or information are the subject of any express representation or warranty set forth </w:t>
      </w:r>
      <w:r>
        <w:rPr>
          <w:rFonts w:ascii="Arial" w:cs="Arial" w:eastAsia="Arial" w:hAnsi="Arial"/>
          <w:sz w:val="16"/>
          <w:szCs w:val="16"/>
          <w:color w:val="110F13"/>
        </w:rPr>
        <w:t>in</w:t>
      </w:r>
      <w:r>
        <w:rPr>
          <w:rFonts w:ascii="Arial" w:cs="Arial" w:eastAsia="Arial" w:hAnsi="Arial"/>
          <w:sz w:val="16"/>
          <w:szCs w:val="16"/>
          <w:color w:val="110E13"/>
        </w:rPr>
        <w:t xml:space="preserve"> </w:t>
      </w:r>
      <w:r>
        <w:rPr>
          <w:rFonts w:ascii="Arial" w:cs="Arial" w:eastAsia="Arial" w:hAnsi="Arial"/>
          <w:sz w:val="16"/>
          <w:szCs w:val="16"/>
          <w:color w:val="000000"/>
        </w:rPr>
        <w:t>Section 3.02</w:t>
      </w:r>
      <w:r>
        <w:rPr>
          <w:rFonts w:ascii="Arial" w:cs="Arial" w:eastAsia="Arial" w:hAnsi="Arial"/>
          <w:sz w:val="16"/>
          <w:szCs w:val="16"/>
          <w:color w:val="110E13"/>
        </w:rPr>
        <w:t xml:space="preserve"> </w:t>
      </w:r>
      <w:r>
        <w:rPr>
          <w:rFonts w:ascii="Arial" w:cs="Arial" w:eastAsia="Arial" w:hAnsi="Arial"/>
          <w:sz w:val="16"/>
          <w:szCs w:val="16"/>
          <w:color w:val="110F13"/>
        </w:rPr>
        <w:t>of this Agreement and in any certificate delivered</w:t>
      </w:r>
      <w:r>
        <w:rPr>
          <w:rFonts w:ascii="Arial" w:cs="Arial" w:eastAsia="Arial" w:hAnsi="Arial"/>
          <w:sz w:val="16"/>
          <w:szCs w:val="16"/>
          <w:color w:val="110E13"/>
        </w:rPr>
        <w:t xml:space="preserve"> </w:t>
      </w:r>
      <w:r>
        <w:rPr>
          <w:rFonts w:ascii="Arial" w:cs="Arial" w:eastAsia="Arial" w:hAnsi="Arial"/>
          <w:sz w:val="16"/>
          <w:szCs w:val="16"/>
          <w:color w:val="110F13"/>
        </w:rPr>
        <w:t>by the Purchaser pursuant to this Agreement.</w:t>
      </w:r>
    </w:p>
    <w:p>
      <w:pPr>
        <w:spacing w:after="0" w:line="137" w:lineRule="exact"/>
        <w:rPr>
          <w:rFonts w:ascii="Arial" w:cs="Arial" w:eastAsia="Arial" w:hAnsi="Arial"/>
          <w:sz w:val="16"/>
          <w:szCs w:val="16"/>
          <w:color w:val="auto"/>
        </w:rPr>
      </w:pPr>
    </w:p>
    <w:p>
      <w:pPr>
        <w:ind w:left="520" w:right="400" w:firstLine="504"/>
        <w:spacing w:after="0" w:line="271" w:lineRule="auto"/>
        <w:tabs>
          <w:tab w:leader="none" w:pos="1532" w:val="left"/>
        </w:tabs>
        <w:numPr>
          <w:ilvl w:val="1"/>
          <w:numId w:val="97"/>
        </w:numPr>
        <w:rPr>
          <w:rFonts w:ascii="Arial" w:cs="Arial" w:eastAsia="Arial" w:hAnsi="Arial"/>
          <w:sz w:val="17"/>
          <w:szCs w:val="17"/>
          <w:color w:val="auto"/>
        </w:rPr>
      </w:pPr>
      <w:r>
        <w:rPr>
          <w:rFonts w:ascii="Arial" w:cs="Arial" w:eastAsia="Arial" w:hAnsi="Arial"/>
          <w:sz w:val="17"/>
          <w:szCs w:val="17"/>
          <w:color w:val="110E13"/>
        </w:rPr>
        <w:t>Notwithstanding the foregoing</w:t>
      </w:r>
      <w:r>
        <w:rPr>
          <w:rFonts w:ascii="Arial" w:cs="Arial" w:eastAsia="Arial" w:hAnsi="Arial"/>
          <w:sz w:val="17"/>
          <w:szCs w:val="17"/>
          <w:color w:val="2A282B"/>
        </w:rPr>
        <w:t>,</w:t>
      </w:r>
      <w:r>
        <w:rPr>
          <w:rFonts w:ascii="Arial" w:cs="Arial" w:eastAsia="Arial" w:hAnsi="Arial"/>
          <w:sz w:val="17"/>
          <w:szCs w:val="17"/>
          <w:color w:val="110E13"/>
        </w:rPr>
        <w:t xml:space="preserve"> nothing in this </w:t>
      </w:r>
      <w:r>
        <w:rPr>
          <w:rFonts w:ascii="Arial" w:cs="Arial" w:eastAsia="Arial" w:hAnsi="Arial"/>
          <w:sz w:val="17"/>
          <w:szCs w:val="17"/>
          <w:color w:val="000000"/>
        </w:rPr>
        <w:t>Section 3.01(r)</w:t>
      </w:r>
      <w:r>
        <w:rPr>
          <w:rFonts w:ascii="Arial" w:cs="Arial" w:eastAsia="Arial" w:hAnsi="Arial"/>
          <w:sz w:val="17"/>
          <w:szCs w:val="17"/>
          <w:color w:val="110E13"/>
        </w:rPr>
        <w:t xml:space="preserve"> shall be deemed to limit the Company’s or its Affiliates’ rights or remedies with </w:t>
      </w:r>
      <w:r>
        <w:rPr>
          <w:rFonts w:ascii="Arial" w:cs="Arial" w:eastAsia="Arial" w:hAnsi="Arial"/>
          <w:sz w:val="17"/>
          <w:szCs w:val="17"/>
          <w:color w:val="110F13"/>
        </w:rPr>
        <w:t>respect to fraud by the Purchaser.</w:t>
      </w:r>
    </w:p>
    <w:p>
      <w:pPr>
        <w:spacing w:after="0" w:line="142"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5"/>
          <w:szCs w:val="15"/>
          <w:i w:val="1"/>
          <w:iCs w:val="1"/>
          <w:color w:val="auto"/>
        </w:rPr>
        <w:t>Representations and Warranties of the Purchaser</w:t>
      </w:r>
      <w:r>
        <w:rPr>
          <w:rFonts w:ascii="Arial" w:cs="Arial" w:eastAsia="Arial" w:hAnsi="Arial"/>
          <w:sz w:val="15"/>
          <w:szCs w:val="15"/>
          <w:i w:val="1"/>
          <w:iCs w:val="1"/>
          <w:color w:val="2A2A2D"/>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Purchaser represents and warrants to the Company</w:t>
      </w:r>
      <w:r>
        <w:rPr>
          <w:rFonts w:ascii="Arial" w:cs="Arial" w:eastAsia="Arial" w:hAnsi="Arial"/>
          <w:sz w:val="15"/>
          <w:szCs w:val="15"/>
          <w:color w:val="2A2A2D"/>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as of the date hereof and as of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Closing Date</w:t>
      </w:r>
      <w:r>
        <w:rPr>
          <w:rFonts w:ascii="Arial" w:cs="Arial" w:eastAsia="Arial" w:hAnsi="Arial"/>
          <w:sz w:val="17"/>
          <w:szCs w:val="17"/>
          <w:color w:val="2A2A2D"/>
        </w:rPr>
        <w:t>,</w:t>
      </w:r>
      <w:r>
        <w:rPr>
          <w:rFonts w:ascii="Arial" w:cs="Arial" w:eastAsia="Arial" w:hAnsi="Arial"/>
          <w:sz w:val="17"/>
          <w:szCs w:val="17"/>
          <w:color w:val="auto"/>
        </w:rPr>
        <w:t xml:space="preserve"> as follows:</w:t>
      </w:r>
    </w:p>
    <w:p>
      <w:pPr>
        <w:spacing w:after="0" w:line="162" w:lineRule="exact"/>
        <w:rPr>
          <w:sz w:val="20"/>
          <w:szCs w:val="20"/>
          <w:color w:val="auto"/>
        </w:rPr>
      </w:pPr>
    </w:p>
    <w:p>
      <w:pPr>
        <w:ind w:firstLine="514"/>
        <w:spacing w:after="0" w:line="259" w:lineRule="auto"/>
        <w:tabs>
          <w:tab w:leader="none" w:pos="1051"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Ownership. </w:t>
      </w:r>
      <w:r>
        <w:rPr>
          <w:rFonts w:ascii="Arial" w:cs="Arial" w:eastAsia="Arial" w:hAnsi="Arial"/>
          <w:sz w:val="17"/>
          <w:szCs w:val="17"/>
          <w:color w:val="auto"/>
        </w:rPr>
        <w:t>The Purchaser is a limited liability company</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duly organized</w:t>
      </w:r>
      <w:r>
        <w:rPr>
          <w:rFonts w:ascii="Arial" w:cs="Arial" w:eastAsia="Arial" w:hAnsi="Arial"/>
          <w:sz w:val="17"/>
          <w:szCs w:val="17"/>
          <w:color w:val="2A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validly existing and in good standing under the laws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Delaware and has all requisite limited liability company power and authority to own</w:t>
      </w:r>
      <w:r>
        <w:rPr>
          <w:rFonts w:ascii="Arial" w:cs="Arial" w:eastAsia="Arial" w:hAnsi="Arial"/>
          <w:sz w:val="17"/>
          <w:szCs w:val="17"/>
          <w:color w:val="2A2A2D"/>
        </w:rPr>
        <w:t>,</w:t>
      </w:r>
      <w:r>
        <w:rPr>
          <w:rFonts w:ascii="Arial" w:cs="Arial" w:eastAsia="Arial" w:hAnsi="Arial"/>
          <w:sz w:val="17"/>
          <w:szCs w:val="17"/>
          <w:color w:val="auto"/>
        </w:rPr>
        <w:t xml:space="preserve"> operate and lease its properties and to carry on its business as it is being conducted on the date of this Agreement.</w:t>
      </w:r>
    </w:p>
    <w:p>
      <w:pPr>
        <w:spacing w:after="0" w:line="141" w:lineRule="exact"/>
        <w:rPr>
          <w:rFonts w:ascii="Arial" w:cs="Arial" w:eastAsia="Arial" w:hAnsi="Arial"/>
          <w:sz w:val="17"/>
          <w:szCs w:val="17"/>
          <w:color w:val="auto"/>
        </w:rPr>
      </w:pPr>
    </w:p>
    <w:p>
      <w:pPr>
        <w:ind w:left="1060" w:hanging="546"/>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Authorization; Suffici</w:t>
      </w:r>
      <w:r>
        <w:rPr>
          <w:rFonts w:ascii="Arial" w:cs="Arial" w:eastAsia="Arial" w:hAnsi="Arial"/>
          <w:sz w:val="17"/>
          <w:szCs w:val="17"/>
          <w:i w:val="1"/>
          <w:iCs w:val="1"/>
          <w:color w:val="2A2A2D"/>
        </w:rPr>
        <w:t>e</w:t>
      </w:r>
      <w:r>
        <w:rPr>
          <w:rFonts w:ascii="Arial" w:cs="Arial" w:eastAsia="Arial" w:hAnsi="Arial"/>
          <w:sz w:val="17"/>
          <w:szCs w:val="17"/>
          <w:i w:val="1"/>
          <w:iCs w:val="1"/>
          <w:color w:val="auto"/>
        </w:rPr>
        <w:t>nt Funds; No Conflicts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520" w:right="220" w:firstLine="510"/>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color w:val="110E13"/>
        </w:rPr>
        <w:t>The Purchaser has full limited liability company power and authority to execute and del</w:t>
      </w:r>
      <w:r>
        <w:rPr>
          <w:rFonts w:ascii="Arial" w:cs="Arial" w:eastAsia="Arial" w:hAnsi="Arial"/>
          <w:sz w:val="17"/>
          <w:szCs w:val="17"/>
          <w:color w:val="2A2A2D"/>
        </w:rPr>
        <w:t>i</w:t>
      </w:r>
      <w:r>
        <w:rPr>
          <w:rFonts w:ascii="Arial" w:cs="Arial" w:eastAsia="Arial" w:hAnsi="Arial"/>
          <w:sz w:val="17"/>
          <w:szCs w:val="17"/>
          <w:color w:val="110E13"/>
        </w:rPr>
        <w:t>ver this Agreement and to consummate the</w:t>
      </w:r>
      <w:r>
        <w:rPr>
          <w:rFonts w:ascii="Arial" w:cs="Arial" w:eastAsia="Arial" w:hAnsi="Arial"/>
          <w:sz w:val="17"/>
          <w:szCs w:val="17"/>
          <w:color w:val="auto"/>
        </w:rPr>
        <w:t xml:space="preserve"> </w:t>
      </w:r>
      <w:r>
        <w:rPr>
          <w:rFonts w:ascii="Arial" w:cs="Arial" w:eastAsia="Arial" w:hAnsi="Arial"/>
          <w:sz w:val="17"/>
          <w:szCs w:val="17"/>
          <w:color w:val="110E13"/>
        </w:rPr>
        <w:t>Transactions to which it is a party. The execution</w:t>
      </w:r>
      <w:r>
        <w:rPr>
          <w:rFonts w:ascii="Arial" w:cs="Arial" w:eastAsia="Arial" w:hAnsi="Arial"/>
          <w:sz w:val="17"/>
          <w:szCs w:val="17"/>
          <w:color w:val="2A2A2D"/>
        </w:rPr>
        <w:t>,</w:t>
      </w:r>
      <w:r>
        <w:rPr>
          <w:rFonts w:ascii="Arial" w:cs="Arial" w:eastAsia="Arial" w:hAnsi="Arial"/>
          <w:sz w:val="17"/>
          <w:szCs w:val="17"/>
          <w:color w:val="110E13"/>
        </w:rPr>
        <w:t xml:space="preserve"> delivery and performance by the Purchaser of this Agreement and the consummation of the Transactions to which it is a party have been duly authorized by all necessary limited liability company action on behalf of the Purchaser. No other proceedings on the part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60"/>
          </w:cols>
          <w:pgMar w:left="300" w:top="1152" w:right="339" w:bottom="1440" w:gutter="0" w:footer="0" w:header="0"/>
        </w:sectPr>
      </w:pPr>
    </w:p>
    <w:bookmarkStart w:id="148" w:name="page149"/>
    <w:bookmarkEnd w:id="148"/>
    <w:p>
      <w:pPr>
        <w:ind w:left="480" w:right="160"/>
        <w:spacing w:after="0" w:line="255" w:lineRule="auto"/>
        <w:rPr>
          <w:sz w:val="20"/>
          <w:szCs w:val="20"/>
          <w:color w:val="auto"/>
        </w:rPr>
      </w:pPr>
      <w:r>
        <w:rPr>
          <w:rFonts w:ascii="Arial" w:cs="Arial" w:eastAsia="Arial" w:hAnsi="Arial"/>
          <w:sz w:val="17"/>
          <w:szCs w:val="17"/>
          <w:color w:val="110E13"/>
        </w:rPr>
        <w:t>the Purchaser are necessary to authorize the execution</w:t>
      </w:r>
      <w:r>
        <w:rPr>
          <w:rFonts w:ascii="Arial" w:cs="Arial" w:eastAsia="Arial" w:hAnsi="Arial"/>
          <w:sz w:val="17"/>
          <w:szCs w:val="17"/>
          <w:color w:val="2A2A2D"/>
        </w:rPr>
        <w:t>,</w:t>
      </w:r>
      <w:r>
        <w:rPr>
          <w:rFonts w:ascii="Arial" w:cs="Arial" w:eastAsia="Arial" w:hAnsi="Arial"/>
          <w:sz w:val="17"/>
          <w:szCs w:val="17"/>
          <w:color w:val="110E13"/>
        </w:rPr>
        <w:t xml:space="preserve"> delivery and performance by the Purchaser of this Agreement and consummation of the Transactions. This Agreement has been duly and validly executed and delivered by the Purchaser. Assuming this Agreement constitutes the valid and binding obligation of the Company</w:t>
      </w:r>
      <w:r>
        <w:rPr>
          <w:rFonts w:ascii="Arial" w:cs="Arial" w:eastAsia="Arial" w:hAnsi="Arial"/>
          <w:sz w:val="17"/>
          <w:szCs w:val="17"/>
          <w:color w:val="2A2A2D"/>
        </w:rPr>
        <w:t>,</w:t>
      </w:r>
      <w:r>
        <w:rPr>
          <w:rFonts w:ascii="Arial" w:cs="Arial" w:eastAsia="Arial" w:hAnsi="Arial"/>
          <w:sz w:val="17"/>
          <w:szCs w:val="17"/>
          <w:color w:val="110E13"/>
        </w:rPr>
        <w:t xml:space="preserve"> this Agreement is a valid and binding obligation of the Purchaser</w:t>
      </w:r>
      <w:r>
        <w:rPr>
          <w:rFonts w:ascii="Arial" w:cs="Arial" w:eastAsia="Arial" w:hAnsi="Arial"/>
          <w:sz w:val="17"/>
          <w:szCs w:val="17"/>
          <w:color w:val="2A2A2D"/>
        </w:rPr>
        <w:t>,</w:t>
      </w:r>
      <w:r>
        <w:rPr>
          <w:rFonts w:ascii="Arial" w:cs="Arial" w:eastAsia="Arial" w:hAnsi="Arial"/>
          <w:sz w:val="17"/>
          <w:szCs w:val="17"/>
          <w:color w:val="110E13"/>
        </w:rPr>
        <w:t xml:space="preserve"> enforceable against the Purchaser in accordance with its terms</w:t>
      </w:r>
      <w:r>
        <w:rPr>
          <w:rFonts w:ascii="Arial" w:cs="Arial" w:eastAsia="Arial" w:hAnsi="Arial"/>
          <w:sz w:val="17"/>
          <w:szCs w:val="17"/>
          <w:color w:val="2A2A2D"/>
        </w:rPr>
        <w:t>,</w:t>
      </w:r>
      <w:r>
        <w:rPr>
          <w:rFonts w:ascii="Arial" w:cs="Arial" w:eastAsia="Arial" w:hAnsi="Arial"/>
          <w:sz w:val="17"/>
          <w:szCs w:val="17"/>
          <w:color w:val="110E13"/>
        </w:rPr>
        <w:t xml:space="preserve"> subject to the limitation of such enforcement by the Enforceability Exceptions.</w:t>
      </w:r>
    </w:p>
    <w:p>
      <w:pPr>
        <w:spacing w:after="0" w:line="156" w:lineRule="exact"/>
        <w:rPr>
          <w:sz w:val="20"/>
          <w:szCs w:val="20"/>
          <w:color w:val="auto"/>
        </w:rPr>
      </w:pPr>
    </w:p>
    <w:p>
      <w:pPr>
        <w:ind w:left="1500" w:hanging="516"/>
        <w:spacing w:after="0"/>
        <w:tabs>
          <w:tab w:leader="none" w:pos="1500" w:val="left"/>
        </w:tabs>
        <w:numPr>
          <w:ilvl w:val="1"/>
          <w:numId w:val="99"/>
        </w:numPr>
        <w:rPr>
          <w:rFonts w:ascii="Arial" w:cs="Arial" w:eastAsia="Arial" w:hAnsi="Arial"/>
          <w:sz w:val="16"/>
          <w:szCs w:val="16"/>
          <w:color w:val="auto"/>
        </w:rPr>
      </w:pPr>
      <w:r>
        <w:rPr>
          <w:rFonts w:ascii="Arial" w:cs="Arial" w:eastAsia="Arial" w:hAnsi="Arial"/>
          <w:sz w:val="16"/>
          <w:szCs w:val="16"/>
          <w:color w:val="110E13"/>
        </w:rPr>
        <w:t>At and immediately prior to the Closing</w:t>
      </w:r>
      <w:r>
        <w:rPr>
          <w:rFonts w:ascii="Arial" w:cs="Arial" w:eastAsia="Arial" w:hAnsi="Arial"/>
          <w:sz w:val="16"/>
          <w:szCs w:val="16"/>
          <w:color w:val="2A2A2D"/>
        </w:rPr>
        <w:t>,</w:t>
      </w:r>
      <w:r>
        <w:rPr>
          <w:rFonts w:ascii="Arial" w:cs="Arial" w:eastAsia="Arial" w:hAnsi="Arial"/>
          <w:sz w:val="16"/>
          <w:szCs w:val="16"/>
          <w:color w:val="110E13"/>
        </w:rPr>
        <w:t xml:space="preserve"> the Purchaser will have cash and equity capital commitments in excess of the Purchase Price.</w:t>
      </w:r>
    </w:p>
    <w:p>
      <w:pPr>
        <w:spacing w:after="0" w:line="187" w:lineRule="exact"/>
        <w:rPr>
          <w:rFonts w:ascii="Arial" w:cs="Arial" w:eastAsia="Arial" w:hAnsi="Arial"/>
          <w:sz w:val="16"/>
          <w:szCs w:val="16"/>
          <w:color w:val="auto"/>
        </w:rPr>
      </w:pPr>
    </w:p>
    <w:p>
      <w:pPr>
        <w:ind w:left="480" w:right="200" w:firstLine="504"/>
        <w:spacing w:after="0" w:line="290" w:lineRule="auto"/>
        <w:tabs>
          <w:tab w:leader="none" w:pos="1492" w:val="left"/>
        </w:tabs>
        <w:numPr>
          <w:ilvl w:val="1"/>
          <w:numId w:val="99"/>
        </w:numPr>
        <w:rPr>
          <w:rFonts w:ascii="Arial" w:cs="Arial" w:eastAsia="Arial" w:hAnsi="Arial"/>
          <w:sz w:val="15"/>
          <w:szCs w:val="15"/>
          <w:color w:val="auto"/>
        </w:rPr>
      </w:pPr>
      <w:r>
        <w:rPr>
          <w:rFonts w:ascii="Arial" w:cs="Arial" w:eastAsia="Arial" w:hAnsi="Arial"/>
          <w:sz w:val="15"/>
          <w:szCs w:val="15"/>
          <w:color w:val="110E13"/>
        </w:rPr>
        <w:t>The execution</w:t>
      </w:r>
      <w:r>
        <w:rPr>
          <w:rFonts w:ascii="Arial" w:cs="Arial" w:eastAsia="Arial" w:hAnsi="Arial"/>
          <w:sz w:val="15"/>
          <w:szCs w:val="15"/>
          <w:color w:val="2A2A2D"/>
        </w:rPr>
        <w:t>,</w:t>
      </w:r>
      <w:r>
        <w:rPr>
          <w:rFonts w:ascii="Arial" w:cs="Arial" w:eastAsia="Arial" w:hAnsi="Arial"/>
          <w:sz w:val="15"/>
          <w:szCs w:val="15"/>
          <w:color w:val="110E13"/>
        </w:rPr>
        <w:t xml:space="preserve"> delivery and performance of this Agreement by the Purchaser</w:t>
      </w:r>
      <w:r>
        <w:rPr>
          <w:rFonts w:ascii="Arial" w:cs="Arial" w:eastAsia="Arial" w:hAnsi="Arial"/>
          <w:sz w:val="15"/>
          <w:szCs w:val="15"/>
          <w:color w:val="2A2A2D"/>
        </w:rPr>
        <w:t>,</w:t>
      </w:r>
      <w:r>
        <w:rPr>
          <w:rFonts w:ascii="Arial" w:cs="Arial" w:eastAsia="Arial" w:hAnsi="Arial"/>
          <w:sz w:val="15"/>
          <w:szCs w:val="15"/>
          <w:color w:val="110E13"/>
        </w:rPr>
        <w:t xml:space="preserve"> the consummation by the Purchaser of the Transactions to which it is a party and the compliance by the Purchaser with any of the provisions hereof and thereof will not conflict with</w:t>
      </w:r>
      <w:r>
        <w:rPr>
          <w:rFonts w:ascii="Arial" w:cs="Arial" w:eastAsia="Arial" w:hAnsi="Arial"/>
          <w:sz w:val="15"/>
          <w:szCs w:val="15"/>
          <w:color w:val="2A2A2D"/>
        </w:rPr>
        <w:t>,</w:t>
      </w:r>
      <w:r>
        <w:rPr>
          <w:rFonts w:ascii="Arial" w:cs="Arial" w:eastAsia="Arial" w:hAnsi="Arial"/>
          <w:sz w:val="15"/>
          <w:szCs w:val="15"/>
          <w:color w:val="110E13"/>
        </w:rPr>
        <w:t xml:space="preserve"> violate or result in a breach of any provision of</w:t>
      </w:r>
      <w:r>
        <w:rPr>
          <w:rFonts w:ascii="Arial" w:cs="Arial" w:eastAsia="Arial" w:hAnsi="Arial"/>
          <w:sz w:val="15"/>
          <w:szCs w:val="15"/>
          <w:color w:val="2A2A2D"/>
        </w:rPr>
        <w:t>,</w:t>
      </w:r>
      <w:r>
        <w:rPr>
          <w:rFonts w:ascii="Arial" w:cs="Arial" w:eastAsia="Arial" w:hAnsi="Arial"/>
          <w:sz w:val="15"/>
          <w:szCs w:val="15"/>
          <w:color w:val="110E13"/>
        </w:rPr>
        <w:t xml:space="preserve"> or constitute a default under</w:t>
      </w:r>
      <w:r>
        <w:rPr>
          <w:rFonts w:ascii="Arial" w:cs="Arial" w:eastAsia="Arial" w:hAnsi="Arial"/>
          <w:sz w:val="15"/>
          <w:szCs w:val="15"/>
          <w:color w:val="2A2A2D"/>
        </w:rPr>
        <w:t>,</w:t>
      </w:r>
      <w:r>
        <w:rPr>
          <w:rFonts w:ascii="Arial" w:cs="Arial" w:eastAsia="Arial" w:hAnsi="Arial"/>
          <w:sz w:val="15"/>
          <w:szCs w:val="15"/>
          <w:color w:val="110E13"/>
        </w:rPr>
        <w:t xml:space="preserve"> or result in the termination of or accelerate the performance required by</w:t>
      </w:r>
      <w:r>
        <w:rPr>
          <w:rFonts w:ascii="Arial" w:cs="Arial" w:eastAsia="Arial" w:hAnsi="Arial"/>
          <w:sz w:val="15"/>
          <w:szCs w:val="15"/>
          <w:color w:val="2A2A2D"/>
        </w:rPr>
        <w:t>,</w:t>
      </w:r>
      <w:r>
        <w:rPr>
          <w:rFonts w:ascii="Arial" w:cs="Arial" w:eastAsia="Arial" w:hAnsi="Arial"/>
          <w:sz w:val="15"/>
          <w:szCs w:val="15"/>
          <w:color w:val="110E13"/>
        </w:rPr>
        <w:t xml:space="preserve"> or result in a right of termination or acceleration under</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any provision of the Purchaser’s organizational documents</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any mortgage</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note</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indenture</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deed of trust</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lease</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license</w:t>
      </w:r>
      <w:r>
        <w:rPr>
          <w:rFonts w:ascii="Arial" w:cs="Arial" w:eastAsia="Arial" w:hAnsi="Arial"/>
          <w:sz w:val="15"/>
          <w:szCs w:val="15"/>
          <w:color w:val="2A2A2D"/>
        </w:rPr>
        <w:t>,</w:t>
      </w:r>
      <w:r>
        <w:rPr>
          <w:rFonts w:ascii="Arial" w:cs="Arial" w:eastAsia="Arial" w:hAnsi="Arial"/>
          <w:sz w:val="15"/>
          <w:szCs w:val="15"/>
          <w:color w:val="110E13"/>
        </w:rPr>
        <w:t xml:space="preserve"> </w:t>
      </w:r>
      <w:r>
        <w:rPr>
          <w:rFonts w:ascii="Arial" w:cs="Arial" w:eastAsia="Arial" w:hAnsi="Arial"/>
          <w:sz w:val="15"/>
          <w:szCs w:val="15"/>
          <w:color w:val="110F13"/>
        </w:rPr>
        <w:t>loan agreement</w:t>
      </w:r>
      <w:r>
        <w:rPr>
          <w:rFonts w:ascii="Arial" w:cs="Arial" w:eastAsia="Arial" w:hAnsi="Arial"/>
          <w:sz w:val="15"/>
          <w:szCs w:val="15"/>
          <w:color w:val="110E13"/>
        </w:rPr>
        <w:t xml:space="preserve"> </w:t>
      </w:r>
      <w:r>
        <w:rPr>
          <w:rFonts w:ascii="Arial" w:cs="Arial" w:eastAsia="Arial" w:hAnsi="Arial"/>
          <w:sz w:val="15"/>
          <w:szCs w:val="15"/>
          <w:color w:val="110F13"/>
        </w:rPr>
        <w:t>or other agreement binding upon the Purchaser or any permit</w:t>
      </w:r>
      <w:r>
        <w:rPr>
          <w:rFonts w:ascii="Arial" w:cs="Arial" w:eastAsia="Arial" w:hAnsi="Arial"/>
          <w:sz w:val="15"/>
          <w:szCs w:val="15"/>
          <w:color w:val="2A2A2D"/>
        </w:rPr>
        <w:t>,</w:t>
      </w:r>
      <w:r>
        <w:rPr>
          <w:rFonts w:ascii="Arial" w:cs="Arial" w:eastAsia="Arial" w:hAnsi="Arial"/>
          <w:sz w:val="15"/>
          <w:szCs w:val="15"/>
          <w:color w:val="110F13"/>
        </w:rPr>
        <w:t xml:space="preserve"> government license</w:t>
      </w:r>
      <w:r>
        <w:rPr>
          <w:rFonts w:ascii="Arial" w:cs="Arial" w:eastAsia="Arial" w:hAnsi="Arial"/>
          <w:sz w:val="15"/>
          <w:szCs w:val="15"/>
          <w:color w:val="2A2A2D"/>
        </w:rPr>
        <w:t>,</w:t>
      </w:r>
      <w:r>
        <w:rPr>
          <w:rFonts w:ascii="Arial" w:cs="Arial" w:eastAsia="Arial" w:hAnsi="Arial"/>
          <w:sz w:val="15"/>
          <w:szCs w:val="15"/>
          <w:color w:val="110F13"/>
        </w:rPr>
        <w:t xml:space="preserve"> judgment</w:t>
      </w:r>
      <w:r>
        <w:rPr>
          <w:rFonts w:ascii="Arial" w:cs="Arial" w:eastAsia="Arial" w:hAnsi="Arial"/>
          <w:sz w:val="15"/>
          <w:szCs w:val="15"/>
          <w:color w:val="2A2A2D"/>
        </w:rPr>
        <w:t>,</w:t>
      </w:r>
      <w:r>
        <w:rPr>
          <w:rFonts w:ascii="Arial" w:cs="Arial" w:eastAsia="Arial" w:hAnsi="Arial"/>
          <w:sz w:val="15"/>
          <w:szCs w:val="15"/>
          <w:color w:val="110F13"/>
        </w:rPr>
        <w:t xml:space="preserve"> order</w:t>
      </w:r>
      <w:r>
        <w:rPr>
          <w:rFonts w:ascii="Arial" w:cs="Arial" w:eastAsia="Arial" w:hAnsi="Arial"/>
          <w:sz w:val="15"/>
          <w:szCs w:val="15"/>
          <w:color w:val="2A2A2D"/>
        </w:rPr>
        <w:t>,</w:t>
      </w:r>
      <w:r>
        <w:rPr>
          <w:rFonts w:ascii="Arial" w:cs="Arial" w:eastAsia="Arial" w:hAnsi="Arial"/>
          <w:sz w:val="15"/>
          <w:szCs w:val="15"/>
          <w:color w:val="110F13"/>
        </w:rPr>
        <w:t xml:space="preserve"> decree</w:t>
      </w:r>
      <w:r>
        <w:rPr>
          <w:rFonts w:ascii="Arial" w:cs="Arial" w:eastAsia="Arial" w:hAnsi="Arial"/>
          <w:sz w:val="15"/>
          <w:szCs w:val="15"/>
          <w:color w:val="2A2A2D"/>
        </w:rPr>
        <w:t>,</w:t>
      </w:r>
      <w:r>
        <w:rPr>
          <w:rFonts w:ascii="Arial" w:cs="Arial" w:eastAsia="Arial" w:hAnsi="Arial"/>
          <w:sz w:val="15"/>
          <w:szCs w:val="15"/>
          <w:color w:val="110F13"/>
        </w:rPr>
        <w:t xml:space="preserve"> ruling</w:t>
      </w:r>
      <w:r>
        <w:rPr>
          <w:rFonts w:ascii="Arial" w:cs="Arial" w:eastAsia="Arial" w:hAnsi="Arial"/>
          <w:sz w:val="15"/>
          <w:szCs w:val="15"/>
          <w:color w:val="2A2A2D"/>
        </w:rPr>
        <w:t>,</w:t>
      </w:r>
      <w:r>
        <w:rPr>
          <w:rFonts w:ascii="Arial" w:cs="Arial" w:eastAsia="Arial" w:hAnsi="Arial"/>
          <w:sz w:val="15"/>
          <w:szCs w:val="15"/>
          <w:color w:val="110F13"/>
        </w:rPr>
        <w:t xml:space="preserve"> injunction, statute</w:t>
      </w:r>
      <w:r>
        <w:rPr>
          <w:rFonts w:ascii="Arial" w:cs="Arial" w:eastAsia="Arial" w:hAnsi="Arial"/>
          <w:sz w:val="15"/>
          <w:szCs w:val="15"/>
          <w:color w:val="2A2A2D"/>
        </w:rPr>
        <w:t>,</w:t>
      </w:r>
      <w:r>
        <w:rPr>
          <w:rFonts w:ascii="Arial" w:cs="Arial" w:eastAsia="Arial" w:hAnsi="Arial"/>
          <w:sz w:val="15"/>
          <w:szCs w:val="15"/>
          <w:color w:val="110F13"/>
        </w:rPr>
        <w:t xml:space="preserve"> law</w:t>
      </w:r>
      <w:r>
        <w:rPr>
          <w:rFonts w:ascii="Arial" w:cs="Arial" w:eastAsia="Arial" w:hAnsi="Arial"/>
          <w:sz w:val="15"/>
          <w:szCs w:val="15"/>
          <w:color w:val="2A2A2D"/>
        </w:rPr>
        <w:t>,</w:t>
      </w:r>
      <w:r>
        <w:rPr>
          <w:rFonts w:ascii="Arial" w:cs="Arial" w:eastAsia="Arial" w:hAnsi="Arial"/>
          <w:sz w:val="15"/>
          <w:szCs w:val="15"/>
          <w:color w:val="110F13"/>
        </w:rPr>
        <w:t xml:space="preserve"> ordinance</w:t>
      </w:r>
      <w:r>
        <w:rPr>
          <w:rFonts w:ascii="Arial" w:cs="Arial" w:eastAsia="Arial" w:hAnsi="Arial"/>
          <w:sz w:val="15"/>
          <w:szCs w:val="15"/>
          <w:color w:val="2A2A2D"/>
        </w:rPr>
        <w:t>,</w:t>
      </w:r>
      <w:r>
        <w:rPr>
          <w:rFonts w:ascii="Arial" w:cs="Arial" w:eastAsia="Arial" w:hAnsi="Arial"/>
          <w:sz w:val="15"/>
          <w:szCs w:val="15"/>
          <w:color w:val="110F13"/>
        </w:rPr>
        <w:t xml:space="preserve"> rule or regulation applicable to the Purchaser or any of its Affiliates</w:t>
      </w:r>
      <w:r>
        <w:rPr>
          <w:rFonts w:ascii="Arial" w:cs="Arial" w:eastAsia="Arial" w:hAnsi="Arial"/>
          <w:sz w:val="15"/>
          <w:szCs w:val="15"/>
          <w:color w:val="2A2A2D"/>
        </w:rPr>
        <w:t>,</w:t>
      </w:r>
      <w:r>
        <w:rPr>
          <w:rFonts w:ascii="Arial" w:cs="Arial" w:eastAsia="Arial" w:hAnsi="Arial"/>
          <w:sz w:val="15"/>
          <w:szCs w:val="15"/>
          <w:color w:val="110F13"/>
        </w:rPr>
        <w:t xml:space="preserve"> other than in the cases of clauses (B) and </w:t>
      </w:r>
      <w:r>
        <w:rPr>
          <w:rFonts w:ascii="Arial" w:cs="Arial" w:eastAsia="Arial" w:hAnsi="Arial"/>
          <w:sz w:val="15"/>
          <w:szCs w:val="15"/>
          <w:color w:val="000000"/>
        </w:rPr>
        <w:t>(C)</w:t>
      </w:r>
      <w:r>
        <w:rPr>
          <w:rFonts w:ascii="Arial" w:cs="Arial" w:eastAsia="Arial" w:hAnsi="Arial"/>
          <w:sz w:val="15"/>
          <w:szCs w:val="15"/>
          <w:color w:val="110F13"/>
        </w:rPr>
        <w:t xml:space="preserve"> as would not reasonably be expected to materially and adversely affect or delay the consummation of the Transactions to which the Purchaser is a party.</w:t>
      </w:r>
    </w:p>
    <w:p>
      <w:pPr>
        <w:spacing w:after="0" w:line="132" w:lineRule="exact"/>
        <w:rPr>
          <w:rFonts w:ascii="Arial" w:cs="Arial" w:eastAsia="Arial" w:hAnsi="Arial"/>
          <w:sz w:val="15"/>
          <w:szCs w:val="15"/>
          <w:color w:val="auto"/>
        </w:rPr>
      </w:pPr>
    </w:p>
    <w:p>
      <w:pPr>
        <w:ind w:left="-40" w:firstLine="514"/>
        <w:spacing w:after="0" w:line="269" w:lineRule="auto"/>
        <w:tabs>
          <w:tab w:leader="none" w:pos="969"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 xml:space="preserve">Consents and Approvals. </w:t>
      </w:r>
      <w:r>
        <w:rPr>
          <w:rFonts w:ascii="Arial" w:cs="Arial" w:eastAsia="Arial" w:hAnsi="Arial"/>
          <w:sz w:val="16"/>
          <w:szCs w:val="16"/>
          <w:color w:val="auto"/>
        </w:rPr>
        <w:t>No consent</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order or authorization of</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 registration</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or filing with</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 exemption or review by</w:t>
      </w:r>
      <w:r>
        <w:rPr>
          <w:rFonts w:ascii="Arial" w:cs="Arial" w:eastAsia="Arial" w:hAnsi="Arial"/>
          <w:sz w:val="16"/>
          <w:szCs w:val="16"/>
          <w:color w:val="2A2A2D"/>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any</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Entity is required on the part of the Purchaser in connection with the execution</w:t>
      </w:r>
      <w:r>
        <w:rPr>
          <w:rFonts w:ascii="Arial" w:cs="Arial" w:eastAsia="Arial" w:hAnsi="Arial"/>
          <w:sz w:val="16"/>
          <w:szCs w:val="16"/>
          <w:color w:val="2A2A2D"/>
        </w:rPr>
        <w:t>,</w:t>
      </w:r>
      <w:r>
        <w:rPr>
          <w:rFonts w:ascii="Arial" w:cs="Arial" w:eastAsia="Arial" w:hAnsi="Arial"/>
          <w:sz w:val="16"/>
          <w:szCs w:val="16"/>
          <w:color w:val="auto"/>
        </w:rPr>
        <w:t xml:space="preserve"> delivery </w:t>
      </w:r>
      <w:r>
        <w:rPr>
          <w:rFonts w:ascii="Arial" w:cs="Arial" w:eastAsia="Arial" w:hAnsi="Arial"/>
          <w:sz w:val="16"/>
          <w:szCs w:val="16"/>
          <w:color w:val="110F13"/>
        </w:rPr>
        <w:t>and performance by the Purchaser of this Agreement and the</w:t>
      </w:r>
      <w:r>
        <w:rPr>
          <w:rFonts w:ascii="Arial" w:cs="Arial" w:eastAsia="Arial" w:hAnsi="Arial"/>
          <w:sz w:val="16"/>
          <w:szCs w:val="16"/>
          <w:color w:val="auto"/>
        </w:rPr>
        <w:t xml:space="preserve"> </w:t>
      </w:r>
      <w:r>
        <w:rPr>
          <w:rFonts w:ascii="Arial" w:cs="Arial" w:eastAsia="Arial" w:hAnsi="Arial"/>
          <w:sz w:val="16"/>
          <w:szCs w:val="16"/>
          <w:color w:val="110F13"/>
        </w:rPr>
        <w:t>consummation by the Purchaser of the Transactions to which it is a party</w:t>
      </w:r>
      <w:r>
        <w:rPr>
          <w:rFonts w:ascii="Arial" w:cs="Arial" w:eastAsia="Arial" w:hAnsi="Arial"/>
          <w:sz w:val="16"/>
          <w:szCs w:val="16"/>
          <w:color w:val="2A2A2D"/>
        </w:rPr>
        <w:t>,</w:t>
      </w:r>
      <w:r>
        <w:rPr>
          <w:rFonts w:ascii="Arial" w:cs="Arial" w:eastAsia="Arial" w:hAnsi="Arial"/>
          <w:sz w:val="16"/>
          <w:szCs w:val="16"/>
          <w:color w:val="110F13"/>
        </w:rPr>
        <w:t xml:space="preserve"> except for any required filings or approvals under the HSR Act or any foreign antitrust or competition laws, requirements or regulations in connection with the issuance of shares of Company Common Stock upon the conversion of the Notes, any required filings pursuant to the Exchange Act or the rules of the SEC and any consent</w:t>
      </w:r>
      <w:r>
        <w:rPr>
          <w:rFonts w:ascii="Arial" w:cs="Arial" w:eastAsia="Arial" w:hAnsi="Arial"/>
          <w:sz w:val="16"/>
          <w:szCs w:val="16"/>
          <w:color w:val="3D3D3D"/>
        </w:rPr>
        <w:t>,</w:t>
      </w:r>
      <w:r>
        <w:rPr>
          <w:rFonts w:ascii="Arial" w:cs="Arial" w:eastAsia="Arial" w:hAnsi="Arial"/>
          <w:sz w:val="16"/>
          <w:szCs w:val="16"/>
          <w:color w:val="110F13"/>
        </w:rPr>
        <w:t xml:space="preserve"> approval</w:t>
      </w:r>
      <w:r>
        <w:rPr>
          <w:rFonts w:ascii="Arial" w:cs="Arial" w:eastAsia="Arial" w:hAnsi="Arial"/>
          <w:sz w:val="16"/>
          <w:szCs w:val="16"/>
          <w:color w:val="3D3D3D"/>
        </w:rPr>
        <w:t>,</w:t>
      </w:r>
      <w:r>
        <w:rPr>
          <w:rFonts w:ascii="Arial" w:cs="Arial" w:eastAsia="Arial" w:hAnsi="Arial"/>
          <w:sz w:val="16"/>
          <w:szCs w:val="16"/>
          <w:color w:val="110F13"/>
        </w:rPr>
        <w:t xml:space="preserve"> order</w:t>
      </w:r>
      <w:r>
        <w:rPr>
          <w:rFonts w:ascii="Arial" w:cs="Arial" w:eastAsia="Arial" w:hAnsi="Arial"/>
          <w:sz w:val="16"/>
          <w:szCs w:val="16"/>
          <w:color w:val="2A2A2D"/>
        </w:rPr>
        <w:t>,</w:t>
      </w:r>
      <w:r>
        <w:rPr>
          <w:rFonts w:ascii="Arial" w:cs="Arial" w:eastAsia="Arial" w:hAnsi="Arial"/>
          <w:sz w:val="16"/>
          <w:szCs w:val="16"/>
          <w:color w:val="110F13"/>
        </w:rPr>
        <w:t xml:space="preserve"> </w:t>
      </w:r>
      <w:r>
        <w:rPr>
          <w:rFonts w:ascii="Arial" w:cs="Arial" w:eastAsia="Arial" w:hAnsi="Arial"/>
          <w:sz w:val="16"/>
          <w:szCs w:val="16"/>
          <w:color w:val="000000"/>
        </w:rPr>
        <w:t>authorization</w:t>
      </w:r>
      <w:r>
        <w:rPr>
          <w:rFonts w:ascii="Arial" w:cs="Arial" w:eastAsia="Arial" w:hAnsi="Arial"/>
          <w:sz w:val="16"/>
          <w:szCs w:val="16"/>
          <w:color w:val="2A2A2D"/>
        </w:rPr>
        <w:t>,</w:t>
      </w:r>
      <w:r>
        <w:rPr>
          <w:rFonts w:ascii="Arial" w:cs="Arial" w:eastAsia="Arial" w:hAnsi="Arial"/>
          <w:sz w:val="16"/>
          <w:szCs w:val="16"/>
          <w:color w:val="110F13"/>
        </w:rPr>
        <w:t xml:space="preserve"> registration</w:t>
      </w:r>
      <w:r>
        <w:rPr>
          <w:rFonts w:ascii="Arial" w:cs="Arial" w:eastAsia="Arial" w:hAnsi="Arial"/>
          <w:sz w:val="16"/>
          <w:szCs w:val="16"/>
          <w:color w:val="2A2A2D"/>
        </w:rPr>
        <w:t>,</w:t>
      </w:r>
      <w:r>
        <w:rPr>
          <w:rFonts w:ascii="Arial" w:cs="Arial" w:eastAsia="Arial" w:hAnsi="Arial"/>
          <w:sz w:val="16"/>
          <w:szCs w:val="16"/>
          <w:color w:val="110F13"/>
        </w:rPr>
        <w:t xml:space="preserve"> declaration</w:t>
      </w:r>
      <w:r>
        <w:rPr>
          <w:rFonts w:ascii="Arial" w:cs="Arial" w:eastAsia="Arial" w:hAnsi="Arial"/>
          <w:sz w:val="16"/>
          <w:szCs w:val="16"/>
          <w:color w:val="2A2A2D"/>
        </w:rPr>
        <w:t>,</w:t>
      </w:r>
      <w:r>
        <w:rPr>
          <w:rFonts w:ascii="Arial" w:cs="Arial" w:eastAsia="Arial" w:hAnsi="Arial"/>
          <w:sz w:val="16"/>
          <w:szCs w:val="16"/>
          <w:color w:val="110F13"/>
        </w:rPr>
        <w:t xml:space="preserve"> filing</w:t>
      </w:r>
      <w:r>
        <w:rPr>
          <w:rFonts w:ascii="Arial" w:cs="Arial" w:eastAsia="Arial" w:hAnsi="Arial"/>
          <w:sz w:val="16"/>
          <w:szCs w:val="16"/>
          <w:color w:val="2A2A2D"/>
        </w:rPr>
        <w:t>,</w:t>
      </w:r>
      <w:r>
        <w:rPr>
          <w:rFonts w:ascii="Arial" w:cs="Arial" w:eastAsia="Arial" w:hAnsi="Arial"/>
          <w:sz w:val="16"/>
          <w:szCs w:val="16"/>
          <w:color w:val="110F13"/>
        </w:rPr>
        <w:t xml:space="preserve"> exemption or review</w:t>
      </w:r>
      <w:r>
        <w:rPr>
          <w:rFonts w:ascii="Arial" w:cs="Arial" w:eastAsia="Arial" w:hAnsi="Arial"/>
          <w:sz w:val="16"/>
          <w:szCs w:val="16"/>
          <w:color w:val="2A2A2D"/>
        </w:rPr>
        <w:t>,</w:t>
      </w:r>
      <w:r>
        <w:rPr>
          <w:rFonts w:ascii="Arial" w:cs="Arial" w:eastAsia="Arial" w:hAnsi="Arial"/>
          <w:sz w:val="16"/>
          <w:szCs w:val="16"/>
          <w:color w:val="110F13"/>
        </w:rPr>
        <w:t xml:space="preserve"> the failure of which to be obtained or made</w:t>
      </w:r>
      <w:r>
        <w:rPr>
          <w:rFonts w:ascii="Arial" w:cs="Arial" w:eastAsia="Arial" w:hAnsi="Arial"/>
          <w:sz w:val="16"/>
          <w:szCs w:val="16"/>
          <w:color w:val="2A2A2D"/>
        </w:rPr>
        <w:t>,</w:t>
      </w:r>
      <w:r>
        <w:rPr>
          <w:rFonts w:ascii="Arial" w:cs="Arial" w:eastAsia="Arial" w:hAnsi="Arial"/>
          <w:sz w:val="16"/>
          <w:szCs w:val="16"/>
          <w:color w:val="110F13"/>
        </w:rPr>
        <w:t xml:space="preserve"> individually or in the aggregate</w:t>
      </w:r>
      <w:r>
        <w:rPr>
          <w:rFonts w:ascii="Arial" w:cs="Arial" w:eastAsia="Arial" w:hAnsi="Arial"/>
          <w:sz w:val="16"/>
          <w:szCs w:val="16"/>
          <w:color w:val="2A2A2D"/>
        </w:rPr>
        <w:t>,</w:t>
      </w:r>
      <w:r>
        <w:rPr>
          <w:rFonts w:ascii="Arial" w:cs="Arial" w:eastAsia="Arial" w:hAnsi="Arial"/>
          <w:sz w:val="16"/>
          <w:szCs w:val="16"/>
          <w:color w:val="110F13"/>
        </w:rPr>
        <w:t xml:space="preserve"> would not reasonably be expected to adversely affect or delay the consummation of the Transactions to which it is a party by the Purchaser.</w:t>
      </w:r>
    </w:p>
    <w:p>
      <w:pPr>
        <w:spacing w:after="0" w:line="137" w:lineRule="exact"/>
        <w:rPr>
          <w:rFonts w:ascii="Arial" w:cs="Arial" w:eastAsia="Arial" w:hAnsi="Arial"/>
          <w:sz w:val="16"/>
          <w:szCs w:val="16"/>
          <w:color w:val="auto"/>
        </w:rPr>
      </w:pPr>
    </w:p>
    <w:p>
      <w:pPr>
        <w:ind w:left="980" w:hanging="506"/>
        <w:spacing w:after="0"/>
        <w:tabs>
          <w:tab w:leader="none" w:pos="98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Securiti</w:t>
      </w:r>
      <w:r>
        <w:rPr>
          <w:rFonts w:ascii="Arial" w:cs="Arial" w:eastAsia="Arial" w:hAnsi="Arial"/>
          <w:sz w:val="17"/>
          <w:szCs w:val="17"/>
          <w:i w:val="1"/>
          <w:iCs w:val="1"/>
          <w:color w:val="2A2A2D"/>
        </w:rPr>
        <w:t>e</w:t>
      </w:r>
      <w:r>
        <w:rPr>
          <w:rFonts w:ascii="Arial" w:cs="Arial" w:eastAsia="Arial" w:hAnsi="Arial"/>
          <w:sz w:val="17"/>
          <w:szCs w:val="17"/>
          <w:i w:val="1"/>
          <w:iCs w:val="1"/>
          <w:color w:val="auto"/>
        </w:rPr>
        <w:t>s Act Representations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480" w:right="300" w:firstLine="504"/>
        <w:spacing w:after="0" w:line="271" w:lineRule="auto"/>
        <w:tabs>
          <w:tab w:leader="none" w:pos="1493" w:val="left"/>
        </w:tabs>
        <w:numPr>
          <w:ilvl w:val="1"/>
          <w:numId w:val="100"/>
        </w:numPr>
        <w:rPr>
          <w:rFonts w:ascii="Arial" w:cs="Arial" w:eastAsia="Arial" w:hAnsi="Arial"/>
          <w:sz w:val="17"/>
          <w:szCs w:val="17"/>
          <w:color w:val="auto"/>
        </w:rPr>
      </w:pPr>
      <w:r>
        <w:rPr>
          <w:rFonts w:ascii="Arial" w:cs="Arial" w:eastAsia="Arial" w:hAnsi="Arial"/>
          <w:sz w:val="17"/>
          <w:szCs w:val="17"/>
          <w:color w:val="110E13"/>
        </w:rPr>
        <w:t>The Purchaser is an accredited investor (as defined in Rule 501 of the Securities Act) and is aware that the offering and sale of the Notes is being made in reliance on a private placement exemption from registration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20"/>
          </w:cols>
          <w:pgMar w:left="340" w:top="1162" w:right="339" w:bottom="1440" w:gutter="0" w:footer="0" w:header="0"/>
        </w:sectPr>
      </w:pPr>
    </w:p>
    <w:bookmarkStart w:id="149" w:name="page150"/>
    <w:bookmarkEnd w:id="149"/>
    <w:p>
      <w:pPr>
        <w:ind w:left="340" w:right="20"/>
        <w:spacing w:after="0" w:line="268" w:lineRule="auto"/>
        <w:rPr>
          <w:sz w:val="20"/>
          <w:szCs w:val="20"/>
          <w:color w:val="auto"/>
        </w:rPr>
      </w:pPr>
      <w:r>
        <w:rPr>
          <w:rFonts w:ascii="Arial" w:cs="Arial" w:eastAsia="Arial" w:hAnsi="Arial"/>
          <w:sz w:val="16"/>
          <w:szCs w:val="16"/>
          <w:color w:val="110E13"/>
        </w:rPr>
        <w:t>under the Securities Act and may be resold only if registered pursuant to the provisions of the Securities Act or if an exemption from registration is available. The Purchaser is acquiring the Notes (and any shares of Company Common Stock issuable upon conversion of the Notes) for its own account</w:t>
      </w:r>
      <w:r>
        <w:rPr>
          <w:rFonts w:ascii="Arial" w:cs="Arial" w:eastAsia="Arial" w:hAnsi="Arial"/>
          <w:sz w:val="16"/>
          <w:szCs w:val="16"/>
          <w:color w:val="2A2A2D"/>
        </w:rPr>
        <w:t>,</w:t>
      </w:r>
      <w:r>
        <w:rPr>
          <w:rFonts w:ascii="Arial" w:cs="Arial" w:eastAsia="Arial" w:hAnsi="Arial"/>
          <w:sz w:val="16"/>
          <w:szCs w:val="16"/>
          <w:color w:val="110E13"/>
        </w:rPr>
        <w:t xml:space="preserve"> and not with a view toward</w:t>
      </w:r>
      <w:r>
        <w:rPr>
          <w:rFonts w:ascii="Arial" w:cs="Arial" w:eastAsia="Arial" w:hAnsi="Arial"/>
          <w:sz w:val="16"/>
          <w:szCs w:val="16"/>
          <w:color w:val="2A2A2D"/>
        </w:rPr>
        <w:t>,</w:t>
      </w:r>
      <w:r>
        <w:rPr>
          <w:rFonts w:ascii="Arial" w:cs="Arial" w:eastAsia="Arial" w:hAnsi="Arial"/>
          <w:sz w:val="16"/>
          <w:szCs w:val="16"/>
          <w:color w:val="110E13"/>
        </w:rPr>
        <w:t xml:space="preserve"> or for sale in connection with</w:t>
      </w:r>
      <w:r>
        <w:rPr>
          <w:rFonts w:ascii="Arial" w:cs="Arial" w:eastAsia="Arial" w:hAnsi="Arial"/>
          <w:sz w:val="16"/>
          <w:szCs w:val="16"/>
          <w:color w:val="2A2A2D"/>
        </w:rPr>
        <w:t>,</w:t>
      </w:r>
      <w:r>
        <w:rPr>
          <w:rFonts w:ascii="Arial" w:cs="Arial" w:eastAsia="Arial" w:hAnsi="Arial"/>
          <w:sz w:val="16"/>
          <w:szCs w:val="16"/>
          <w:color w:val="110E13"/>
        </w:rPr>
        <w:t xml:space="preserve"> any distribution thereof in violation of any federal or state securities or “blue sky” law</w:t>
      </w:r>
      <w:r>
        <w:rPr>
          <w:rFonts w:ascii="Arial" w:cs="Arial" w:eastAsia="Arial" w:hAnsi="Arial"/>
          <w:sz w:val="16"/>
          <w:szCs w:val="16"/>
          <w:color w:val="2A2A2D"/>
        </w:rPr>
        <w:t>,</w:t>
      </w:r>
      <w:r>
        <w:rPr>
          <w:rFonts w:ascii="Arial" w:cs="Arial" w:eastAsia="Arial" w:hAnsi="Arial"/>
          <w:sz w:val="16"/>
          <w:szCs w:val="16"/>
          <w:color w:val="110E13"/>
        </w:rPr>
        <w:t xml:space="preserve"> or with any present intention of distributing or selling such Notes (or any shares of Company Common Stock issuable upon conversion of the Notes) in violation of the Securities Act. The Purchaser has sufficient knowledge and experience in financial and business matters so as to be capable of evaluating the merits and risks of its investment in such Notes (and any shares of Company Common Stock issuable upon conversion of the Notes) and is capable of bearing the economic risks of such investment. The Purchaser has been provided a reasonable opportunity to undertake and has undertaken such investigation and has been provided with and has evaluated such documents and information as it has deemed necessary to enable it to make an informed and intelligent decision with respect to the execution</w:t>
      </w:r>
      <w:r>
        <w:rPr>
          <w:rFonts w:ascii="Arial" w:cs="Arial" w:eastAsia="Arial" w:hAnsi="Arial"/>
          <w:sz w:val="16"/>
          <w:szCs w:val="16"/>
          <w:color w:val="2A2A2D"/>
        </w:rPr>
        <w:t>,</w:t>
      </w:r>
      <w:r>
        <w:rPr>
          <w:rFonts w:ascii="Arial" w:cs="Arial" w:eastAsia="Arial" w:hAnsi="Arial"/>
          <w:sz w:val="16"/>
          <w:szCs w:val="16"/>
          <w:color w:val="110E13"/>
        </w:rPr>
        <w:t xml:space="preserve"> delivery and performance of this Agreement.</w:t>
      </w:r>
    </w:p>
    <w:p>
      <w:pPr>
        <w:spacing w:after="0" w:line="146" w:lineRule="exact"/>
        <w:rPr>
          <w:sz w:val="20"/>
          <w:szCs w:val="20"/>
          <w:color w:val="auto"/>
        </w:rPr>
      </w:pPr>
    </w:p>
    <w:p>
      <w:pPr>
        <w:ind w:left="340" w:right="140" w:firstLine="504"/>
        <w:spacing w:after="0" w:line="290" w:lineRule="auto"/>
        <w:tabs>
          <w:tab w:leader="none" w:pos="1358" w:val="left"/>
        </w:tabs>
        <w:numPr>
          <w:ilvl w:val="1"/>
          <w:numId w:val="101"/>
        </w:numPr>
        <w:rPr>
          <w:rFonts w:ascii="Arial" w:cs="Arial" w:eastAsia="Arial" w:hAnsi="Arial"/>
          <w:sz w:val="15"/>
          <w:szCs w:val="15"/>
          <w:color w:val="auto"/>
        </w:rPr>
      </w:pPr>
      <w:r>
        <w:rPr>
          <w:rFonts w:ascii="Arial" w:cs="Arial" w:eastAsia="Arial" w:hAnsi="Arial"/>
          <w:sz w:val="15"/>
          <w:szCs w:val="15"/>
          <w:color w:val="110E13"/>
        </w:rPr>
        <w:t>Neither the Purchaser nor any of its Affiliates is acting in concert</w:t>
      </w:r>
      <w:r>
        <w:rPr>
          <w:rFonts w:ascii="Arial" w:cs="Arial" w:eastAsia="Arial" w:hAnsi="Arial"/>
          <w:sz w:val="15"/>
          <w:szCs w:val="15"/>
          <w:color w:val="2A2A2D"/>
        </w:rPr>
        <w:t>,</w:t>
      </w:r>
      <w:r>
        <w:rPr>
          <w:rFonts w:ascii="Arial" w:cs="Arial" w:eastAsia="Arial" w:hAnsi="Arial"/>
          <w:sz w:val="15"/>
          <w:szCs w:val="15"/>
          <w:color w:val="110E13"/>
        </w:rPr>
        <w:t xml:space="preserve"> and neither the Purchaser nor any of its Affiliates has any agreement or understanding</w:t>
      </w:r>
      <w:r>
        <w:rPr>
          <w:rFonts w:ascii="Arial" w:cs="Arial" w:eastAsia="Arial" w:hAnsi="Arial"/>
          <w:sz w:val="15"/>
          <w:szCs w:val="15"/>
          <w:color w:val="2A2A2D"/>
        </w:rPr>
        <w:t>,</w:t>
      </w:r>
      <w:r>
        <w:rPr>
          <w:rFonts w:ascii="Arial" w:cs="Arial" w:eastAsia="Arial" w:hAnsi="Arial"/>
          <w:sz w:val="15"/>
          <w:szCs w:val="15"/>
          <w:color w:val="110E13"/>
        </w:rPr>
        <w:t xml:space="preserve"> with any Person that is not an Affiliate of the Purchaser</w:t>
      </w:r>
      <w:r>
        <w:rPr>
          <w:rFonts w:ascii="Arial" w:cs="Arial" w:eastAsia="Arial" w:hAnsi="Arial"/>
          <w:sz w:val="15"/>
          <w:szCs w:val="15"/>
          <w:color w:val="2A2A2D"/>
        </w:rPr>
        <w:t>,</w:t>
      </w:r>
      <w:r>
        <w:rPr>
          <w:rFonts w:ascii="Arial" w:cs="Arial" w:eastAsia="Arial" w:hAnsi="Arial"/>
          <w:sz w:val="15"/>
          <w:szCs w:val="15"/>
          <w:color w:val="110E13"/>
        </w:rPr>
        <w:t xml:space="preserve"> and is not otherwise a member of a “group” (as such term is used in Section 13(d)</w:t>
      </w:r>
    </w:p>
    <w:p>
      <w:pPr>
        <w:ind w:left="580" w:hanging="246"/>
        <w:spacing w:after="0"/>
        <w:tabs>
          <w:tab w:leader="none" w:pos="580" w:val="left"/>
        </w:tabs>
        <w:numPr>
          <w:ilvl w:val="0"/>
          <w:numId w:val="102"/>
        </w:numPr>
        <w:rPr>
          <w:rFonts w:ascii="Arial" w:cs="Arial" w:eastAsia="Arial" w:hAnsi="Arial"/>
          <w:sz w:val="17"/>
          <w:szCs w:val="17"/>
          <w:color w:val="110E13"/>
        </w:rPr>
      </w:pPr>
      <w:r>
        <w:rPr>
          <w:rFonts w:ascii="Arial" w:cs="Arial" w:eastAsia="Arial" w:hAnsi="Arial"/>
          <w:sz w:val="17"/>
          <w:szCs w:val="17"/>
          <w:color w:val="110E13"/>
        </w:rPr>
        <w:t>of the Exchange Act)</w:t>
      </w:r>
      <w:r>
        <w:rPr>
          <w:rFonts w:ascii="Arial" w:cs="Arial" w:eastAsia="Arial" w:hAnsi="Arial"/>
          <w:sz w:val="17"/>
          <w:szCs w:val="17"/>
          <w:color w:val="2A2A2D"/>
        </w:rPr>
        <w:t>,</w:t>
      </w:r>
      <w:r>
        <w:rPr>
          <w:rFonts w:ascii="Arial" w:cs="Arial" w:eastAsia="Arial" w:hAnsi="Arial"/>
          <w:sz w:val="17"/>
          <w:szCs w:val="17"/>
          <w:color w:val="110E13"/>
        </w:rPr>
        <w:t xml:space="preserve"> with respect to the Company or its securities.</w:t>
      </w:r>
    </w:p>
    <w:p>
      <w:pPr>
        <w:spacing w:after="0" w:line="162" w:lineRule="exact"/>
        <w:rPr>
          <w:rFonts w:ascii="Arial" w:cs="Arial" w:eastAsia="Arial" w:hAnsi="Arial"/>
          <w:sz w:val="17"/>
          <w:szCs w:val="17"/>
          <w:color w:val="110E13"/>
        </w:rPr>
      </w:pPr>
    </w:p>
    <w:p>
      <w:pPr>
        <w:ind w:left="340" w:firstLine="504"/>
        <w:spacing w:after="0" w:line="253" w:lineRule="auto"/>
        <w:tabs>
          <w:tab w:leader="none" w:pos="1352" w:val="left"/>
        </w:tabs>
        <w:numPr>
          <w:ilvl w:val="1"/>
          <w:numId w:val="102"/>
        </w:numPr>
        <w:rPr>
          <w:rFonts w:ascii="Arial" w:cs="Arial" w:eastAsia="Arial" w:hAnsi="Arial"/>
          <w:sz w:val="17"/>
          <w:szCs w:val="17"/>
          <w:color w:val="auto"/>
        </w:rPr>
      </w:pPr>
      <w:r>
        <w:rPr>
          <w:rFonts w:ascii="Arial" w:cs="Arial" w:eastAsia="Arial" w:hAnsi="Arial"/>
          <w:sz w:val="17"/>
          <w:szCs w:val="17"/>
          <w:color w:val="110E13"/>
        </w:rPr>
        <w:t>Except as disclosed in writing by the Purchaser to the Company prior to the entry into this Agreement</w:t>
      </w:r>
      <w:r>
        <w:rPr>
          <w:rFonts w:ascii="Arial" w:cs="Arial" w:eastAsia="Arial" w:hAnsi="Arial"/>
          <w:sz w:val="17"/>
          <w:szCs w:val="17"/>
          <w:color w:val="2A2A2D"/>
        </w:rPr>
        <w:t>,</w:t>
      </w:r>
      <w:r>
        <w:rPr>
          <w:rFonts w:ascii="Arial" w:cs="Arial" w:eastAsia="Arial" w:hAnsi="Arial"/>
          <w:sz w:val="17"/>
          <w:szCs w:val="17"/>
          <w:color w:val="110E13"/>
        </w:rPr>
        <w:t xml:space="preserve"> neither the Purchaser</w:t>
      </w:r>
      <w:r>
        <w:rPr>
          <w:rFonts w:ascii="Arial" w:cs="Arial" w:eastAsia="Arial" w:hAnsi="Arial"/>
          <w:sz w:val="17"/>
          <w:szCs w:val="17"/>
          <w:color w:val="2A2A2D"/>
        </w:rPr>
        <w:t>,</w:t>
      </w:r>
      <w:r>
        <w:rPr>
          <w:rFonts w:ascii="Arial" w:cs="Arial" w:eastAsia="Arial" w:hAnsi="Arial"/>
          <w:sz w:val="17"/>
          <w:szCs w:val="17"/>
          <w:color w:val="110E13"/>
        </w:rPr>
        <w:t xml:space="preserve"> nor any person who through the Purchaser Beneficially Owns shares of Company Common Stock</w:t>
      </w:r>
      <w:r>
        <w:rPr>
          <w:rFonts w:ascii="Arial" w:cs="Arial" w:eastAsia="Arial" w:hAnsi="Arial"/>
          <w:sz w:val="17"/>
          <w:szCs w:val="17"/>
          <w:color w:val="2A2A2D"/>
        </w:rPr>
        <w:t>,</w:t>
      </w:r>
      <w:r>
        <w:rPr>
          <w:rFonts w:ascii="Arial" w:cs="Arial" w:eastAsia="Arial" w:hAnsi="Arial"/>
          <w:sz w:val="17"/>
          <w:szCs w:val="17"/>
          <w:color w:val="110E13"/>
        </w:rPr>
        <w:t xml:space="preserve"> has been or is subject to any disqualification event described in Rule 506(d) of Regulation D under the Securities Act (a </w:t>
      </w:r>
      <w:r>
        <w:rPr>
          <w:rFonts w:ascii="Arial" w:cs="Arial" w:eastAsia="Arial" w:hAnsi="Arial"/>
          <w:sz w:val="17"/>
          <w:szCs w:val="17"/>
          <w:color w:val="2A2A2D"/>
        </w:rPr>
        <w:t>“</w:t>
      </w:r>
      <w:r>
        <w:rPr>
          <w:rFonts w:ascii="Arial" w:cs="Arial" w:eastAsia="Arial" w:hAnsi="Arial"/>
          <w:sz w:val="17"/>
          <w:szCs w:val="17"/>
          <w:b w:val="1"/>
          <w:bCs w:val="1"/>
          <w:color w:val="110E13"/>
        </w:rPr>
        <w:t>Disqualification Event</w:t>
      </w:r>
      <w:r>
        <w:rPr>
          <w:rFonts w:ascii="Arial" w:cs="Arial" w:eastAsia="Arial" w:hAnsi="Arial"/>
          <w:sz w:val="17"/>
          <w:szCs w:val="17"/>
          <w:color w:val="110E13"/>
        </w:rPr>
        <w:t>”</w:t>
      </w:r>
      <w:r>
        <w:rPr>
          <w:rFonts w:ascii="Arial" w:cs="Arial" w:eastAsia="Arial" w:hAnsi="Arial"/>
          <w:sz w:val="17"/>
          <w:szCs w:val="17"/>
          <w:b w:val="1"/>
          <w:bCs w:val="1"/>
          <w:color w:val="110E13"/>
        </w:rPr>
        <w:t>)</w:t>
      </w:r>
      <w:r>
        <w:rPr>
          <w:rFonts w:ascii="Arial" w:cs="Arial" w:eastAsia="Arial" w:hAnsi="Arial"/>
          <w:sz w:val="17"/>
          <w:szCs w:val="17"/>
          <w:color w:val="110E13"/>
        </w:rPr>
        <w:t xml:space="preserve"> during the time periods specified in Rule 506(d) of Regulation D under the Securities Act. The Purchaser agrees to provide the Company with prompt written notice of the occurrence of any Disqualification Event with respect to the Purchaser </w:t>
      </w:r>
      <w:r>
        <w:rPr>
          <w:rFonts w:ascii="Arial" w:cs="Arial" w:eastAsia="Arial" w:hAnsi="Arial"/>
          <w:sz w:val="17"/>
          <w:szCs w:val="17"/>
          <w:color w:val="2A2A2D"/>
        </w:rPr>
        <w:t>or</w:t>
      </w:r>
      <w:r>
        <w:rPr>
          <w:rFonts w:ascii="Arial" w:cs="Arial" w:eastAsia="Arial" w:hAnsi="Arial"/>
          <w:sz w:val="17"/>
          <w:szCs w:val="17"/>
          <w:color w:val="110E13"/>
        </w:rPr>
        <w:t xml:space="preserve"> any such Beneficial Owner.</w:t>
      </w:r>
    </w:p>
    <w:p>
      <w:pPr>
        <w:spacing w:after="0" w:line="158" w:lineRule="exact"/>
        <w:rPr>
          <w:sz w:val="20"/>
          <w:szCs w:val="20"/>
          <w:color w:val="auto"/>
        </w:rPr>
      </w:pPr>
    </w:p>
    <w:p>
      <w:pPr>
        <w:ind w:left="-180" w:right="100" w:firstLine="514"/>
        <w:spacing w:after="0" w:line="259" w:lineRule="auto"/>
        <w:tabs>
          <w:tab w:leader="none" w:pos="829"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Brokers and Finders. </w:t>
      </w:r>
      <w:r>
        <w:rPr>
          <w:rFonts w:ascii="Arial" w:cs="Arial" w:eastAsia="Arial" w:hAnsi="Arial"/>
          <w:sz w:val="17"/>
          <w:szCs w:val="17"/>
          <w:color w:val="auto"/>
        </w:rPr>
        <w:t>Neither the Purchaser nor any of its Affiliates has retained</w:t>
      </w:r>
      <w:r>
        <w:rPr>
          <w:rFonts w:ascii="Arial" w:cs="Arial" w:eastAsia="Arial" w:hAnsi="Arial"/>
          <w:sz w:val="17"/>
          <w:szCs w:val="17"/>
          <w:color w:val="2B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utilized or been represented by</w:t>
      </w:r>
      <w:r>
        <w:rPr>
          <w:rFonts w:ascii="Arial" w:cs="Arial" w:eastAsia="Arial" w:hAnsi="Arial"/>
          <w:sz w:val="17"/>
          <w:szCs w:val="17"/>
          <w:color w:val="2B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become obligated to</w:t>
      </w:r>
      <w:r>
        <w:rPr>
          <w:rFonts w:ascii="Arial" w:cs="Arial" w:eastAsia="Arial" w:hAnsi="Arial"/>
          <w:sz w:val="17"/>
          <w:szCs w:val="17"/>
          <w:color w:val="2B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broker</w:t>
      </w:r>
      <w:r>
        <w:rPr>
          <w:rFonts w:ascii="Arial" w:cs="Arial" w:eastAsia="Arial" w:hAnsi="Arial"/>
          <w:sz w:val="17"/>
          <w:szCs w:val="17"/>
          <w:color w:val="2B2A2D"/>
        </w:rPr>
        <w:t>,</w:t>
      </w:r>
      <w:r>
        <w:rPr>
          <w:rFonts w:ascii="Arial" w:cs="Arial" w:eastAsia="Arial" w:hAnsi="Arial"/>
          <w:sz w:val="17"/>
          <w:szCs w:val="17"/>
          <w:color w:val="auto"/>
        </w:rPr>
        <w:t xml:space="preserve"> placement agent</w:t>
      </w:r>
      <w:r>
        <w:rPr>
          <w:rFonts w:ascii="Arial" w:cs="Arial" w:eastAsia="Arial" w:hAnsi="Arial"/>
          <w:sz w:val="17"/>
          <w:szCs w:val="17"/>
          <w:color w:val="2B2A2D"/>
        </w:rPr>
        <w:t>,</w:t>
      </w:r>
      <w:r>
        <w:rPr>
          <w:rFonts w:ascii="Arial" w:cs="Arial" w:eastAsia="Arial" w:hAnsi="Arial"/>
          <w:sz w:val="17"/>
          <w:szCs w:val="17"/>
          <w:color w:val="auto"/>
        </w:rPr>
        <w:t xml:space="preserve"> financial advisor or finder in connection with the transactions contemplated by this Agreement whose fees the Company would be required to pay.</w:t>
      </w:r>
    </w:p>
    <w:p>
      <w:pPr>
        <w:spacing w:after="0" w:line="141" w:lineRule="exact"/>
        <w:rPr>
          <w:rFonts w:ascii="Arial" w:cs="Arial" w:eastAsia="Arial" w:hAnsi="Arial"/>
          <w:sz w:val="17"/>
          <w:szCs w:val="17"/>
          <w:color w:val="auto"/>
        </w:rPr>
      </w:pPr>
    </w:p>
    <w:p>
      <w:pPr>
        <w:ind w:left="-180" w:right="80" w:firstLine="514"/>
        <w:spacing w:after="0" w:line="259" w:lineRule="auto"/>
        <w:tabs>
          <w:tab w:leader="none" w:pos="831"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Shares. </w:t>
      </w:r>
      <w:r>
        <w:rPr>
          <w:rFonts w:ascii="Arial" w:cs="Arial" w:eastAsia="Arial" w:hAnsi="Arial"/>
          <w:sz w:val="17"/>
          <w:szCs w:val="17"/>
          <w:color w:val="auto"/>
        </w:rPr>
        <w:t>None of the Purchaser or its Affiliates Beneficially Own any shares of Company Common Stock (without giving effect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the Notes hereunder) except as disclosed in Schedule A hereto. Since June 1</w:t>
      </w:r>
      <w:r>
        <w:rPr>
          <w:rFonts w:ascii="Arial" w:cs="Arial" w:eastAsia="Arial" w:hAnsi="Arial"/>
          <w:sz w:val="17"/>
          <w:szCs w:val="17"/>
          <w:color w:val="2B2A2D"/>
        </w:rPr>
        <w:t>,</w:t>
      </w:r>
      <w:r>
        <w:rPr>
          <w:rFonts w:ascii="Arial" w:cs="Arial" w:eastAsia="Arial" w:hAnsi="Arial"/>
          <w:sz w:val="17"/>
          <w:szCs w:val="17"/>
          <w:color w:val="auto"/>
        </w:rPr>
        <w:t xml:space="preserve"> 2020</w:t>
      </w:r>
      <w:r>
        <w:rPr>
          <w:rFonts w:ascii="Arial" w:cs="Arial" w:eastAsia="Arial" w:hAnsi="Arial"/>
          <w:sz w:val="17"/>
          <w:szCs w:val="17"/>
          <w:color w:val="2B2A2D"/>
        </w:rPr>
        <w:t>,</w:t>
      </w:r>
      <w:r>
        <w:rPr>
          <w:rFonts w:ascii="Arial" w:cs="Arial" w:eastAsia="Arial" w:hAnsi="Arial"/>
          <w:sz w:val="17"/>
          <w:szCs w:val="17"/>
          <w:color w:val="auto"/>
        </w:rPr>
        <w:t xml:space="preserve"> none of the Purchaser or its Affiliates has engaged in any hedge</w:t>
      </w:r>
      <w:r>
        <w:rPr>
          <w:rFonts w:ascii="Arial" w:cs="Arial" w:eastAsia="Arial" w:hAnsi="Arial"/>
          <w:sz w:val="17"/>
          <w:szCs w:val="17"/>
          <w:color w:val="2B2A2D"/>
        </w:rPr>
        <w:t>,</w:t>
      </w:r>
      <w:r>
        <w:rPr>
          <w:rFonts w:ascii="Arial" w:cs="Arial" w:eastAsia="Arial" w:hAnsi="Arial"/>
          <w:sz w:val="17"/>
          <w:szCs w:val="17"/>
          <w:color w:val="auto"/>
        </w:rPr>
        <w:t xml:space="preserve"> swap</w:t>
      </w:r>
      <w:r>
        <w:rPr>
          <w:rFonts w:ascii="Arial" w:cs="Arial" w:eastAsia="Arial" w:hAnsi="Arial"/>
          <w:sz w:val="17"/>
          <w:szCs w:val="17"/>
          <w:color w:val="2B2A2D"/>
        </w:rPr>
        <w:t>,</w:t>
      </w:r>
      <w:r>
        <w:rPr>
          <w:rFonts w:ascii="Arial" w:cs="Arial" w:eastAsia="Arial" w:hAnsi="Arial"/>
          <w:sz w:val="17"/>
          <w:szCs w:val="17"/>
          <w:color w:val="auto"/>
        </w:rPr>
        <w:t xml:space="preserve"> short sale or derivative transactions involving the Company Common Stock or other agreement or arrangement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40"/>
          </w:cols>
          <w:pgMar w:left="480" w:top="1162" w:right="47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that transfers to any Third Party</w:t>
      </w:r>
      <w:r>
        <w:rPr>
          <w:rFonts w:ascii="Arial" w:cs="Arial" w:eastAsia="Arial" w:hAnsi="Arial"/>
          <w:sz w:val="17"/>
          <w:szCs w:val="17"/>
          <w:color w:val="2B2A2D"/>
        </w:rPr>
        <w:t>,</w:t>
      </w:r>
      <w:r>
        <w:rPr>
          <w:rFonts w:ascii="Arial" w:cs="Arial" w:eastAsia="Arial" w:hAnsi="Arial"/>
          <w:sz w:val="17"/>
          <w:szCs w:val="17"/>
          <w:color w:val="auto"/>
        </w:rPr>
        <w:t xml:space="preserve"> directly or indirectly</w:t>
      </w:r>
      <w:r>
        <w:rPr>
          <w:rFonts w:ascii="Arial" w:cs="Arial" w:eastAsia="Arial" w:hAnsi="Arial"/>
          <w:sz w:val="17"/>
          <w:szCs w:val="17"/>
          <w:color w:val="2B2A2D"/>
        </w:rPr>
        <w:t>,</w:t>
      </w:r>
      <w:r>
        <w:rPr>
          <w:rFonts w:ascii="Arial" w:cs="Arial" w:eastAsia="Arial" w:hAnsi="Arial"/>
          <w:sz w:val="17"/>
          <w:szCs w:val="17"/>
          <w:color w:val="auto"/>
        </w:rPr>
        <w:t xml:space="preserve"> in whole or in part</w:t>
      </w:r>
      <w:r>
        <w:rPr>
          <w:rFonts w:ascii="Arial" w:cs="Arial" w:eastAsia="Arial" w:hAnsi="Arial"/>
          <w:sz w:val="17"/>
          <w:szCs w:val="17"/>
          <w:color w:val="2B2A2D"/>
        </w:rPr>
        <w:t>,</w:t>
      </w:r>
      <w:r>
        <w:rPr>
          <w:rFonts w:ascii="Arial" w:cs="Arial" w:eastAsia="Arial" w:hAnsi="Arial"/>
          <w:sz w:val="17"/>
          <w:szCs w:val="17"/>
          <w:color w:val="auto"/>
        </w:rPr>
        <w:t xml:space="preserve"> any ownership of</w:t>
      </w:r>
      <w:r>
        <w:rPr>
          <w:rFonts w:ascii="Arial" w:cs="Arial" w:eastAsia="Arial" w:hAnsi="Arial"/>
          <w:sz w:val="17"/>
          <w:szCs w:val="17"/>
          <w:color w:val="2B2A2D"/>
        </w:rPr>
        <w:t>,</w:t>
      </w:r>
      <w:r>
        <w:rPr>
          <w:rFonts w:ascii="Arial" w:cs="Arial" w:eastAsia="Arial" w:hAnsi="Arial"/>
          <w:sz w:val="17"/>
          <w:szCs w:val="17"/>
          <w:color w:val="auto"/>
        </w:rPr>
        <w:t xml:space="preserve"> or interests in</w:t>
      </w:r>
      <w:r>
        <w:rPr>
          <w:rFonts w:ascii="Arial" w:cs="Arial" w:eastAsia="Arial" w:hAnsi="Arial"/>
          <w:sz w:val="17"/>
          <w:szCs w:val="17"/>
          <w:color w:val="2B2A2D"/>
        </w:rPr>
        <w:t>,</w:t>
      </w:r>
      <w:r>
        <w:rPr>
          <w:rFonts w:ascii="Arial" w:cs="Arial" w:eastAsia="Arial" w:hAnsi="Arial"/>
          <w:sz w:val="17"/>
          <w:szCs w:val="17"/>
          <w:color w:val="auto"/>
        </w:rPr>
        <w:t xml:space="preserve"> any shares of Company Common Stock.</w:t>
      </w:r>
    </w:p>
    <w:p>
      <w:pPr>
        <w:spacing w:after="0" w:line="176" w:lineRule="exact"/>
        <w:rPr>
          <w:sz w:val="20"/>
          <w:szCs w:val="20"/>
          <w:color w:val="auto"/>
        </w:rPr>
      </w:pPr>
    </w:p>
    <w:p>
      <w:pPr>
        <w:ind w:right="60" w:firstLine="514"/>
        <w:spacing w:after="0" w:line="255" w:lineRule="auto"/>
        <w:tabs>
          <w:tab w:leader="none" w:pos="1019"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Applicable Law. </w:t>
      </w:r>
      <w:r>
        <w:rPr>
          <w:rFonts w:ascii="Arial" w:cs="Arial" w:eastAsia="Arial" w:hAnsi="Arial"/>
          <w:sz w:val="17"/>
          <w:szCs w:val="17"/>
          <w:color w:val="auto"/>
        </w:rPr>
        <w:t>Except as disclosed in writing by the Purchaser to the Company prior to entry into this Agreement</w:t>
      </w:r>
      <w:r>
        <w:rPr>
          <w:rFonts w:ascii="Arial" w:cs="Arial" w:eastAsia="Arial" w:hAnsi="Arial"/>
          <w:sz w:val="17"/>
          <w:szCs w:val="17"/>
          <w:color w:val="2B2A2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has complied with</w:t>
      </w:r>
      <w:r>
        <w:rPr>
          <w:rFonts w:ascii="Arial" w:cs="Arial" w:eastAsia="Arial" w:hAnsi="Arial"/>
          <w:sz w:val="17"/>
          <w:szCs w:val="17"/>
          <w:color w:val="2B2A2D"/>
        </w:rPr>
        <w:t>,</w:t>
      </w:r>
      <w:r>
        <w:rPr>
          <w:rFonts w:ascii="Arial" w:cs="Arial" w:eastAsia="Arial" w:hAnsi="Arial"/>
          <w:sz w:val="17"/>
          <w:szCs w:val="17"/>
          <w:color w:val="auto"/>
        </w:rPr>
        <w:t xml:space="preserve"> and is not in default or violation of</w:t>
      </w:r>
      <w:r>
        <w:rPr>
          <w:rFonts w:ascii="Arial" w:cs="Arial" w:eastAsia="Arial" w:hAnsi="Arial"/>
          <w:sz w:val="17"/>
          <w:szCs w:val="17"/>
          <w:color w:val="2B2A2D"/>
        </w:rPr>
        <w:t>,</w:t>
      </w:r>
      <w:r>
        <w:rPr>
          <w:rFonts w:ascii="Arial" w:cs="Arial" w:eastAsia="Arial" w:hAnsi="Arial"/>
          <w:sz w:val="17"/>
          <w:szCs w:val="17"/>
          <w:color w:val="auto"/>
        </w:rPr>
        <w:t xml:space="preserve"> any law</w:t>
      </w:r>
      <w:r>
        <w:rPr>
          <w:rFonts w:ascii="Arial" w:cs="Arial" w:eastAsia="Arial" w:hAnsi="Arial"/>
          <w:sz w:val="17"/>
          <w:szCs w:val="17"/>
          <w:color w:val="2B2A2D"/>
        </w:rPr>
        <w:t>,</w:t>
      </w:r>
      <w:r>
        <w:rPr>
          <w:rFonts w:ascii="Arial" w:cs="Arial" w:eastAsia="Arial" w:hAnsi="Arial"/>
          <w:sz w:val="17"/>
          <w:szCs w:val="17"/>
          <w:color w:val="auto"/>
        </w:rPr>
        <w:t xml:space="preserve"> statute</w:t>
      </w:r>
      <w:r>
        <w:rPr>
          <w:rFonts w:ascii="Arial" w:cs="Arial" w:eastAsia="Arial" w:hAnsi="Arial"/>
          <w:sz w:val="17"/>
          <w:szCs w:val="17"/>
          <w:color w:val="2B2A2D"/>
        </w:rPr>
        <w:t>,</w:t>
      </w:r>
      <w:r>
        <w:rPr>
          <w:rFonts w:ascii="Arial" w:cs="Arial" w:eastAsia="Arial" w:hAnsi="Arial"/>
          <w:sz w:val="17"/>
          <w:szCs w:val="17"/>
          <w:color w:val="auto"/>
        </w:rPr>
        <w:t xml:space="preserve"> order</w:t>
      </w:r>
      <w:r>
        <w:rPr>
          <w:rFonts w:ascii="Arial" w:cs="Arial" w:eastAsia="Arial" w:hAnsi="Arial"/>
          <w:sz w:val="17"/>
          <w:szCs w:val="17"/>
          <w:color w:val="2B2A2D"/>
        </w:rPr>
        <w:t>,</w:t>
      </w:r>
      <w:r>
        <w:rPr>
          <w:rFonts w:ascii="Arial" w:cs="Arial" w:eastAsia="Arial" w:hAnsi="Arial"/>
          <w:sz w:val="17"/>
          <w:szCs w:val="17"/>
          <w:color w:val="auto"/>
        </w:rPr>
        <w:t xml:space="preserve"> rule</w:t>
      </w:r>
      <w:r>
        <w:rPr>
          <w:rFonts w:ascii="Arial" w:cs="Arial" w:eastAsia="Arial" w:hAnsi="Arial"/>
          <w:sz w:val="17"/>
          <w:szCs w:val="17"/>
          <w:color w:val="2B2A2D"/>
        </w:rPr>
        <w:t>,</w:t>
      </w:r>
      <w:r>
        <w:rPr>
          <w:rFonts w:ascii="Arial" w:cs="Arial" w:eastAsia="Arial" w:hAnsi="Arial"/>
          <w:sz w:val="17"/>
          <w:szCs w:val="17"/>
          <w:color w:val="auto"/>
        </w:rPr>
        <w:t xml:space="preserve"> regulation, policy or guideline of any Governmental Entity applicable to the Purchaser</w:t>
      </w:r>
      <w:r>
        <w:rPr>
          <w:rFonts w:ascii="Arial" w:cs="Arial" w:eastAsia="Arial" w:hAnsi="Arial"/>
          <w:sz w:val="17"/>
          <w:szCs w:val="17"/>
          <w:color w:val="2B2A2D"/>
        </w:rPr>
        <w:t>,</w:t>
      </w:r>
      <w:r>
        <w:rPr>
          <w:rFonts w:ascii="Arial" w:cs="Arial" w:eastAsia="Arial" w:hAnsi="Arial"/>
          <w:sz w:val="17"/>
          <w:szCs w:val="17"/>
          <w:color w:val="auto"/>
        </w:rPr>
        <w:t xml:space="preserve"> except for such failures to comply</w:t>
      </w:r>
      <w:r>
        <w:rPr>
          <w:rFonts w:ascii="Arial" w:cs="Arial" w:eastAsia="Arial" w:hAnsi="Arial"/>
          <w:sz w:val="17"/>
          <w:szCs w:val="17"/>
          <w:color w:val="2B2A2D"/>
        </w:rPr>
        <w:t>,</w:t>
      </w:r>
      <w:r>
        <w:rPr>
          <w:rFonts w:ascii="Arial" w:cs="Arial" w:eastAsia="Arial" w:hAnsi="Arial"/>
          <w:sz w:val="17"/>
          <w:szCs w:val="17"/>
          <w:color w:val="auto"/>
        </w:rPr>
        <w:t xml:space="preserve"> defaults or violations that would not reasonably be expected to adversely affect or delay the consummation of the Transactions by the Purchaser.</w:t>
      </w:r>
    </w:p>
    <w:p>
      <w:pPr>
        <w:spacing w:after="0" w:line="145" w:lineRule="exact"/>
        <w:rPr>
          <w:rFonts w:ascii="Arial" w:cs="Arial" w:eastAsia="Arial" w:hAnsi="Arial"/>
          <w:sz w:val="17"/>
          <w:szCs w:val="17"/>
          <w:color w:val="auto"/>
        </w:rPr>
      </w:pPr>
    </w:p>
    <w:p>
      <w:pPr>
        <w:ind w:left="1020" w:hanging="506"/>
        <w:spacing w:after="0"/>
        <w:tabs>
          <w:tab w:leader="none" w:pos="102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No Additional Representations</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520" w:firstLine="504"/>
        <w:spacing w:after="0" w:line="287" w:lineRule="auto"/>
        <w:tabs>
          <w:tab w:leader="none" w:pos="1533" w:val="left"/>
        </w:tabs>
        <w:numPr>
          <w:ilvl w:val="1"/>
          <w:numId w:val="104"/>
        </w:numPr>
        <w:rPr>
          <w:rFonts w:ascii="Arial" w:cs="Arial" w:eastAsia="Arial" w:hAnsi="Arial"/>
          <w:sz w:val="15"/>
          <w:szCs w:val="15"/>
          <w:color w:val="auto"/>
        </w:rPr>
      </w:pPr>
      <w:r>
        <w:rPr>
          <w:rFonts w:ascii="Arial" w:cs="Arial" w:eastAsia="Arial" w:hAnsi="Arial"/>
          <w:sz w:val="15"/>
          <w:szCs w:val="15"/>
          <w:color w:val="110E13"/>
        </w:rPr>
        <w:t xml:space="preserve">The Purchaser acknowledges that the Company does not make any representation or warranty as to any matter whatsoever except as expressly set forth in </w:t>
      </w:r>
      <w:r>
        <w:rPr>
          <w:rFonts w:ascii="Arial" w:cs="Arial" w:eastAsia="Arial" w:hAnsi="Arial"/>
          <w:sz w:val="15"/>
          <w:szCs w:val="15"/>
          <w:color w:val="000000"/>
        </w:rPr>
        <w:t>Section 3.01</w:t>
      </w:r>
      <w:r>
        <w:rPr>
          <w:rFonts w:ascii="Arial" w:cs="Arial" w:eastAsia="Arial" w:hAnsi="Arial"/>
          <w:sz w:val="15"/>
          <w:szCs w:val="15"/>
          <w:color w:val="110E13"/>
        </w:rPr>
        <w:t xml:space="preserve"> and in any certificate delivered by the Company pursuant to this Agreement</w:t>
      </w:r>
      <w:r>
        <w:rPr>
          <w:rFonts w:ascii="Arial" w:cs="Arial" w:eastAsia="Arial" w:hAnsi="Arial"/>
          <w:sz w:val="15"/>
          <w:szCs w:val="15"/>
          <w:color w:val="2B2A2D"/>
        </w:rPr>
        <w:t>,</w:t>
      </w:r>
      <w:r>
        <w:rPr>
          <w:rFonts w:ascii="Arial" w:cs="Arial" w:eastAsia="Arial" w:hAnsi="Arial"/>
          <w:sz w:val="15"/>
          <w:szCs w:val="15"/>
          <w:color w:val="110E13"/>
        </w:rPr>
        <w:t xml:space="preserve"> and specifically (but without limiting the generality of the foregoing)</w:t>
      </w:r>
      <w:r>
        <w:rPr>
          <w:rFonts w:ascii="Arial" w:cs="Arial" w:eastAsia="Arial" w:hAnsi="Arial"/>
          <w:sz w:val="15"/>
          <w:szCs w:val="15"/>
          <w:color w:val="2B2A2D"/>
        </w:rPr>
        <w:t>,</w:t>
      </w:r>
      <w:r>
        <w:rPr>
          <w:rFonts w:ascii="Arial" w:cs="Arial" w:eastAsia="Arial" w:hAnsi="Arial"/>
          <w:sz w:val="15"/>
          <w:szCs w:val="15"/>
          <w:color w:val="110E13"/>
        </w:rPr>
        <w:t xml:space="preserve"> that</w:t>
      </w:r>
      <w:r>
        <w:rPr>
          <w:rFonts w:ascii="Arial" w:cs="Arial" w:eastAsia="Arial" w:hAnsi="Arial"/>
          <w:sz w:val="15"/>
          <w:szCs w:val="15"/>
          <w:color w:val="2B2A2D"/>
        </w:rPr>
        <w:t>,</w:t>
      </w:r>
      <w:r>
        <w:rPr>
          <w:rFonts w:ascii="Arial" w:cs="Arial" w:eastAsia="Arial" w:hAnsi="Arial"/>
          <w:sz w:val="15"/>
          <w:szCs w:val="15"/>
          <w:color w:val="110E13"/>
        </w:rPr>
        <w:t xml:space="preserve"> except as expressly set forth in </w:t>
      </w:r>
      <w:r>
        <w:rPr>
          <w:rFonts w:ascii="Arial" w:cs="Arial" w:eastAsia="Arial" w:hAnsi="Arial"/>
          <w:sz w:val="15"/>
          <w:szCs w:val="15"/>
          <w:color w:val="000000"/>
        </w:rPr>
        <w:t>Section 3.01</w:t>
      </w:r>
      <w:r>
        <w:rPr>
          <w:rFonts w:ascii="Arial" w:cs="Arial" w:eastAsia="Arial" w:hAnsi="Arial"/>
          <w:sz w:val="15"/>
          <w:szCs w:val="15"/>
          <w:color w:val="110E13"/>
        </w:rPr>
        <w:t xml:space="preserve"> and in any certificate delivered by the Company pursuant to this Agreement</w:t>
      </w:r>
      <w:r>
        <w:rPr>
          <w:rFonts w:ascii="Arial" w:cs="Arial" w:eastAsia="Arial" w:hAnsi="Arial"/>
          <w:sz w:val="15"/>
          <w:szCs w:val="15"/>
          <w:color w:val="2B2A2D"/>
        </w:rPr>
        <w:t>,</w:t>
      </w:r>
      <w:r>
        <w:rPr>
          <w:rFonts w:ascii="Arial" w:cs="Arial" w:eastAsia="Arial" w:hAnsi="Arial"/>
          <w:sz w:val="15"/>
          <w:szCs w:val="15"/>
          <w:color w:val="110E13"/>
        </w:rPr>
        <w:t xml:space="preserve"> the Company makes no representation or warranty with respect to any matters relating to the Company</w:t>
      </w:r>
      <w:r>
        <w:rPr>
          <w:rFonts w:ascii="Arial" w:cs="Arial" w:eastAsia="Arial" w:hAnsi="Arial"/>
          <w:sz w:val="15"/>
          <w:szCs w:val="15"/>
          <w:color w:val="2B2A2D"/>
        </w:rPr>
        <w:t>,</w:t>
      </w:r>
      <w:r>
        <w:rPr>
          <w:rFonts w:ascii="Arial" w:cs="Arial" w:eastAsia="Arial" w:hAnsi="Arial"/>
          <w:sz w:val="15"/>
          <w:szCs w:val="15"/>
          <w:color w:val="110E13"/>
        </w:rPr>
        <w:t xml:space="preserve"> its business</w:t>
      </w:r>
      <w:r>
        <w:rPr>
          <w:rFonts w:ascii="Arial" w:cs="Arial" w:eastAsia="Arial" w:hAnsi="Arial"/>
          <w:sz w:val="15"/>
          <w:szCs w:val="15"/>
          <w:color w:val="2B2A2D"/>
        </w:rPr>
        <w:t>,</w:t>
      </w:r>
      <w:r>
        <w:rPr>
          <w:rFonts w:ascii="Arial" w:cs="Arial" w:eastAsia="Arial" w:hAnsi="Arial"/>
          <w:sz w:val="15"/>
          <w:szCs w:val="15"/>
          <w:color w:val="110E13"/>
        </w:rPr>
        <w:t xml:space="preserve"> financial condition</w:t>
      </w:r>
      <w:r>
        <w:rPr>
          <w:rFonts w:ascii="Arial" w:cs="Arial" w:eastAsia="Arial" w:hAnsi="Arial"/>
          <w:sz w:val="15"/>
          <w:szCs w:val="15"/>
          <w:color w:val="2B2A2D"/>
        </w:rPr>
        <w:t>,</w:t>
      </w:r>
      <w:r>
        <w:rPr>
          <w:rFonts w:ascii="Arial" w:cs="Arial" w:eastAsia="Arial" w:hAnsi="Arial"/>
          <w:sz w:val="15"/>
          <w:szCs w:val="15"/>
          <w:color w:val="110E13"/>
        </w:rPr>
        <w:t xml:space="preserve"> results of operations</w:t>
      </w:r>
      <w:r>
        <w:rPr>
          <w:rFonts w:ascii="Arial" w:cs="Arial" w:eastAsia="Arial" w:hAnsi="Arial"/>
          <w:sz w:val="15"/>
          <w:szCs w:val="15"/>
          <w:color w:val="3F3F42"/>
        </w:rPr>
        <w:t>,</w:t>
      </w:r>
      <w:r>
        <w:rPr>
          <w:rFonts w:ascii="Arial" w:cs="Arial" w:eastAsia="Arial" w:hAnsi="Arial"/>
          <w:sz w:val="15"/>
          <w:szCs w:val="15"/>
          <w:color w:val="110E13"/>
        </w:rPr>
        <w:t xml:space="preserve"> prospects or otherwise</w:t>
      </w:r>
      <w:r>
        <w:rPr>
          <w:rFonts w:ascii="Arial" w:cs="Arial" w:eastAsia="Arial" w:hAnsi="Arial"/>
          <w:sz w:val="15"/>
          <w:szCs w:val="15"/>
          <w:color w:val="2B2A2D"/>
        </w:rPr>
        <w:t>,</w:t>
      </w:r>
      <w:r>
        <w:rPr>
          <w:rFonts w:ascii="Arial" w:cs="Arial" w:eastAsia="Arial" w:hAnsi="Arial"/>
          <w:sz w:val="15"/>
          <w:szCs w:val="15"/>
          <w:color w:val="110E13"/>
        </w:rPr>
        <w:t xml:space="preserve"> any projections</w:t>
      </w:r>
      <w:r>
        <w:rPr>
          <w:rFonts w:ascii="Arial" w:cs="Arial" w:eastAsia="Arial" w:hAnsi="Arial"/>
          <w:sz w:val="15"/>
          <w:szCs w:val="15"/>
          <w:color w:val="2B2A2D"/>
        </w:rPr>
        <w:t>,</w:t>
      </w:r>
      <w:r>
        <w:rPr>
          <w:rFonts w:ascii="Arial" w:cs="Arial" w:eastAsia="Arial" w:hAnsi="Arial"/>
          <w:sz w:val="15"/>
          <w:szCs w:val="15"/>
          <w:color w:val="110E13"/>
        </w:rPr>
        <w:t xml:space="preserve"> estimates or budgets delivered or made available to the Purchaser (or any of its Affiliates</w:t>
      </w:r>
      <w:r>
        <w:rPr>
          <w:rFonts w:ascii="Arial" w:cs="Arial" w:eastAsia="Arial" w:hAnsi="Arial"/>
          <w:sz w:val="15"/>
          <w:szCs w:val="15"/>
          <w:color w:val="2B2A2D"/>
        </w:rPr>
        <w:t>,</w:t>
      </w:r>
      <w:r>
        <w:rPr>
          <w:rFonts w:ascii="Arial" w:cs="Arial" w:eastAsia="Arial" w:hAnsi="Arial"/>
          <w:sz w:val="15"/>
          <w:szCs w:val="15"/>
          <w:color w:val="110E13"/>
        </w:rPr>
        <w:t xml:space="preserve"> officers</w:t>
      </w:r>
      <w:r>
        <w:rPr>
          <w:rFonts w:ascii="Arial" w:cs="Arial" w:eastAsia="Arial" w:hAnsi="Arial"/>
          <w:sz w:val="15"/>
          <w:szCs w:val="15"/>
          <w:color w:val="2B2A2D"/>
        </w:rPr>
        <w:t>,</w:t>
      </w:r>
      <w:r>
        <w:rPr>
          <w:rFonts w:ascii="Arial" w:cs="Arial" w:eastAsia="Arial" w:hAnsi="Arial"/>
          <w:sz w:val="15"/>
          <w:szCs w:val="15"/>
          <w:color w:val="110E13"/>
        </w:rPr>
        <w:t xml:space="preserve"> directors</w:t>
      </w:r>
      <w:r>
        <w:rPr>
          <w:rFonts w:ascii="Arial" w:cs="Arial" w:eastAsia="Arial" w:hAnsi="Arial"/>
          <w:sz w:val="15"/>
          <w:szCs w:val="15"/>
          <w:color w:val="2B2A2D"/>
        </w:rPr>
        <w:t>,</w:t>
      </w:r>
      <w:r>
        <w:rPr>
          <w:rFonts w:ascii="Arial" w:cs="Arial" w:eastAsia="Arial" w:hAnsi="Arial"/>
          <w:sz w:val="15"/>
          <w:szCs w:val="15"/>
          <w:color w:val="110E13"/>
        </w:rPr>
        <w:t xml:space="preserve"> employees or other representatives) of future revenues</w:t>
      </w:r>
      <w:r>
        <w:rPr>
          <w:rFonts w:ascii="Arial" w:cs="Arial" w:eastAsia="Arial" w:hAnsi="Arial"/>
          <w:sz w:val="15"/>
          <w:szCs w:val="15"/>
          <w:color w:val="2B2A2D"/>
        </w:rPr>
        <w:t>,</w:t>
      </w:r>
      <w:r>
        <w:rPr>
          <w:rFonts w:ascii="Arial" w:cs="Arial" w:eastAsia="Arial" w:hAnsi="Arial"/>
          <w:sz w:val="15"/>
          <w:szCs w:val="15"/>
          <w:color w:val="110E13"/>
        </w:rPr>
        <w:t xml:space="preserve"> results of operations (or any component thereof)</w:t>
      </w:r>
      <w:r>
        <w:rPr>
          <w:rFonts w:ascii="Arial" w:cs="Arial" w:eastAsia="Arial" w:hAnsi="Arial"/>
          <w:sz w:val="15"/>
          <w:szCs w:val="15"/>
          <w:color w:val="2B2A2D"/>
        </w:rPr>
        <w:t>,</w:t>
      </w:r>
      <w:r>
        <w:rPr>
          <w:rFonts w:ascii="Arial" w:cs="Arial" w:eastAsia="Arial" w:hAnsi="Arial"/>
          <w:sz w:val="15"/>
          <w:szCs w:val="15"/>
          <w:color w:val="110E13"/>
        </w:rPr>
        <w:t xml:space="preserve"> cash flows or financial condition (or any component thereof) of the Company and its Subsidiaries or the future business and operations of the Company and its Subsidiaries</w:t>
      </w:r>
      <w:r>
        <w:rPr>
          <w:rFonts w:ascii="Arial" w:cs="Arial" w:eastAsia="Arial" w:hAnsi="Arial"/>
          <w:sz w:val="15"/>
          <w:szCs w:val="15"/>
          <w:color w:val="2B2A2D"/>
        </w:rPr>
        <w:t>,</w:t>
      </w:r>
      <w:r>
        <w:rPr>
          <w:rFonts w:ascii="Arial" w:cs="Arial" w:eastAsia="Arial" w:hAnsi="Arial"/>
          <w:sz w:val="15"/>
          <w:szCs w:val="15"/>
          <w:color w:val="110E13"/>
        </w:rPr>
        <w:t xml:space="preserve"> and the Purchaser has not relied on or been induced by such information or any other representations or warranties (whether express or implied or made orally or in writing) not expressly set forth in </w:t>
      </w:r>
      <w:r>
        <w:rPr>
          <w:rFonts w:ascii="Arial" w:cs="Arial" w:eastAsia="Arial" w:hAnsi="Arial"/>
          <w:sz w:val="15"/>
          <w:szCs w:val="15"/>
          <w:color w:val="000000"/>
        </w:rPr>
        <w:t>Section 3.01</w:t>
      </w:r>
      <w:r>
        <w:rPr>
          <w:rFonts w:ascii="Arial" w:cs="Arial" w:eastAsia="Arial" w:hAnsi="Arial"/>
          <w:sz w:val="15"/>
          <w:szCs w:val="15"/>
          <w:color w:val="110E13"/>
        </w:rPr>
        <w:t xml:space="preserve"> </w:t>
      </w:r>
      <w:r>
        <w:rPr>
          <w:rFonts w:ascii="Arial" w:cs="Arial" w:eastAsia="Arial" w:hAnsi="Arial"/>
          <w:sz w:val="15"/>
          <w:szCs w:val="15"/>
          <w:color w:val="110F13"/>
        </w:rPr>
        <w:t>and in any certificate delivered by the Company pursuant to this Agreement.</w:t>
      </w:r>
    </w:p>
    <w:p>
      <w:pPr>
        <w:spacing w:after="0" w:line="138" w:lineRule="exact"/>
        <w:rPr>
          <w:rFonts w:ascii="Arial" w:cs="Arial" w:eastAsia="Arial" w:hAnsi="Arial"/>
          <w:sz w:val="15"/>
          <w:szCs w:val="15"/>
          <w:color w:val="auto"/>
        </w:rPr>
      </w:pPr>
    </w:p>
    <w:p>
      <w:pPr>
        <w:ind w:left="520" w:firstLine="504"/>
        <w:spacing w:after="0" w:line="250" w:lineRule="auto"/>
        <w:tabs>
          <w:tab w:leader="none" w:pos="1538" w:val="left"/>
        </w:tabs>
        <w:numPr>
          <w:ilvl w:val="1"/>
          <w:numId w:val="104"/>
        </w:numPr>
        <w:rPr>
          <w:rFonts w:ascii="Arial" w:cs="Arial" w:eastAsia="Arial" w:hAnsi="Arial"/>
          <w:sz w:val="17"/>
          <w:szCs w:val="17"/>
          <w:color w:val="auto"/>
        </w:rPr>
      </w:pPr>
      <w:r>
        <w:rPr>
          <w:rFonts w:ascii="Arial" w:cs="Arial" w:eastAsia="Arial" w:hAnsi="Arial"/>
          <w:sz w:val="17"/>
          <w:szCs w:val="17"/>
          <w:color w:val="110E13"/>
        </w:rPr>
        <w:t>The Purchaser has conducted its own independent review and analysis of the business</w:t>
      </w:r>
      <w:r>
        <w:rPr>
          <w:rFonts w:ascii="Arial" w:cs="Arial" w:eastAsia="Arial" w:hAnsi="Arial"/>
          <w:sz w:val="17"/>
          <w:szCs w:val="17"/>
          <w:color w:val="2B2A2D"/>
        </w:rPr>
        <w:t>,</w:t>
      </w:r>
      <w:r>
        <w:rPr>
          <w:rFonts w:ascii="Arial" w:cs="Arial" w:eastAsia="Arial" w:hAnsi="Arial"/>
          <w:sz w:val="17"/>
          <w:szCs w:val="17"/>
          <w:color w:val="110E13"/>
        </w:rPr>
        <w:t xml:space="preserve"> operations</w:t>
      </w:r>
      <w:r>
        <w:rPr>
          <w:rFonts w:ascii="Arial" w:cs="Arial" w:eastAsia="Arial" w:hAnsi="Arial"/>
          <w:sz w:val="17"/>
          <w:szCs w:val="17"/>
          <w:color w:val="2B2A2D"/>
        </w:rPr>
        <w:t>,</w:t>
      </w:r>
      <w:r>
        <w:rPr>
          <w:rFonts w:ascii="Arial" w:cs="Arial" w:eastAsia="Arial" w:hAnsi="Arial"/>
          <w:sz w:val="17"/>
          <w:szCs w:val="17"/>
          <w:color w:val="110E13"/>
        </w:rPr>
        <w:t xml:space="preserve"> assets</w:t>
      </w:r>
      <w:r>
        <w:rPr>
          <w:rFonts w:ascii="Arial" w:cs="Arial" w:eastAsia="Arial" w:hAnsi="Arial"/>
          <w:sz w:val="17"/>
          <w:szCs w:val="17"/>
          <w:color w:val="2B2A2D"/>
        </w:rPr>
        <w:t>,</w:t>
      </w:r>
      <w:r>
        <w:rPr>
          <w:rFonts w:ascii="Arial" w:cs="Arial" w:eastAsia="Arial" w:hAnsi="Arial"/>
          <w:sz w:val="17"/>
          <w:szCs w:val="17"/>
          <w:color w:val="110E13"/>
        </w:rPr>
        <w:t xml:space="preserve"> liabilities</w:t>
      </w:r>
      <w:r>
        <w:rPr>
          <w:rFonts w:ascii="Arial" w:cs="Arial" w:eastAsia="Arial" w:hAnsi="Arial"/>
          <w:sz w:val="17"/>
          <w:szCs w:val="17"/>
          <w:color w:val="2B2A2D"/>
        </w:rPr>
        <w:t>,</w:t>
      </w:r>
      <w:r>
        <w:rPr>
          <w:rFonts w:ascii="Arial" w:cs="Arial" w:eastAsia="Arial" w:hAnsi="Arial"/>
          <w:sz w:val="17"/>
          <w:szCs w:val="17"/>
          <w:color w:val="110E13"/>
        </w:rPr>
        <w:t xml:space="preserve"> results of operations</w:t>
      </w:r>
      <w:r>
        <w:rPr>
          <w:rFonts w:ascii="Arial" w:cs="Arial" w:eastAsia="Arial" w:hAnsi="Arial"/>
          <w:sz w:val="17"/>
          <w:szCs w:val="17"/>
          <w:color w:val="2B2A2D"/>
        </w:rPr>
        <w:t>,</w:t>
      </w:r>
      <w:r>
        <w:rPr>
          <w:rFonts w:ascii="Arial" w:cs="Arial" w:eastAsia="Arial" w:hAnsi="Arial"/>
          <w:sz w:val="17"/>
          <w:szCs w:val="17"/>
          <w:color w:val="110E13"/>
        </w:rPr>
        <w:t xml:space="preserve"> financial condition and prospects of the Company and its Subsidiaries and acknowledges the Purchaser has been provided with sufficient access for such purposes. The Purchaser acknowledges and agrees that</w:t>
      </w:r>
      <w:r>
        <w:rPr>
          <w:rFonts w:ascii="Arial" w:cs="Arial" w:eastAsia="Arial" w:hAnsi="Arial"/>
          <w:sz w:val="17"/>
          <w:szCs w:val="17"/>
          <w:color w:val="2B2A2D"/>
        </w:rPr>
        <w:t>,</w:t>
      </w:r>
      <w:r>
        <w:rPr>
          <w:rFonts w:ascii="Arial" w:cs="Arial" w:eastAsia="Arial" w:hAnsi="Arial"/>
          <w:sz w:val="17"/>
          <w:szCs w:val="17"/>
          <w:color w:val="110E13"/>
        </w:rPr>
        <w:t xml:space="preserve"> except for the representations and warranties expressly set forth in </w:t>
      </w:r>
      <w:r>
        <w:rPr>
          <w:rFonts w:ascii="Arial" w:cs="Arial" w:eastAsia="Arial" w:hAnsi="Arial"/>
          <w:sz w:val="17"/>
          <w:szCs w:val="17"/>
          <w:color w:val="000000"/>
        </w:rPr>
        <w:t>Section 3.01</w:t>
      </w:r>
      <w:r>
        <w:rPr>
          <w:rFonts w:ascii="Arial" w:cs="Arial" w:eastAsia="Arial" w:hAnsi="Arial"/>
          <w:sz w:val="17"/>
          <w:szCs w:val="17"/>
          <w:color w:val="110E13"/>
        </w:rPr>
        <w:t xml:space="preserve"> and in any </w:t>
      </w:r>
      <w:r>
        <w:rPr>
          <w:rFonts w:ascii="Arial" w:cs="Arial" w:eastAsia="Arial" w:hAnsi="Arial"/>
          <w:sz w:val="17"/>
          <w:szCs w:val="17"/>
          <w:color w:val="110F13"/>
        </w:rPr>
        <w:t xml:space="preserve">certificate </w:t>
      </w:r>
      <w:r>
        <w:rPr>
          <w:rFonts w:ascii="Arial" w:cs="Arial" w:eastAsia="Arial" w:hAnsi="Arial"/>
          <w:sz w:val="17"/>
          <w:szCs w:val="17"/>
          <w:color w:val="110E13"/>
        </w:rPr>
        <w:t>delivered</w:t>
      </w:r>
      <w:r>
        <w:rPr>
          <w:rFonts w:ascii="Arial" w:cs="Arial" w:eastAsia="Arial" w:hAnsi="Arial"/>
          <w:sz w:val="17"/>
          <w:szCs w:val="17"/>
          <w:color w:val="110F13"/>
        </w:rPr>
        <w:t xml:space="preserve"> by the Company pursuant to this Agreement</w:t>
      </w:r>
      <w:r>
        <w:rPr>
          <w:rFonts w:ascii="Arial" w:cs="Arial" w:eastAsia="Arial" w:hAnsi="Arial"/>
          <w:sz w:val="17"/>
          <w:szCs w:val="17"/>
          <w:color w:val="2A2A2B"/>
        </w:rPr>
        <w:t>,</w:t>
      </w:r>
      <w:r>
        <w:rPr>
          <w:rFonts w:ascii="Arial" w:cs="Arial" w:eastAsia="Arial" w:hAnsi="Arial"/>
          <w:sz w:val="17"/>
          <w:szCs w:val="17"/>
          <w:color w:val="110F13"/>
        </w:rPr>
        <w:t xml:space="preserve"> no person has been authorized by the Company to make any representation or warranty relating to itself or its business or otherwise in connection with the transactions contemplated hereby</w:t>
      </w:r>
      <w:r>
        <w:rPr>
          <w:rFonts w:ascii="Arial" w:cs="Arial" w:eastAsia="Arial" w:hAnsi="Arial"/>
          <w:sz w:val="17"/>
          <w:szCs w:val="17"/>
          <w:color w:val="2A2A2B"/>
        </w:rPr>
        <w:t>,</w:t>
      </w:r>
      <w:r>
        <w:rPr>
          <w:rFonts w:ascii="Arial" w:cs="Arial" w:eastAsia="Arial" w:hAnsi="Arial"/>
          <w:sz w:val="17"/>
          <w:szCs w:val="17"/>
          <w:color w:val="110F13"/>
        </w:rPr>
        <w:t xml:space="preserve"> and if made</w:t>
      </w:r>
      <w:r>
        <w:rPr>
          <w:rFonts w:ascii="Arial" w:cs="Arial" w:eastAsia="Arial" w:hAnsi="Arial"/>
          <w:sz w:val="17"/>
          <w:szCs w:val="17"/>
          <w:color w:val="2A2A2B"/>
        </w:rPr>
        <w:t>,</w:t>
      </w:r>
      <w:r>
        <w:rPr>
          <w:rFonts w:ascii="Arial" w:cs="Arial" w:eastAsia="Arial" w:hAnsi="Arial"/>
          <w:sz w:val="17"/>
          <w:szCs w:val="17"/>
          <w:color w:val="110F13"/>
        </w:rPr>
        <w:t xml:space="preserve"> such representation or warranty must not be relied upon by the Purchaser as having been authorized by the Company</w:t>
      </w:r>
      <w:r>
        <w:rPr>
          <w:rFonts w:ascii="Arial" w:cs="Arial" w:eastAsia="Arial" w:hAnsi="Arial"/>
          <w:sz w:val="17"/>
          <w:szCs w:val="17"/>
          <w:color w:val="2A2A2B"/>
        </w:rPr>
        <w:t>,</w:t>
      </w:r>
      <w:r>
        <w:rPr>
          <w:rFonts w:ascii="Arial" w:cs="Arial" w:eastAsia="Arial" w:hAnsi="Arial"/>
          <w:sz w:val="17"/>
          <w:szCs w:val="17"/>
          <w:color w:val="110F13"/>
        </w:rPr>
        <w:t xml:space="preserve"> and any estimates</w:t>
      </w:r>
      <w:r>
        <w:rPr>
          <w:rFonts w:ascii="Arial" w:cs="Arial" w:eastAsia="Arial" w:hAnsi="Arial"/>
          <w:sz w:val="17"/>
          <w:szCs w:val="17"/>
          <w:color w:val="2A2A2B"/>
        </w:rPr>
        <w:t>,</w:t>
      </w:r>
      <w:r>
        <w:rPr>
          <w:rFonts w:ascii="Arial" w:cs="Arial" w:eastAsia="Arial" w:hAnsi="Arial"/>
          <w:sz w:val="17"/>
          <w:szCs w:val="17"/>
          <w:color w:val="110F13"/>
        </w:rPr>
        <w:t xml:space="preserve"> projections</w:t>
      </w:r>
      <w:r>
        <w:rPr>
          <w:rFonts w:ascii="Arial" w:cs="Arial" w:eastAsia="Arial" w:hAnsi="Arial"/>
          <w:sz w:val="17"/>
          <w:szCs w:val="17"/>
          <w:color w:val="2A2A2B"/>
        </w:rPr>
        <w:t>,</w:t>
      </w:r>
      <w:r>
        <w:rPr>
          <w:rFonts w:ascii="Arial" w:cs="Arial" w:eastAsia="Arial" w:hAnsi="Arial"/>
          <w:sz w:val="17"/>
          <w:szCs w:val="17"/>
          <w:color w:val="110F13"/>
        </w:rPr>
        <w:t xml:space="preserve"> predictions</w:t>
      </w:r>
      <w:r>
        <w:rPr>
          <w:rFonts w:ascii="Arial" w:cs="Arial" w:eastAsia="Arial" w:hAnsi="Arial"/>
          <w:sz w:val="17"/>
          <w:szCs w:val="17"/>
          <w:color w:val="2A2A2B"/>
        </w:rPr>
        <w:t>,</w:t>
      </w:r>
      <w:r>
        <w:rPr>
          <w:rFonts w:ascii="Arial" w:cs="Arial" w:eastAsia="Arial" w:hAnsi="Arial"/>
          <w:sz w:val="17"/>
          <w:szCs w:val="17"/>
          <w:color w:val="110F13"/>
        </w:rPr>
        <w:t xml:space="preserve"> data</w:t>
      </w:r>
      <w:r>
        <w:rPr>
          <w:rFonts w:ascii="Arial" w:cs="Arial" w:eastAsia="Arial" w:hAnsi="Arial"/>
          <w:sz w:val="17"/>
          <w:szCs w:val="17"/>
          <w:color w:val="2A2A2B"/>
        </w:rPr>
        <w:t>,</w:t>
      </w:r>
      <w:r>
        <w:rPr>
          <w:rFonts w:ascii="Arial" w:cs="Arial" w:eastAsia="Arial" w:hAnsi="Arial"/>
          <w:sz w:val="17"/>
          <w:szCs w:val="17"/>
          <w:color w:val="110F13"/>
        </w:rPr>
        <w:t xml:space="preserve"> financial information</w:t>
      </w:r>
      <w:r>
        <w:rPr>
          <w:rFonts w:ascii="Arial" w:cs="Arial" w:eastAsia="Arial" w:hAnsi="Arial"/>
          <w:sz w:val="17"/>
          <w:szCs w:val="17"/>
          <w:color w:val="2A2A2B"/>
        </w:rPr>
        <w:t>,</w:t>
      </w:r>
      <w:r>
        <w:rPr>
          <w:rFonts w:ascii="Arial" w:cs="Arial" w:eastAsia="Arial" w:hAnsi="Arial"/>
          <w:sz w:val="17"/>
          <w:szCs w:val="17"/>
          <w:color w:val="110F13"/>
        </w:rPr>
        <w:t xml:space="preserve"> memoranda</w:t>
      </w:r>
      <w:r>
        <w:rPr>
          <w:rFonts w:ascii="Arial" w:cs="Arial" w:eastAsia="Arial" w:hAnsi="Arial"/>
          <w:sz w:val="17"/>
          <w:szCs w:val="17"/>
          <w:color w:val="2A2A2B"/>
        </w:rPr>
        <w:t>,</w:t>
      </w:r>
      <w:r>
        <w:rPr>
          <w:rFonts w:ascii="Arial" w:cs="Arial" w:eastAsia="Arial" w:hAnsi="Arial"/>
          <w:sz w:val="17"/>
          <w:szCs w:val="17"/>
          <w:color w:val="110F13"/>
        </w:rPr>
        <w:t xml:space="preserve"> presentations or any other materials or information provided or addressed to the Purchaser or any of its Affiliates or representatives are not and shall not be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100"/>
          </w:cols>
          <w:pgMar w:left="300" w:top="1152" w:right="499" w:bottom="1440" w:gutter="0" w:footer="0" w:header="0"/>
        </w:sectPr>
      </w:pPr>
    </w:p>
    <w:bookmarkStart w:id="151" w:name="page152"/>
    <w:bookmarkEnd w:id="151"/>
    <w:p>
      <w:pPr>
        <w:ind w:left="520" w:right="800"/>
        <w:spacing w:after="0" w:line="340" w:lineRule="auto"/>
        <w:rPr>
          <w:sz w:val="20"/>
          <w:szCs w:val="20"/>
          <w:color w:val="auto"/>
        </w:rPr>
      </w:pPr>
      <w:r>
        <w:rPr>
          <w:rFonts w:ascii="Arial" w:cs="Arial" w:eastAsia="Arial" w:hAnsi="Arial"/>
          <w:sz w:val="15"/>
          <w:szCs w:val="15"/>
          <w:color w:val="110F13"/>
        </w:rPr>
        <w:t xml:space="preserve">deemed to be or include representations or warranties of the Company unless any such materials or information are the subject of any express representation or warranty set forth in </w:t>
      </w:r>
      <w:r>
        <w:rPr>
          <w:rFonts w:ascii="Arial" w:cs="Arial" w:eastAsia="Arial" w:hAnsi="Arial"/>
          <w:sz w:val="15"/>
          <w:szCs w:val="15"/>
          <w:color w:val="000000"/>
        </w:rPr>
        <w:t>Section 3.01</w:t>
      </w:r>
      <w:r>
        <w:rPr>
          <w:rFonts w:ascii="Arial" w:cs="Arial" w:eastAsia="Arial" w:hAnsi="Arial"/>
          <w:sz w:val="15"/>
          <w:szCs w:val="15"/>
          <w:color w:val="110F13"/>
        </w:rPr>
        <w:t xml:space="preserve"> of this Agreement and in any certificate delivered by the Company pursuant to this Agreement.</w:t>
      </w:r>
    </w:p>
    <w:p>
      <w:pPr>
        <w:spacing w:after="0" w:line="95" w:lineRule="exact"/>
        <w:rPr>
          <w:sz w:val="20"/>
          <w:szCs w:val="20"/>
          <w:color w:val="auto"/>
        </w:rPr>
      </w:pPr>
    </w:p>
    <w:p>
      <w:pPr>
        <w:ind w:left="520" w:right="360" w:firstLine="504"/>
        <w:spacing w:after="0" w:line="271" w:lineRule="auto"/>
        <w:tabs>
          <w:tab w:leader="none" w:pos="1532" w:val="left"/>
        </w:tabs>
        <w:numPr>
          <w:ilvl w:val="0"/>
          <w:numId w:val="105"/>
        </w:numPr>
        <w:rPr>
          <w:rFonts w:ascii="Arial" w:cs="Arial" w:eastAsia="Arial" w:hAnsi="Arial"/>
          <w:sz w:val="17"/>
          <w:szCs w:val="17"/>
          <w:color w:val="auto"/>
        </w:rPr>
      </w:pPr>
      <w:r>
        <w:rPr>
          <w:rFonts w:ascii="Arial" w:cs="Arial" w:eastAsia="Arial" w:hAnsi="Arial"/>
          <w:sz w:val="17"/>
          <w:szCs w:val="17"/>
          <w:color w:val="110E13"/>
        </w:rPr>
        <w:t>Notwithstanding the foregoing</w:t>
      </w:r>
      <w:r>
        <w:rPr>
          <w:rFonts w:ascii="Arial" w:cs="Arial" w:eastAsia="Arial" w:hAnsi="Arial"/>
          <w:sz w:val="17"/>
          <w:szCs w:val="17"/>
          <w:color w:val="2A2A2B"/>
        </w:rPr>
        <w:t>,</w:t>
      </w:r>
      <w:r>
        <w:rPr>
          <w:rFonts w:ascii="Arial" w:cs="Arial" w:eastAsia="Arial" w:hAnsi="Arial"/>
          <w:sz w:val="17"/>
          <w:szCs w:val="17"/>
          <w:color w:val="110E13"/>
        </w:rPr>
        <w:t xml:space="preserve"> nothing in this </w:t>
      </w:r>
      <w:r>
        <w:rPr>
          <w:rFonts w:ascii="Arial" w:cs="Arial" w:eastAsia="Arial" w:hAnsi="Arial"/>
          <w:sz w:val="17"/>
          <w:szCs w:val="17"/>
          <w:color w:val="000000"/>
        </w:rPr>
        <w:t>Section 3.02(h)</w:t>
      </w:r>
      <w:r>
        <w:rPr>
          <w:rFonts w:ascii="Arial" w:cs="Arial" w:eastAsia="Arial" w:hAnsi="Arial"/>
          <w:sz w:val="17"/>
          <w:szCs w:val="17"/>
          <w:color w:val="110E13"/>
        </w:rPr>
        <w:t xml:space="preserve"> shall be deemed to limit the Purchaser’s or its Affiliates’ rights or remedies with respect to fraud.</w:t>
      </w:r>
    </w:p>
    <w:p>
      <w:pPr>
        <w:spacing w:after="0" w:line="142" w:lineRule="exact"/>
        <w:rPr>
          <w:sz w:val="20"/>
          <w:szCs w:val="20"/>
          <w:color w:val="auto"/>
        </w:rPr>
      </w:pPr>
    </w:p>
    <w:p>
      <w:pPr>
        <w:ind w:left="4340"/>
        <w:spacing w:after="0"/>
        <w:tabs>
          <w:tab w:leader="none" w:pos="5340" w:val="left"/>
        </w:tabs>
        <w:rPr>
          <w:sz w:val="20"/>
          <w:szCs w:val="20"/>
          <w:color w:val="auto"/>
        </w:rPr>
      </w:pPr>
      <w:r>
        <w:rPr>
          <w:rFonts w:ascii="Arial" w:cs="Arial" w:eastAsia="Arial" w:hAnsi="Arial"/>
          <w:sz w:val="17"/>
          <w:szCs w:val="17"/>
          <w:color w:val="auto"/>
        </w:rPr>
        <w:t>Article 4.</w:t>
      </w:r>
      <w:r>
        <w:rPr>
          <w:sz w:val="20"/>
          <w:szCs w:val="20"/>
          <w:color w:val="auto"/>
        </w:rPr>
        <w:tab/>
      </w:r>
      <w:r>
        <w:rPr>
          <w:rFonts w:ascii="Arial" w:cs="Arial" w:eastAsia="Arial" w:hAnsi="Arial"/>
          <w:sz w:val="15"/>
          <w:szCs w:val="15"/>
          <w:color w:val="110F13"/>
        </w:rPr>
        <w:t>Additional Agreements</w:t>
      </w:r>
    </w:p>
    <w:p>
      <w:pPr>
        <w:spacing w:after="0" w:line="186" w:lineRule="exact"/>
        <w:rPr>
          <w:sz w:val="20"/>
          <w:szCs w:val="20"/>
          <w:color w:val="auto"/>
        </w:rPr>
      </w:pPr>
    </w:p>
    <w:p>
      <w:pPr>
        <w:ind w:firstLine="509"/>
        <w:spacing w:after="0" w:line="295"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i w:val="1"/>
          <w:iCs w:val="1"/>
          <w:color w:val="auto"/>
        </w:rPr>
        <w:t>Taking of Necessary Action</w:t>
      </w:r>
      <w:r>
        <w:rPr>
          <w:rFonts w:ascii="Arial" w:cs="Arial" w:eastAsia="Arial" w:hAnsi="Arial"/>
          <w:sz w:val="15"/>
          <w:szCs w:val="15"/>
          <w:i w:val="1"/>
          <w:iCs w:val="1"/>
          <w:color w:val="2A2A2B"/>
        </w:rPr>
        <w:t>.</w:t>
      </w:r>
      <w:r>
        <w:rPr>
          <w:rFonts w:ascii="Arial" w:cs="Arial" w:eastAsia="Arial" w:hAnsi="Arial"/>
          <w:sz w:val="15"/>
          <w:szCs w:val="15"/>
          <w:color w:val="auto"/>
        </w:rPr>
        <w:t xml:space="preserve"> Each of the parties hereto agrees to use its reasonable efforts promptly to take or cause to be taken all action</w:t>
      </w:r>
      <w:r>
        <w:rPr>
          <w:rFonts w:ascii="Arial" w:cs="Arial" w:eastAsia="Arial" w:hAnsi="Arial"/>
          <w:sz w:val="15"/>
          <w:szCs w:val="15"/>
          <w:color w:val="2A2A2B"/>
        </w:rPr>
        <w:t>,</w:t>
      </w:r>
      <w:r>
        <w:rPr>
          <w:rFonts w:ascii="Arial" w:cs="Arial" w:eastAsia="Arial" w:hAnsi="Arial"/>
          <w:sz w:val="15"/>
          <w:szCs w:val="15"/>
          <w:color w:val="auto"/>
        </w:rPr>
        <w:t xml:space="preserve"> and promptly to do or cause to be done all things necessary</w:t>
      </w:r>
      <w:r>
        <w:rPr>
          <w:rFonts w:ascii="Arial" w:cs="Arial" w:eastAsia="Arial" w:hAnsi="Arial"/>
          <w:sz w:val="15"/>
          <w:szCs w:val="15"/>
          <w:color w:val="2A2A2B"/>
        </w:rPr>
        <w:t>,</w:t>
      </w:r>
      <w:r>
        <w:rPr>
          <w:rFonts w:ascii="Arial" w:cs="Arial" w:eastAsia="Arial" w:hAnsi="Arial"/>
          <w:sz w:val="15"/>
          <w:szCs w:val="15"/>
          <w:color w:val="auto"/>
        </w:rPr>
        <w:t xml:space="preserve"> proper or advisable under applicable laws and regulations to consummate and make effective the sale and purchase of the Notes hereunder</w:t>
      </w:r>
      <w:r>
        <w:rPr>
          <w:rFonts w:ascii="Arial" w:cs="Arial" w:eastAsia="Arial" w:hAnsi="Arial"/>
          <w:sz w:val="15"/>
          <w:szCs w:val="15"/>
          <w:color w:val="2A2A2B"/>
        </w:rPr>
        <w:t>,</w:t>
      </w:r>
      <w:r>
        <w:rPr>
          <w:rFonts w:ascii="Arial" w:cs="Arial" w:eastAsia="Arial" w:hAnsi="Arial"/>
          <w:sz w:val="15"/>
          <w:szCs w:val="15"/>
          <w:color w:val="auto"/>
        </w:rPr>
        <w:t xml:space="preserve"> subject to the terms and conditions hereof and compliance with applicable law. In case at any time before or after the Closing any further action is necessary or desirable to carry out the purposes of the sale and purchase of the Notes</w:t>
      </w:r>
      <w:r>
        <w:rPr>
          <w:rFonts w:ascii="Arial" w:cs="Arial" w:eastAsia="Arial" w:hAnsi="Arial"/>
          <w:sz w:val="15"/>
          <w:szCs w:val="15"/>
          <w:color w:val="2A2A2B"/>
        </w:rPr>
        <w:t>,</w:t>
      </w:r>
      <w:r>
        <w:rPr>
          <w:rFonts w:ascii="Arial" w:cs="Arial" w:eastAsia="Arial" w:hAnsi="Arial"/>
          <w:sz w:val="15"/>
          <w:szCs w:val="15"/>
          <w:color w:val="auto"/>
        </w:rPr>
        <w:t xml:space="preserve"> the proper officers</w:t>
      </w:r>
      <w:r>
        <w:rPr>
          <w:rFonts w:ascii="Arial" w:cs="Arial" w:eastAsia="Arial" w:hAnsi="Arial"/>
          <w:sz w:val="15"/>
          <w:szCs w:val="15"/>
          <w:color w:val="2A2A2B"/>
        </w:rPr>
        <w:t>,</w:t>
      </w:r>
      <w:r>
        <w:rPr>
          <w:rFonts w:ascii="Arial" w:cs="Arial" w:eastAsia="Arial" w:hAnsi="Arial"/>
          <w:sz w:val="15"/>
          <w:szCs w:val="15"/>
          <w:color w:val="auto"/>
        </w:rPr>
        <w:t xml:space="preserve"> managers and directors of each party to this Agreement shall take all such necessary action as may be reasonably requested by</w:t>
      </w:r>
      <w:r>
        <w:rPr>
          <w:rFonts w:ascii="Arial" w:cs="Arial" w:eastAsia="Arial" w:hAnsi="Arial"/>
          <w:sz w:val="15"/>
          <w:szCs w:val="15"/>
          <w:color w:val="2A2A2B"/>
        </w:rPr>
        <w:t>,</w:t>
      </w:r>
      <w:r>
        <w:rPr>
          <w:rFonts w:ascii="Arial" w:cs="Arial" w:eastAsia="Arial" w:hAnsi="Arial"/>
          <w:sz w:val="15"/>
          <w:szCs w:val="15"/>
          <w:color w:val="auto"/>
        </w:rPr>
        <w:t xml:space="preserve"> and the sole expense of</w:t>
      </w:r>
      <w:r>
        <w:rPr>
          <w:rFonts w:ascii="Arial" w:cs="Arial" w:eastAsia="Arial" w:hAnsi="Arial"/>
          <w:sz w:val="15"/>
          <w:szCs w:val="15"/>
          <w:color w:val="2A2A2B"/>
        </w:rPr>
        <w:t>,</w:t>
      </w:r>
      <w:r>
        <w:rPr>
          <w:rFonts w:ascii="Arial" w:cs="Arial" w:eastAsia="Arial" w:hAnsi="Arial"/>
          <w:sz w:val="15"/>
          <w:szCs w:val="15"/>
          <w:color w:val="auto"/>
        </w:rPr>
        <w:t xml:space="preserve"> the requesting party.</w:t>
      </w:r>
    </w:p>
    <w:p>
      <w:pPr>
        <w:spacing w:after="0" w:line="118"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4.02.</w:t>
      </w:r>
      <w:r>
        <w:rPr>
          <w:sz w:val="20"/>
          <w:szCs w:val="20"/>
          <w:color w:val="auto"/>
        </w:rPr>
        <w:tab/>
      </w:r>
      <w:r>
        <w:rPr>
          <w:rFonts w:ascii="Arial" w:cs="Arial" w:eastAsia="Arial" w:hAnsi="Arial"/>
          <w:sz w:val="15"/>
          <w:szCs w:val="15"/>
          <w:i w:val="1"/>
          <w:iCs w:val="1"/>
          <w:color w:val="auto"/>
        </w:rPr>
        <w:t>Restrict</w:t>
      </w:r>
      <w:r>
        <w:rPr>
          <w:rFonts w:ascii="Arial" w:cs="Arial" w:eastAsia="Arial" w:hAnsi="Arial"/>
          <w:sz w:val="15"/>
          <w:szCs w:val="15"/>
          <w:i w:val="1"/>
          <w:iCs w:val="1"/>
          <w:color w:val="2A2A2B"/>
        </w:rPr>
        <w:t>e</w:t>
      </w:r>
      <w:r>
        <w:rPr>
          <w:rFonts w:ascii="Arial" w:cs="Arial" w:eastAsia="Arial" w:hAnsi="Arial"/>
          <w:sz w:val="15"/>
          <w:szCs w:val="15"/>
          <w:i w:val="1"/>
          <w:iCs w:val="1"/>
          <w:color w:val="auto"/>
        </w:rPr>
        <w:t>d Period</w:t>
      </w:r>
      <w:r>
        <w:rPr>
          <w:rFonts w:ascii="Arial" w:cs="Arial" w:eastAsia="Arial" w:hAnsi="Arial"/>
          <w:sz w:val="15"/>
          <w:szCs w:val="15"/>
          <w:i w:val="1"/>
          <w:iCs w:val="1"/>
          <w:color w:val="2A2A2B"/>
        </w:rPr>
        <w:t>.</w:t>
      </w:r>
    </w:p>
    <w:p>
      <w:pPr>
        <w:spacing w:after="0" w:line="176" w:lineRule="exact"/>
        <w:rPr>
          <w:sz w:val="20"/>
          <w:szCs w:val="20"/>
          <w:color w:val="auto"/>
        </w:rPr>
      </w:pPr>
    </w:p>
    <w:p>
      <w:pPr>
        <w:ind w:right="40" w:firstLine="514"/>
        <w:spacing w:after="0" w:line="266" w:lineRule="auto"/>
        <w:tabs>
          <w:tab w:leader="none" w:pos="100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During the Restricted Period</w:t>
      </w:r>
      <w:r>
        <w:rPr>
          <w:rFonts w:ascii="Arial" w:cs="Arial" w:eastAsia="Arial" w:hAnsi="Arial"/>
          <w:sz w:val="16"/>
          <w:szCs w:val="16"/>
          <w:color w:val="2A2A2B"/>
        </w:rPr>
        <w:t>,</w:t>
      </w:r>
      <w:r>
        <w:rPr>
          <w:rFonts w:ascii="Arial" w:cs="Arial" w:eastAsia="Arial" w:hAnsi="Arial"/>
          <w:sz w:val="16"/>
          <w:szCs w:val="16"/>
          <w:color w:val="auto"/>
        </w:rPr>
        <w:t xml:space="preserve"> the Purchaser shall not</w:t>
      </w:r>
      <w:r>
        <w:rPr>
          <w:rFonts w:ascii="Arial" w:cs="Arial" w:eastAsia="Arial" w:hAnsi="Arial"/>
          <w:sz w:val="16"/>
          <w:szCs w:val="16"/>
          <w:color w:val="2A2A2B"/>
        </w:rPr>
        <w:t>,</w:t>
      </w:r>
      <w:r>
        <w:rPr>
          <w:rFonts w:ascii="Arial" w:cs="Arial" w:eastAsia="Arial" w:hAnsi="Arial"/>
          <w:sz w:val="16"/>
          <w:szCs w:val="16"/>
          <w:color w:val="auto"/>
        </w:rPr>
        <w:t xml:space="preserve"> without the Company’s prior written consent</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(x) sell</w:t>
      </w:r>
      <w:r>
        <w:rPr>
          <w:rFonts w:ascii="Arial" w:cs="Arial" w:eastAsia="Arial" w:hAnsi="Arial"/>
          <w:sz w:val="16"/>
          <w:szCs w:val="16"/>
          <w:color w:val="3F3D42"/>
        </w:rPr>
        <w:t>,</w:t>
      </w:r>
      <w:r>
        <w:rPr>
          <w:rFonts w:ascii="Arial" w:cs="Arial" w:eastAsia="Arial" w:hAnsi="Arial"/>
          <w:sz w:val="16"/>
          <w:szCs w:val="16"/>
          <w:color w:val="auto"/>
        </w:rPr>
        <w:t xml:space="preserve"> offer</w:t>
      </w:r>
      <w:r>
        <w:rPr>
          <w:rFonts w:ascii="Arial" w:cs="Arial" w:eastAsia="Arial" w:hAnsi="Arial"/>
          <w:sz w:val="16"/>
          <w:szCs w:val="16"/>
          <w:color w:val="2A2A2B"/>
        </w:rPr>
        <w:t>,</w:t>
      </w:r>
      <w:r>
        <w:rPr>
          <w:rFonts w:ascii="Arial" w:cs="Arial" w:eastAsia="Arial" w:hAnsi="Arial"/>
          <w:sz w:val="16"/>
          <w:szCs w:val="16"/>
          <w:color w:val="auto"/>
        </w:rPr>
        <w:t xml:space="preserve"> transfer</w:t>
      </w:r>
      <w:r>
        <w:rPr>
          <w:rFonts w:ascii="Arial" w:cs="Arial" w:eastAsia="Arial" w:hAnsi="Arial"/>
          <w:sz w:val="16"/>
          <w:szCs w:val="16"/>
          <w:color w:val="2A2A2B"/>
        </w:rPr>
        <w:t>,</w:t>
      </w:r>
      <w:r>
        <w:rPr>
          <w:rFonts w:ascii="Arial" w:cs="Arial" w:eastAsia="Arial" w:hAnsi="Arial"/>
          <w:sz w:val="16"/>
          <w:szCs w:val="16"/>
          <w:color w:val="auto"/>
        </w:rPr>
        <w:t xml:space="preserve"> assign</w:t>
      </w:r>
      <w:r>
        <w:rPr>
          <w:rFonts w:ascii="Arial" w:cs="Arial" w:eastAsia="Arial" w:hAnsi="Arial"/>
          <w:sz w:val="16"/>
          <w:szCs w:val="16"/>
          <w:color w:val="2A2A2B"/>
        </w:rPr>
        <w:t>,</w:t>
      </w:r>
      <w:r>
        <w:rPr>
          <w:rFonts w:ascii="Arial" w:cs="Arial" w:eastAsia="Arial" w:hAnsi="Arial"/>
          <w:sz w:val="16"/>
          <w:szCs w:val="16"/>
          <w:color w:val="auto"/>
        </w:rPr>
        <w:t xml:space="preserve"> mortgage</w:t>
      </w:r>
      <w:r>
        <w:rPr>
          <w:rFonts w:ascii="Arial" w:cs="Arial" w:eastAsia="Arial" w:hAnsi="Arial"/>
          <w:sz w:val="16"/>
          <w:szCs w:val="16"/>
          <w:color w:val="2A2A2B"/>
        </w:rPr>
        <w:t>,</w:t>
      </w:r>
      <w:r>
        <w:rPr>
          <w:rFonts w:ascii="Arial" w:cs="Arial" w:eastAsia="Arial" w:hAnsi="Arial"/>
          <w:sz w:val="16"/>
          <w:szCs w:val="16"/>
          <w:color w:val="auto"/>
        </w:rPr>
        <w:t xml:space="preserve"> hypothecate</w:t>
      </w:r>
      <w:r>
        <w:rPr>
          <w:rFonts w:ascii="Arial" w:cs="Arial" w:eastAsia="Arial" w:hAnsi="Arial"/>
          <w:sz w:val="16"/>
          <w:szCs w:val="16"/>
          <w:color w:val="2A2A2B"/>
        </w:rPr>
        <w:t>,</w:t>
      </w:r>
      <w:r>
        <w:rPr>
          <w:rFonts w:ascii="Arial" w:cs="Arial" w:eastAsia="Arial" w:hAnsi="Arial"/>
          <w:sz w:val="16"/>
          <w:szCs w:val="16"/>
          <w:color w:val="auto"/>
        </w:rPr>
        <w:t xml:space="preserve"> gift</w:t>
      </w:r>
      <w:r>
        <w:rPr>
          <w:rFonts w:ascii="Arial" w:cs="Arial" w:eastAsia="Arial" w:hAnsi="Arial"/>
          <w:sz w:val="16"/>
          <w:szCs w:val="16"/>
          <w:color w:val="2A2A2B"/>
        </w:rPr>
        <w:t>,</w:t>
      </w:r>
      <w:r>
        <w:rPr>
          <w:rFonts w:ascii="Arial" w:cs="Arial" w:eastAsia="Arial" w:hAnsi="Arial"/>
          <w:sz w:val="16"/>
          <w:szCs w:val="16"/>
          <w:color w:val="auto"/>
        </w:rPr>
        <w:t xml:space="preserve"> pledge or dispose of</w:t>
      </w:r>
      <w:r>
        <w:rPr>
          <w:rFonts w:ascii="Arial" w:cs="Arial" w:eastAsia="Arial" w:hAnsi="Arial"/>
          <w:sz w:val="16"/>
          <w:szCs w:val="16"/>
          <w:color w:val="2A2A2B"/>
        </w:rPr>
        <w:t>,</w:t>
      </w:r>
      <w:r>
        <w:rPr>
          <w:rFonts w:ascii="Arial" w:cs="Arial" w:eastAsia="Arial" w:hAnsi="Arial"/>
          <w:sz w:val="16"/>
          <w:szCs w:val="16"/>
          <w:color w:val="auto"/>
        </w:rPr>
        <w:t xml:space="preserve"> enter into or agree to enter into any contract</w:t>
      </w:r>
      <w:r>
        <w:rPr>
          <w:rFonts w:ascii="Arial" w:cs="Arial" w:eastAsia="Arial" w:hAnsi="Arial"/>
          <w:sz w:val="16"/>
          <w:szCs w:val="16"/>
          <w:color w:val="2A2A2B"/>
        </w:rPr>
        <w:t>,</w:t>
      </w:r>
      <w:r>
        <w:rPr>
          <w:rFonts w:ascii="Arial" w:cs="Arial" w:eastAsia="Arial" w:hAnsi="Arial"/>
          <w:sz w:val="16"/>
          <w:szCs w:val="16"/>
          <w:color w:val="auto"/>
        </w:rPr>
        <w:t xml:space="preserve"> option or other arrangement or understanding with respect to the sale</w:t>
      </w:r>
      <w:r>
        <w:rPr>
          <w:rFonts w:ascii="Arial" w:cs="Arial" w:eastAsia="Arial" w:hAnsi="Arial"/>
          <w:sz w:val="16"/>
          <w:szCs w:val="16"/>
          <w:color w:val="2A2A2B"/>
        </w:rPr>
        <w:t>,</w:t>
      </w:r>
      <w:r>
        <w:rPr>
          <w:rFonts w:ascii="Arial" w:cs="Arial" w:eastAsia="Arial" w:hAnsi="Arial"/>
          <w:sz w:val="16"/>
          <w:szCs w:val="16"/>
          <w:color w:val="auto"/>
        </w:rPr>
        <w:t xml:space="preserve"> transfer</w:t>
      </w:r>
      <w:r>
        <w:rPr>
          <w:rFonts w:ascii="Arial" w:cs="Arial" w:eastAsia="Arial" w:hAnsi="Arial"/>
          <w:sz w:val="16"/>
          <w:szCs w:val="16"/>
          <w:color w:val="2A2A2B"/>
        </w:rPr>
        <w:t>,</w:t>
      </w:r>
      <w:r>
        <w:rPr>
          <w:rFonts w:ascii="Arial" w:cs="Arial" w:eastAsia="Arial" w:hAnsi="Arial"/>
          <w:sz w:val="16"/>
          <w:szCs w:val="16"/>
          <w:color w:val="auto"/>
        </w:rPr>
        <w:t xml:space="preserve"> pledge</w:t>
      </w:r>
      <w:r>
        <w:rPr>
          <w:rFonts w:ascii="Arial" w:cs="Arial" w:eastAsia="Arial" w:hAnsi="Arial"/>
          <w:sz w:val="16"/>
          <w:szCs w:val="16"/>
          <w:color w:val="2A2A2B"/>
        </w:rPr>
        <w:t>,</w:t>
      </w:r>
      <w:r>
        <w:rPr>
          <w:rFonts w:ascii="Arial" w:cs="Arial" w:eastAsia="Arial" w:hAnsi="Arial"/>
          <w:sz w:val="16"/>
          <w:szCs w:val="16"/>
          <w:color w:val="auto"/>
        </w:rPr>
        <w:t xml:space="preserve"> mortgage</w:t>
      </w:r>
      <w:r>
        <w:rPr>
          <w:rFonts w:ascii="Arial" w:cs="Arial" w:eastAsia="Arial" w:hAnsi="Arial"/>
          <w:sz w:val="16"/>
          <w:szCs w:val="16"/>
          <w:color w:val="2A2A2B"/>
        </w:rPr>
        <w:t>,</w:t>
      </w:r>
      <w:r>
        <w:rPr>
          <w:rFonts w:ascii="Arial" w:cs="Arial" w:eastAsia="Arial" w:hAnsi="Arial"/>
          <w:sz w:val="16"/>
          <w:szCs w:val="16"/>
          <w:color w:val="auto"/>
        </w:rPr>
        <w:t xml:space="preserve"> hypothecation, gift</w:t>
      </w:r>
      <w:r>
        <w:rPr>
          <w:rFonts w:ascii="Arial" w:cs="Arial" w:eastAsia="Arial" w:hAnsi="Arial"/>
          <w:sz w:val="16"/>
          <w:szCs w:val="16"/>
          <w:color w:val="2A2A2B"/>
        </w:rPr>
        <w:t>,</w:t>
      </w:r>
      <w:r>
        <w:rPr>
          <w:rFonts w:ascii="Arial" w:cs="Arial" w:eastAsia="Arial" w:hAnsi="Arial"/>
          <w:sz w:val="16"/>
          <w:szCs w:val="16"/>
          <w:color w:val="auto"/>
        </w:rPr>
        <w:t xml:space="preserve"> encumbrance</w:t>
      </w:r>
      <w:r>
        <w:rPr>
          <w:rFonts w:ascii="Arial" w:cs="Arial" w:eastAsia="Arial" w:hAnsi="Arial"/>
          <w:sz w:val="16"/>
          <w:szCs w:val="16"/>
          <w:color w:val="2A2A2B"/>
        </w:rPr>
        <w:t>,</w:t>
      </w:r>
      <w:r>
        <w:rPr>
          <w:rFonts w:ascii="Arial" w:cs="Arial" w:eastAsia="Arial" w:hAnsi="Arial"/>
          <w:sz w:val="16"/>
          <w:szCs w:val="16"/>
          <w:color w:val="auto"/>
        </w:rPr>
        <w:t xml:space="preserve"> assignment or similar disposition of (any of the foregoing</w:t>
      </w:r>
      <w:r>
        <w:rPr>
          <w:rFonts w:ascii="Arial" w:cs="Arial" w:eastAsia="Arial" w:hAnsi="Arial"/>
          <w:sz w:val="16"/>
          <w:szCs w:val="16"/>
          <w:color w:val="2A2A2B"/>
        </w:rPr>
        <w:t>,</w:t>
      </w:r>
      <w:r>
        <w:rPr>
          <w:rFonts w:ascii="Arial" w:cs="Arial" w:eastAsia="Arial" w:hAnsi="Arial"/>
          <w:sz w:val="16"/>
          <w:szCs w:val="16"/>
          <w:color w:val="auto"/>
        </w:rPr>
        <w:t xml:space="preserve"> a </w:t>
      </w:r>
      <w:r>
        <w:rPr>
          <w:rFonts w:ascii="Arial" w:cs="Arial" w:eastAsia="Arial" w:hAnsi="Arial"/>
          <w:sz w:val="16"/>
          <w:szCs w:val="16"/>
          <w:color w:val="2A2A2B"/>
        </w:rPr>
        <w:t>“</w:t>
      </w:r>
      <w:r>
        <w:rPr>
          <w:rFonts w:ascii="Arial" w:cs="Arial" w:eastAsia="Arial" w:hAnsi="Arial"/>
          <w:sz w:val="16"/>
          <w:szCs w:val="16"/>
          <w:b w:val="1"/>
          <w:bCs w:val="1"/>
          <w:color w:val="auto"/>
        </w:rPr>
        <w:t>transfer</w:t>
      </w:r>
      <w:r>
        <w:rPr>
          <w:rFonts w:ascii="Arial" w:cs="Arial" w:eastAsia="Arial" w:hAnsi="Arial"/>
          <w:sz w:val="16"/>
          <w:szCs w:val="16"/>
          <w:color w:val="auto"/>
        </w:rPr>
        <w:t>”)</w:t>
      </w:r>
      <w:r>
        <w:rPr>
          <w:rFonts w:ascii="Arial" w:cs="Arial" w:eastAsia="Arial" w:hAnsi="Arial"/>
          <w:sz w:val="16"/>
          <w:szCs w:val="16"/>
          <w:color w:val="2A2A2B"/>
        </w:rPr>
        <w:t>,</w:t>
      </w:r>
      <w:r>
        <w:rPr>
          <w:rFonts w:ascii="Arial" w:cs="Arial" w:eastAsia="Arial" w:hAnsi="Arial"/>
          <w:sz w:val="16"/>
          <w:szCs w:val="16"/>
          <w:color w:val="auto"/>
        </w:rPr>
        <w:t xml:space="preserve"> any of the Notes or any shares of Company Common Stock issuable or issued upon conversion of any of the Notes or enter into a transaction which would have the same effect or (y) enter into or engage in any hedge</w:t>
      </w:r>
      <w:r>
        <w:rPr>
          <w:rFonts w:ascii="Arial" w:cs="Arial" w:eastAsia="Arial" w:hAnsi="Arial"/>
          <w:sz w:val="16"/>
          <w:szCs w:val="16"/>
          <w:color w:val="2A2A2B"/>
        </w:rPr>
        <w:t>,</w:t>
      </w:r>
      <w:r>
        <w:rPr>
          <w:rFonts w:ascii="Arial" w:cs="Arial" w:eastAsia="Arial" w:hAnsi="Arial"/>
          <w:sz w:val="16"/>
          <w:szCs w:val="16"/>
          <w:color w:val="auto"/>
        </w:rPr>
        <w:t xml:space="preserve"> swap</w:t>
      </w:r>
      <w:r>
        <w:rPr>
          <w:rFonts w:ascii="Arial" w:cs="Arial" w:eastAsia="Arial" w:hAnsi="Arial"/>
          <w:sz w:val="16"/>
          <w:szCs w:val="16"/>
          <w:color w:val="2A2A2B"/>
        </w:rPr>
        <w:t>,</w:t>
      </w:r>
      <w:r>
        <w:rPr>
          <w:rFonts w:ascii="Arial" w:cs="Arial" w:eastAsia="Arial" w:hAnsi="Arial"/>
          <w:sz w:val="16"/>
          <w:szCs w:val="16"/>
          <w:color w:val="auto"/>
        </w:rPr>
        <w:t xml:space="preserve"> short sale, derivative transaction or other agreement or arrangement that transfers to any Third Party</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in whole or in part</w:t>
      </w:r>
      <w:r>
        <w:rPr>
          <w:rFonts w:ascii="Arial" w:cs="Arial" w:eastAsia="Arial" w:hAnsi="Arial"/>
          <w:sz w:val="16"/>
          <w:szCs w:val="16"/>
          <w:color w:val="2A2A2B"/>
        </w:rPr>
        <w:t>,</w:t>
      </w:r>
      <w:r>
        <w:rPr>
          <w:rFonts w:ascii="Arial" w:cs="Arial" w:eastAsia="Arial" w:hAnsi="Arial"/>
          <w:sz w:val="16"/>
          <w:szCs w:val="16"/>
          <w:color w:val="auto"/>
        </w:rPr>
        <w:t xml:space="preserve"> any ownership of</w:t>
      </w:r>
      <w:r>
        <w:rPr>
          <w:rFonts w:ascii="Arial" w:cs="Arial" w:eastAsia="Arial" w:hAnsi="Arial"/>
          <w:sz w:val="16"/>
          <w:szCs w:val="16"/>
          <w:color w:val="2A2A2B"/>
        </w:rPr>
        <w:t>,</w:t>
      </w:r>
      <w:r>
        <w:rPr>
          <w:rFonts w:ascii="Arial" w:cs="Arial" w:eastAsia="Arial" w:hAnsi="Arial"/>
          <w:sz w:val="16"/>
          <w:szCs w:val="16"/>
          <w:color w:val="auto"/>
        </w:rPr>
        <w:t xml:space="preserve"> or interests in</w:t>
      </w:r>
      <w:r>
        <w:rPr>
          <w:rFonts w:ascii="Arial" w:cs="Arial" w:eastAsia="Arial" w:hAnsi="Arial"/>
          <w:sz w:val="16"/>
          <w:szCs w:val="16"/>
          <w:color w:val="2A2A2B"/>
        </w:rPr>
        <w:t>,</w:t>
      </w:r>
      <w:r>
        <w:rPr>
          <w:rFonts w:ascii="Arial" w:cs="Arial" w:eastAsia="Arial" w:hAnsi="Arial"/>
          <w:sz w:val="16"/>
          <w:szCs w:val="16"/>
          <w:color w:val="auto"/>
        </w:rPr>
        <w:t xml:space="preserve"> the Notes or any shares of Company Common Stock</w:t>
      </w:r>
      <w:r>
        <w:rPr>
          <w:rFonts w:ascii="Arial" w:cs="Arial" w:eastAsia="Arial" w:hAnsi="Arial"/>
          <w:sz w:val="16"/>
          <w:szCs w:val="16"/>
          <w:color w:val="2A2A2B"/>
        </w:rPr>
        <w:t>,</w:t>
      </w:r>
      <w:r>
        <w:rPr>
          <w:rFonts w:ascii="Arial" w:cs="Arial" w:eastAsia="Arial" w:hAnsi="Arial"/>
          <w:sz w:val="16"/>
          <w:szCs w:val="16"/>
          <w:color w:val="auto"/>
        </w:rPr>
        <w:t xml:space="preserve"> whether any such aforementioned transaction is to be settled by delivery of shares of Company Common Stock or other securities</w:t>
      </w:r>
      <w:r>
        <w:rPr>
          <w:rFonts w:ascii="Arial" w:cs="Arial" w:eastAsia="Arial" w:hAnsi="Arial"/>
          <w:sz w:val="16"/>
          <w:szCs w:val="16"/>
          <w:color w:val="2A2A2B"/>
        </w:rPr>
        <w:t>,</w:t>
      </w:r>
      <w:r>
        <w:rPr>
          <w:rFonts w:ascii="Arial" w:cs="Arial" w:eastAsia="Arial" w:hAnsi="Arial"/>
          <w:sz w:val="16"/>
          <w:szCs w:val="16"/>
          <w:color w:val="auto"/>
        </w:rPr>
        <w:t xml:space="preserve"> in cash or otherwise (such actions in clauses (x) and (y)</w:t>
      </w:r>
      <w:r>
        <w:rPr>
          <w:rFonts w:ascii="Arial" w:cs="Arial" w:eastAsia="Arial" w:hAnsi="Arial"/>
          <w:sz w:val="16"/>
          <w:szCs w:val="16"/>
          <w:color w:val="2A2A2B"/>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Prohibited Transfers</w:t>
      </w:r>
      <w:r>
        <w:rPr>
          <w:rFonts w:ascii="Arial" w:cs="Arial" w:eastAsia="Arial" w:hAnsi="Arial"/>
          <w:sz w:val="16"/>
          <w:szCs w:val="16"/>
          <w:color w:val="auto"/>
        </w:rPr>
        <w:t>”)</w:t>
      </w:r>
      <w:r>
        <w:rPr>
          <w:rFonts w:ascii="Arial" w:cs="Arial" w:eastAsia="Arial" w:hAnsi="Arial"/>
          <w:sz w:val="16"/>
          <w:szCs w:val="16"/>
          <w:color w:val="2A2A2B"/>
        </w:rPr>
        <w:t>,</w:t>
      </w:r>
      <w:r>
        <w:rPr>
          <w:rFonts w:ascii="Arial" w:cs="Arial" w:eastAsia="Arial" w:hAnsi="Arial"/>
          <w:sz w:val="16"/>
          <w:szCs w:val="16"/>
          <w:color w:val="auto"/>
        </w:rPr>
        <w:t xml:space="preserve"> other than</w:t>
      </w:r>
      <w:r>
        <w:rPr>
          <w:rFonts w:ascii="Arial" w:cs="Arial" w:eastAsia="Arial" w:hAnsi="Arial"/>
          <w:sz w:val="16"/>
          <w:szCs w:val="16"/>
          <w:color w:val="2A2A2B"/>
        </w:rPr>
        <w:t>,</w:t>
      </w:r>
      <w:r>
        <w:rPr>
          <w:rFonts w:ascii="Arial" w:cs="Arial" w:eastAsia="Arial" w:hAnsi="Arial"/>
          <w:sz w:val="16"/>
          <w:szCs w:val="16"/>
          <w:color w:val="auto"/>
        </w:rPr>
        <w:t xml:space="preserve"> in the case of clause (x)</w:t>
      </w:r>
      <w:r>
        <w:rPr>
          <w:rFonts w:ascii="Arial" w:cs="Arial" w:eastAsia="Arial" w:hAnsi="Arial"/>
          <w:sz w:val="16"/>
          <w:szCs w:val="16"/>
          <w:color w:val="2A2A2B"/>
        </w:rPr>
        <w:t>,</w:t>
      </w:r>
      <w:r>
        <w:rPr>
          <w:rFonts w:ascii="Arial" w:cs="Arial" w:eastAsia="Arial" w:hAnsi="Arial"/>
          <w:sz w:val="16"/>
          <w:szCs w:val="16"/>
          <w:color w:val="auto"/>
        </w:rPr>
        <w:t xml:space="preserve"> Permitted Transfers. </w:t>
      </w:r>
      <w:r>
        <w:rPr>
          <w:rFonts w:ascii="Arial" w:cs="Arial" w:eastAsia="Arial" w:hAnsi="Arial"/>
          <w:sz w:val="16"/>
          <w:szCs w:val="16"/>
          <w:b w:val="1"/>
          <w:bCs w:val="1"/>
          <w:color w:val="110E13"/>
        </w:rPr>
        <w:t>“Permitted Transfers”</w:t>
      </w:r>
      <w:r>
        <w:rPr>
          <w:rFonts w:ascii="Arial" w:cs="Arial" w:eastAsia="Arial" w:hAnsi="Arial"/>
          <w:sz w:val="16"/>
          <w:szCs w:val="16"/>
          <w:color w:val="auto"/>
        </w:rPr>
        <w:t xml:space="preserve"> </w:t>
      </w:r>
      <w:r>
        <w:rPr>
          <w:rFonts w:ascii="Arial" w:cs="Arial" w:eastAsia="Arial" w:hAnsi="Arial"/>
          <w:sz w:val="16"/>
          <w:szCs w:val="16"/>
          <w:color w:val="110E13"/>
        </w:rPr>
        <w:t>shall mean any transfer to a Purchaser’s Affiliate that executes and delivers to the</w:t>
      </w:r>
      <w:r>
        <w:rPr>
          <w:rFonts w:ascii="Arial" w:cs="Arial" w:eastAsia="Arial" w:hAnsi="Arial"/>
          <w:sz w:val="16"/>
          <w:szCs w:val="16"/>
          <w:color w:val="auto"/>
        </w:rPr>
        <w:t xml:space="preserve"> </w:t>
      </w:r>
      <w:r>
        <w:rPr>
          <w:rFonts w:ascii="Arial" w:cs="Arial" w:eastAsia="Arial" w:hAnsi="Arial"/>
          <w:sz w:val="16"/>
          <w:szCs w:val="16"/>
          <w:color w:val="110E13"/>
        </w:rPr>
        <w:t>Company a Joinder becoming a Purchaser party to this Agreement and a duly completed and executed applicable IRS Form</w:t>
      </w:r>
      <w:r>
        <w:rPr>
          <w:rFonts w:ascii="Arial" w:cs="Arial" w:eastAsia="Arial" w:hAnsi="Arial"/>
          <w:sz w:val="16"/>
          <w:szCs w:val="16"/>
          <w:color w:val="3D3A3D"/>
        </w:rPr>
        <w:t>,</w:t>
      </w:r>
      <w:r>
        <w:rPr>
          <w:rFonts w:ascii="Arial" w:cs="Arial" w:eastAsia="Arial" w:hAnsi="Arial"/>
          <w:sz w:val="16"/>
          <w:szCs w:val="16"/>
          <w:color w:val="110E13"/>
        </w:rPr>
        <w:t xml:space="preserve"> transfer to the Company or any of its Subsidiaries (including for the avoidance of doubt</w:t>
      </w:r>
      <w:r>
        <w:rPr>
          <w:rFonts w:ascii="Arial" w:cs="Arial" w:eastAsia="Arial" w:hAnsi="Arial"/>
          <w:sz w:val="16"/>
          <w:szCs w:val="16"/>
          <w:color w:val="28282B"/>
        </w:rPr>
        <w:t>,</w:t>
      </w:r>
      <w:r>
        <w:rPr>
          <w:rFonts w:ascii="Arial" w:cs="Arial" w:eastAsia="Arial" w:hAnsi="Arial"/>
          <w:sz w:val="16"/>
          <w:szCs w:val="16"/>
          <w:color w:val="110E13"/>
        </w:rPr>
        <w:t xml:space="preserve"> any conversion of Notes into Company Common Stock)</w:t>
      </w:r>
      <w:r>
        <w:rPr>
          <w:rFonts w:ascii="Arial" w:cs="Arial" w:eastAsia="Arial" w:hAnsi="Arial"/>
          <w:sz w:val="16"/>
          <w:szCs w:val="16"/>
          <w:color w:val="28282B"/>
        </w:rPr>
        <w:t>,</w:t>
      </w:r>
      <w:r>
        <w:rPr>
          <w:rFonts w:ascii="Arial" w:cs="Arial" w:eastAsia="Arial" w:hAnsi="Arial"/>
          <w:sz w:val="16"/>
          <w:szCs w:val="16"/>
          <w:color w:val="110E13"/>
        </w:rPr>
        <w:t xml:space="preserve"> transfer with the prior written consent of the Company</w:t>
      </w:r>
      <w:r>
        <w:rPr>
          <w:rFonts w:ascii="Arial" w:cs="Arial" w:eastAsia="Arial" w:hAnsi="Arial"/>
          <w:sz w:val="16"/>
          <w:szCs w:val="16"/>
          <w:color w:val="28282B"/>
        </w:rPr>
        <w:t>,</w:t>
      </w:r>
      <w:r>
        <w:rPr>
          <w:rFonts w:ascii="Arial" w:cs="Arial" w:eastAsia="Arial" w:hAnsi="Arial"/>
          <w:sz w:val="16"/>
          <w:szCs w:val="16"/>
          <w:color w:val="110E13"/>
        </w:rPr>
        <w:t xml:space="preserve"> tender of any Company Common Stock into a Third Party Tender</w:t>
      </w:r>
      <w:r>
        <w:rPr>
          <w:rFonts w:ascii="Arial" w:cs="Arial" w:eastAsia="Arial" w:hAnsi="Arial"/>
          <w:sz w:val="16"/>
          <w:szCs w:val="16"/>
          <w:color w:val="3D3A3D"/>
        </w:rPr>
        <w:t>/</w:t>
      </w:r>
      <w:r>
        <w:rPr>
          <w:rFonts w:ascii="Arial" w:cs="Arial" w:eastAsia="Arial" w:hAnsi="Arial"/>
          <w:sz w:val="16"/>
          <w:szCs w:val="16"/>
          <w:color w:val="110E13"/>
        </w:rPr>
        <w:t>Exchange Offer</w:t>
      </w:r>
      <w:r>
        <w:rPr>
          <w:rFonts w:ascii="Arial" w:cs="Arial" w:eastAsia="Arial" w:hAnsi="Arial"/>
          <w:sz w:val="16"/>
          <w:szCs w:val="16"/>
          <w:color w:val="28282B"/>
        </w:rPr>
        <w:t>,</w:t>
      </w:r>
      <w:r>
        <w:rPr>
          <w:rFonts w:ascii="Arial" w:cs="Arial" w:eastAsia="Arial" w:hAnsi="Arial"/>
          <w:sz w:val="16"/>
          <w:szCs w:val="16"/>
          <w:color w:val="110E13"/>
        </w:rPr>
        <w:t xml:space="preserve"> as defined below (and any related conversion of Notes to the extent required to effect such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80"/>
          </w:cols>
          <w:pgMar w:left="300" w:top="1162" w:right="319" w:bottom="1440" w:gutter="0" w:footer="0" w:header="0"/>
        </w:sectPr>
      </w:pPr>
    </w:p>
    <w:bookmarkStart w:id="152" w:name="page153"/>
    <w:bookmarkEnd w:id="152"/>
    <w:p>
      <w:pPr>
        <w:spacing w:after="0" w:line="266" w:lineRule="auto"/>
        <w:rPr>
          <w:sz w:val="20"/>
          <w:szCs w:val="20"/>
          <w:color w:val="auto"/>
        </w:rPr>
      </w:pPr>
      <w:r>
        <w:rPr>
          <w:rFonts w:ascii="Arial" w:cs="Arial" w:eastAsia="Arial" w:hAnsi="Arial"/>
          <w:sz w:val="16"/>
          <w:szCs w:val="16"/>
          <w:color w:val="110E13"/>
        </w:rPr>
        <w:t>Third Party Tender/Exchange Offer)</w:t>
      </w:r>
      <w:r>
        <w:rPr>
          <w:rFonts w:ascii="Arial" w:cs="Arial" w:eastAsia="Arial" w:hAnsi="Arial"/>
          <w:sz w:val="16"/>
          <w:szCs w:val="16"/>
          <w:color w:val="28282B"/>
        </w:rPr>
        <w:t>,</w:t>
      </w:r>
      <w:r>
        <w:rPr>
          <w:rFonts w:ascii="Arial" w:cs="Arial" w:eastAsia="Arial" w:hAnsi="Arial"/>
          <w:sz w:val="16"/>
          <w:szCs w:val="16"/>
          <w:color w:val="110E13"/>
        </w:rPr>
        <w:t xml:space="preserve"> and any transfer effected pursuant to any merger</w:t>
      </w:r>
      <w:r>
        <w:rPr>
          <w:rFonts w:ascii="Arial" w:cs="Arial" w:eastAsia="Arial" w:hAnsi="Arial"/>
          <w:sz w:val="16"/>
          <w:szCs w:val="16"/>
          <w:color w:val="28282B"/>
        </w:rPr>
        <w:t>,</w:t>
      </w:r>
      <w:r>
        <w:rPr>
          <w:rFonts w:ascii="Arial" w:cs="Arial" w:eastAsia="Arial" w:hAnsi="Arial"/>
          <w:sz w:val="16"/>
          <w:szCs w:val="16"/>
          <w:color w:val="110E13"/>
        </w:rPr>
        <w:t xml:space="preserve"> consolidation or similar transaction consummated by the Company (for the avoidance of doubt</w:t>
      </w:r>
      <w:r>
        <w:rPr>
          <w:rFonts w:ascii="Arial" w:cs="Arial" w:eastAsia="Arial" w:hAnsi="Arial"/>
          <w:sz w:val="16"/>
          <w:szCs w:val="16"/>
          <w:color w:val="28282B"/>
        </w:rPr>
        <w:t>,</w:t>
      </w:r>
      <w:r>
        <w:rPr>
          <w:rFonts w:ascii="Arial" w:cs="Arial" w:eastAsia="Arial" w:hAnsi="Arial"/>
          <w:sz w:val="16"/>
          <w:szCs w:val="16"/>
          <w:color w:val="110E13"/>
        </w:rPr>
        <w:t xml:space="preserve"> if such Third Party Tender/Exchange Offer does not close for any reason</w:t>
      </w:r>
      <w:r>
        <w:rPr>
          <w:rFonts w:ascii="Arial" w:cs="Arial" w:eastAsia="Arial" w:hAnsi="Arial"/>
          <w:sz w:val="16"/>
          <w:szCs w:val="16"/>
          <w:color w:val="28282B"/>
        </w:rPr>
        <w:t>,</w:t>
      </w:r>
      <w:r>
        <w:rPr>
          <w:rFonts w:ascii="Arial" w:cs="Arial" w:eastAsia="Arial" w:hAnsi="Arial"/>
          <w:sz w:val="16"/>
          <w:szCs w:val="16"/>
          <w:color w:val="110E13"/>
        </w:rPr>
        <w:t xml:space="preserve"> the restrictions on transfer contained herein shall continue to apply to any Company Common Stock received pursuant to the conversion of any Notes that had previously been converted to participate in any such tender or exchange offer) or </w:t>
      </w:r>
      <w:r>
        <w:rPr>
          <w:rFonts w:ascii="Arial" w:cs="Arial" w:eastAsia="Arial" w:hAnsi="Arial"/>
          <w:sz w:val="16"/>
          <w:szCs w:val="16"/>
          <w:color w:val="000000"/>
        </w:rPr>
        <w:t>distribution in kind to the Purchaser’s or its Affiliates’ limited or other partners</w:t>
      </w:r>
      <w:r>
        <w:rPr>
          <w:rFonts w:ascii="Arial" w:cs="Arial" w:eastAsia="Arial" w:hAnsi="Arial"/>
          <w:sz w:val="16"/>
          <w:szCs w:val="16"/>
          <w:color w:val="28282B"/>
        </w:rPr>
        <w:t>,</w:t>
      </w:r>
      <w:r>
        <w:rPr>
          <w:rFonts w:ascii="Arial" w:cs="Arial" w:eastAsia="Arial" w:hAnsi="Arial"/>
          <w:sz w:val="16"/>
          <w:szCs w:val="16"/>
          <w:color w:val="110E13"/>
        </w:rPr>
        <w:t xml:space="preserve"> </w:t>
      </w:r>
      <w:r>
        <w:rPr>
          <w:rFonts w:ascii="Arial" w:cs="Arial" w:eastAsia="Arial" w:hAnsi="Arial"/>
          <w:sz w:val="16"/>
          <w:szCs w:val="16"/>
          <w:color w:val="000000"/>
        </w:rPr>
        <w:t>members or other equityholders in connection with the winding up or</w:t>
      </w:r>
      <w:r>
        <w:rPr>
          <w:rFonts w:ascii="Arial" w:cs="Arial" w:eastAsia="Arial" w:hAnsi="Arial"/>
          <w:sz w:val="16"/>
          <w:szCs w:val="16"/>
          <w:color w:val="110E13"/>
        </w:rPr>
        <w:t xml:space="preserve"> </w:t>
      </w:r>
      <w:r>
        <w:rPr>
          <w:rFonts w:ascii="Arial" w:cs="Arial" w:eastAsia="Arial" w:hAnsi="Arial"/>
          <w:sz w:val="16"/>
          <w:szCs w:val="16"/>
          <w:color w:val="000000"/>
        </w:rPr>
        <w:t>dissolution of the Purchaser or any of its Affiliates, so long as the recipients of such securities agree in writing to be bound by the restrictions of this Section 4.02. “</w:t>
      </w:r>
      <w:r>
        <w:rPr>
          <w:rFonts w:ascii="Arial" w:cs="Arial" w:eastAsia="Arial" w:hAnsi="Arial"/>
          <w:sz w:val="16"/>
          <w:szCs w:val="16"/>
          <w:b w:val="1"/>
          <w:bCs w:val="1"/>
          <w:color w:val="000000"/>
        </w:rPr>
        <w:t>Third Party Tender/Exchange Offer</w:t>
      </w:r>
      <w:r>
        <w:rPr>
          <w:rFonts w:ascii="Arial" w:cs="Arial" w:eastAsia="Arial" w:hAnsi="Arial"/>
          <w:sz w:val="16"/>
          <w:szCs w:val="16"/>
          <w:color w:val="000000"/>
        </w:rPr>
        <w:t>” shall mean any tender or exchange offer made to holders of Company Common Stock by a Third Party for a number of outstanding shares of Voting Stock that</w:t>
      </w:r>
      <w:r>
        <w:rPr>
          <w:rFonts w:ascii="Arial" w:cs="Arial" w:eastAsia="Arial" w:hAnsi="Arial"/>
          <w:sz w:val="16"/>
          <w:szCs w:val="16"/>
          <w:color w:val="28282B"/>
        </w:rPr>
        <w:t>,</w:t>
      </w:r>
      <w:r>
        <w:rPr>
          <w:rFonts w:ascii="Arial" w:cs="Arial" w:eastAsia="Arial" w:hAnsi="Arial"/>
          <w:sz w:val="16"/>
          <w:szCs w:val="16"/>
          <w:color w:val="000000"/>
        </w:rPr>
        <w:t xml:space="preserve"> if consummated</w:t>
      </w:r>
      <w:r>
        <w:rPr>
          <w:rFonts w:ascii="Arial" w:cs="Arial" w:eastAsia="Arial" w:hAnsi="Arial"/>
          <w:sz w:val="16"/>
          <w:szCs w:val="16"/>
          <w:color w:val="28282B"/>
        </w:rPr>
        <w:t>,</w:t>
      </w:r>
      <w:r>
        <w:rPr>
          <w:rFonts w:ascii="Arial" w:cs="Arial" w:eastAsia="Arial" w:hAnsi="Arial"/>
          <w:sz w:val="16"/>
          <w:szCs w:val="16"/>
          <w:color w:val="000000"/>
        </w:rPr>
        <w:t xml:space="preserve"> would result in a Change in Control and the Board of Directors has recommended such tender or exchange offer in a Schedule 14D-9 under the Exchange Act or does not publicly recommend against such offer in a Schedule 14D-9 under the Exchange Act within ten </w:t>
      </w:r>
      <w:r>
        <w:rPr>
          <w:rFonts w:ascii="Arial" w:cs="Arial" w:eastAsia="Arial" w:hAnsi="Arial"/>
          <w:sz w:val="16"/>
          <w:szCs w:val="16"/>
          <w:color w:val="110E13"/>
        </w:rPr>
        <w:t>(10)</w:t>
      </w:r>
      <w:r>
        <w:rPr>
          <w:rFonts w:ascii="Arial" w:cs="Arial" w:eastAsia="Arial" w:hAnsi="Arial"/>
          <w:sz w:val="16"/>
          <w:szCs w:val="16"/>
          <w:color w:val="000000"/>
        </w:rPr>
        <w:t xml:space="preserve"> </w:t>
      </w:r>
      <w:r>
        <w:rPr>
          <w:rFonts w:ascii="Arial" w:cs="Arial" w:eastAsia="Arial" w:hAnsi="Arial"/>
          <w:sz w:val="16"/>
          <w:szCs w:val="16"/>
          <w:color w:val="110E13"/>
        </w:rPr>
        <w:t>Business Days after the public announcement of such offer. Following the Restricted Period</w:t>
      </w:r>
      <w:r>
        <w:rPr>
          <w:rFonts w:ascii="Arial" w:cs="Arial" w:eastAsia="Arial" w:hAnsi="Arial"/>
          <w:sz w:val="16"/>
          <w:szCs w:val="16"/>
          <w:color w:val="28282B"/>
        </w:rPr>
        <w:t>,</w:t>
      </w:r>
      <w:r>
        <w:rPr>
          <w:rFonts w:ascii="Arial" w:cs="Arial" w:eastAsia="Arial" w:hAnsi="Arial"/>
          <w:sz w:val="16"/>
          <w:szCs w:val="16"/>
          <w:color w:val="110E13"/>
        </w:rPr>
        <w:t xml:space="preserve"> the Purchaser shall not transfer any of the Notes or any shares of Company Common Stock issuable or issued upon conversion of the Notes to (i) any of its Affiliates that did not execute and deliver to the Company a Joinder becoming a Purchaser party to this Agreement or did not deliver to the Company a duly completed and executed applicable IRS Form, (ii) any transferee (or Affiliate thereof) included on the list of competitors of the Company included as Schedule B hereto, (iii) any Activist Investor (or Affiliate thereof) or (iv) any holder of more than 9% of the outstanding Company Common Stock at the time of such transfer (each such action also constituting a “Prohibited Transfer”). Any purported Prohibited Transfer in violation of this </w:t>
      </w:r>
      <w:r>
        <w:rPr>
          <w:rFonts w:ascii="Arial" w:cs="Arial" w:eastAsia="Arial" w:hAnsi="Arial"/>
          <w:sz w:val="16"/>
          <w:szCs w:val="16"/>
          <w:color w:val="000000"/>
        </w:rPr>
        <w:t>Section 4.02</w:t>
      </w:r>
      <w:r>
        <w:rPr>
          <w:rFonts w:ascii="Arial" w:cs="Arial" w:eastAsia="Arial" w:hAnsi="Arial"/>
          <w:sz w:val="16"/>
          <w:szCs w:val="16"/>
          <w:color w:val="110E13"/>
        </w:rPr>
        <w:t xml:space="preserve"> shall be null and void </w:t>
      </w:r>
      <w:r>
        <w:rPr>
          <w:rFonts w:ascii="Arial" w:cs="Arial" w:eastAsia="Arial" w:hAnsi="Arial"/>
          <w:sz w:val="16"/>
          <w:szCs w:val="16"/>
          <w:i w:val="1"/>
          <w:iCs w:val="1"/>
          <w:color w:val="110E13"/>
        </w:rPr>
        <w:t>ab initio.</w:t>
      </w:r>
    </w:p>
    <w:p>
      <w:pPr>
        <w:spacing w:after="0" w:line="137"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5"/>
          <w:szCs w:val="15"/>
          <w:i w:val="1"/>
          <w:iCs w:val="1"/>
          <w:color w:val="auto"/>
        </w:rPr>
        <w:t>Stand</w:t>
      </w:r>
      <w:r>
        <w:rPr>
          <w:rFonts w:ascii="Arial" w:cs="Arial" w:eastAsia="Arial" w:hAnsi="Arial"/>
          <w:sz w:val="15"/>
          <w:szCs w:val="15"/>
          <w:i w:val="1"/>
          <w:iCs w:val="1"/>
          <w:color w:val="2A2A2B"/>
        </w:rPr>
        <w:t>s</w:t>
      </w:r>
      <w:r>
        <w:rPr>
          <w:rFonts w:ascii="Arial" w:cs="Arial" w:eastAsia="Arial" w:hAnsi="Arial"/>
          <w:sz w:val="15"/>
          <w:szCs w:val="15"/>
          <w:i w:val="1"/>
          <w:iCs w:val="1"/>
          <w:color w:val="auto"/>
        </w:rPr>
        <w:t>till.</w:t>
      </w:r>
    </w:p>
    <w:p>
      <w:pPr>
        <w:spacing w:after="0" w:line="176" w:lineRule="exact"/>
        <w:rPr>
          <w:sz w:val="20"/>
          <w:szCs w:val="20"/>
          <w:color w:val="auto"/>
        </w:rPr>
      </w:pPr>
    </w:p>
    <w:p>
      <w:pPr>
        <w:ind w:right="200" w:firstLine="514"/>
        <w:spacing w:after="0" w:line="303" w:lineRule="auto"/>
        <w:tabs>
          <w:tab w:leader="none" w:pos="100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Subject to Section 4.03(b)</w:t>
      </w:r>
      <w:r>
        <w:rPr>
          <w:rFonts w:ascii="Arial" w:cs="Arial" w:eastAsia="Arial" w:hAnsi="Arial"/>
          <w:sz w:val="16"/>
          <w:szCs w:val="16"/>
          <w:color w:val="2A2A2B"/>
        </w:rPr>
        <w:t>,</w:t>
      </w:r>
      <w:r>
        <w:rPr>
          <w:rFonts w:ascii="Arial" w:cs="Arial" w:eastAsia="Arial" w:hAnsi="Arial"/>
          <w:sz w:val="16"/>
          <w:szCs w:val="16"/>
          <w:color w:val="auto"/>
        </w:rPr>
        <w:t xml:space="preserve"> the Purchaser agrees that</w:t>
      </w:r>
      <w:r>
        <w:rPr>
          <w:rFonts w:ascii="Arial" w:cs="Arial" w:eastAsia="Arial" w:hAnsi="Arial"/>
          <w:sz w:val="16"/>
          <w:szCs w:val="16"/>
          <w:color w:val="2A2A2B"/>
        </w:rPr>
        <w:t>,</w:t>
      </w:r>
      <w:r>
        <w:rPr>
          <w:rFonts w:ascii="Arial" w:cs="Arial" w:eastAsia="Arial" w:hAnsi="Arial"/>
          <w:sz w:val="16"/>
          <w:szCs w:val="16"/>
          <w:color w:val="auto"/>
        </w:rPr>
        <w:t xml:space="preserve"> during the Standstill Period</w:t>
      </w:r>
      <w:r>
        <w:rPr>
          <w:rFonts w:ascii="Arial" w:cs="Arial" w:eastAsia="Arial" w:hAnsi="Arial"/>
          <w:sz w:val="16"/>
          <w:szCs w:val="16"/>
          <w:color w:val="2A2A2B"/>
        </w:rPr>
        <w:t>,</w:t>
      </w:r>
      <w:r>
        <w:rPr>
          <w:rFonts w:ascii="Arial" w:cs="Arial" w:eastAsia="Arial" w:hAnsi="Arial"/>
          <w:sz w:val="16"/>
          <w:szCs w:val="16"/>
          <w:color w:val="auto"/>
        </w:rPr>
        <w:t xml:space="preserve"> it shall not</w:t>
      </w:r>
      <w:r>
        <w:rPr>
          <w:rFonts w:ascii="Arial" w:cs="Arial" w:eastAsia="Arial" w:hAnsi="Arial"/>
          <w:sz w:val="16"/>
          <w:szCs w:val="16"/>
          <w:color w:val="2A2A2B"/>
        </w:rPr>
        <w:t>,</w:t>
      </w:r>
      <w:r>
        <w:rPr>
          <w:rFonts w:ascii="Arial" w:cs="Arial" w:eastAsia="Arial" w:hAnsi="Arial"/>
          <w:sz w:val="16"/>
          <w:szCs w:val="16"/>
          <w:color w:val="auto"/>
        </w:rPr>
        <w:t xml:space="preserve"> and shall cause each of its Purchaser Affiliates not to</w:t>
      </w:r>
      <w:r>
        <w:rPr>
          <w:rFonts w:ascii="Arial" w:cs="Arial" w:eastAsia="Arial" w:hAnsi="Arial"/>
          <w:sz w:val="16"/>
          <w:szCs w:val="16"/>
          <w:color w:val="2A2A2B"/>
        </w:rPr>
        <w:t>,</w:t>
      </w:r>
      <w:r>
        <w:rPr>
          <w:rFonts w:ascii="Arial" w:cs="Arial" w:eastAsia="Arial" w:hAnsi="Arial"/>
          <w:sz w:val="16"/>
          <w:szCs w:val="16"/>
          <w:color w:val="auto"/>
        </w:rPr>
        <w:t xml:space="preserve"> directly or indirectly</w:t>
      </w:r>
      <w:r>
        <w:rPr>
          <w:rFonts w:ascii="Arial" w:cs="Arial" w:eastAsia="Arial" w:hAnsi="Arial"/>
          <w:sz w:val="16"/>
          <w:szCs w:val="16"/>
          <w:color w:val="2A2A2B"/>
        </w:rPr>
        <w:t>,</w:t>
      </w:r>
      <w:r>
        <w:rPr>
          <w:rFonts w:ascii="Arial" w:cs="Arial" w:eastAsia="Arial" w:hAnsi="Arial"/>
          <w:sz w:val="16"/>
          <w:szCs w:val="16"/>
          <w:color w:val="auto"/>
        </w:rPr>
        <w:t xml:space="preserve"> absent prior express written invitation or authorization by the Board of Directors</w:t>
      </w:r>
      <w:r>
        <w:rPr>
          <w:rFonts w:ascii="Arial" w:cs="Arial" w:eastAsia="Arial" w:hAnsi="Arial"/>
          <w:sz w:val="16"/>
          <w:szCs w:val="16"/>
          <w:color w:val="2A2A2B"/>
        </w:rPr>
        <w:t>,</w:t>
      </w:r>
      <w:r>
        <w:rPr>
          <w:rFonts w:ascii="Arial" w:cs="Arial" w:eastAsia="Arial" w:hAnsi="Arial"/>
          <w:sz w:val="16"/>
          <w:szCs w:val="16"/>
          <w:color w:val="auto"/>
        </w:rPr>
        <w:t xml:space="preserve"> in each case with respect to the Company</w:t>
      </w:r>
      <w:r>
        <w:rPr>
          <w:rFonts w:ascii="Arial" w:cs="Arial" w:eastAsia="Arial" w:hAnsi="Arial"/>
          <w:sz w:val="16"/>
          <w:szCs w:val="16"/>
          <w:color w:val="2A2A2B"/>
        </w:rPr>
        <w:t>:</w:t>
      </w:r>
    </w:p>
    <w:p>
      <w:pPr>
        <w:spacing w:after="0" w:line="108" w:lineRule="exact"/>
        <w:rPr>
          <w:rFonts w:ascii="Arial" w:cs="Arial" w:eastAsia="Arial" w:hAnsi="Arial"/>
          <w:sz w:val="16"/>
          <w:szCs w:val="16"/>
          <w:color w:val="auto"/>
        </w:rPr>
      </w:pPr>
    </w:p>
    <w:p>
      <w:pPr>
        <w:ind w:left="520" w:right="120" w:firstLine="504"/>
        <w:spacing w:after="0" w:line="259" w:lineRule="auto"/>
        <w:tabs>
          <w:tab w:leader="none" w:pos="1533" w:val="left"/>
        </w:tabs>
        <w:numPr>
          <w:ilvl w:val="1"/>
          <w:numId w:val="107"/>
        </w:numPr>
        <w:rPr>
          <w:rFonts w:ascii="Arial" w:cs="Arial" w:eastAsia="Arial" w:hAnsi="Arial"/>
          <w:sz w:val="17"/>
          <w:szCs w:val="17"/>
          <w:color w:val="auto"/>
        </w:rPr>
      </w:pPr>
      <w:r>
        <w:rPr>
          <w:rFonts w:ascii="Arial" w:cs="Arial" w:eastAsia="Arial" w:hAnsi="Arial"/>
          <w:sz w:val="17"/>
          <w:szCs w:val="17"/>
          <w:color w:val="110E13"/>
        </w:rPr>
        <w:t>engage in any “solicitation” (as such term is defined under the Securities Exchange Act of 1934 (as amended)) of proxies or consents with respect to the election or removal of directors or any other matter or proposal or become a “participant” (as such term is defined in Instruction 3 to Item 4 of Schedule 14A promulgated under the Exchange Act) in any such solicitation of proxies or consents</w:t>
      </w:r>
      <w:r>
        <w:rPr>
          <w:rFonts w:ascii="Arial" w:cs="Arial" w:eastAsia="Arial" w:hAnsi="Arial"/>
          <w:sz w:val="17"/>
          <w:szCs w:val="17"/>
          <w:color w:val="2A2A2B"/>
        </w:rPr>
        <w:t>;</w:t>
      </w:r>
    </w:p>
    <w:p>
      <w:pPr>
        <w:spacing w:after="0" w:line="152" w:lineRule="exact"/>
        <w:rPr>
          <w:rFonts w:ascii="Arial" w:cs="Arial" w:eastAsia="Arial" w:hAnsi="Arial"/>
          <w:sz w:val="17"/>
          <w:szCs w:val="17"/>
          <w:color w:val="auto"/>
        </w:rPr>
      </w:pPr>
    </w:p>
    <w:p>
      <w:pPr>
        <w:ind w:left="520" w:right="160" w:firstLine="504"/>
        <w:spacing w:after="0" w:line="340" w:lineRule="auto"/>
        <w:tabs>
          <w:tab w:leader="none" w:pos="1538" w:val="left"/>
        </w:tabs>
        <w:numPr>
          <w:ilvl w:val="1"/>
          <w:numId w:val="107"/>
        </w:numPr>
        <w:rPr>
          <w:rFonts w:ascii="Arial" w:cs="Arial" w:eastAsia="Arial" w:hAnsi="Arial"/>
          <w:sz w:val="15"/>
          <w:szCs w:val="15"/>
          <w:color w:val="auto"/>
        </w:rPr>
      </w:pPr>
      <w:r>
        <w:rPr>
          <w:rFonts w:ascii="Arial" w:cs="Arial" w:eastAsia="Arial" w:hAnsi="Arial"/>
          <w:sz w:val="15"/>
          <w:szCs w:val="15"/>
          <w:color w:val="110E13"/>
        </w:rPr>
        <w:t>knowingly encourage</w:t>
      </w:r>
      <w:r>
        <w:rPr>
          <w:rFonts w:ascii="Arial" w:cs="Arial" w:eastAsia="Arial" w:hAnsi="Arial"/>
          <w:sz w:val="15"/>
          <w:szCs w:val="15"/>
          <w:color w:val="2A2A2B"/>
        </w:rPr>
        <w:t>,</w:t>
      </w:r>
      <w:r>
        <w:rPr>
          <w:rFonts w:ascii="Arial" w:cs="Arial" w:eastAsia="Arial" w:hAnsi="Arial"/>
          <w:sz w:val="15"/>
          <w:szCs w:val="15"/>
          <w:color w:val="110E13"/>
        </w:rPr>
        <w:t xml:space="preserve"> advise or influence any other person or knowingly assist any person in so encouraging</w:t>
      </w:r>
      <w:r>
        <w:rPr>
          <w:rFonts w:ascii="Arial" w:cs="Arial" w:eastAsia="Arial" w:hAnsi="Arial"/>
          <w:sz w:val="15"/>
          <w:szCs w:val="15"/>
          <w:color w:val="2A2A2B"/>
        </w:rPr>
        <w:t>,</w:t>
      </w:r>
      <w:r>
        <w:rPr>
          <w:rFonts w:ascii="Arial" w:cs="Arial" w:eastAsia="Arial" w:hAnsi="Arial"/>
          <w:sz w:val="15"/>
          <w:szCs w:val="15"/>
          <w:color w:val="110E13"/>
        </w:rPr>
        <w:t xml:space="preserve"> advising or influencing any </w:t>
      </w:r>
      <w:r>
        <w:rPr>
          <w:rFonts w:ascii="Arial" w:cs="Arial" w:eastAsia="Arial" w:hAnsi="Arial"/>
          <w:sz w:val="15"/>
          <w:szCs w:val="15"/>
          <w:color w:val="110F13"/>
        </w:rPr>
        <w:t xml:space="preserve">person with respect to the </w:t>
      </w:r>
      <w:r>
        <w:rPr>
          <w:rFonts w:ascii="Arial" w:cs="Arial" w:eastAsia="Arial" w:hAnsi="Arial"/>
          <w:sz w:val="15"/>
          <w:szCs w:val="15"/>
          <w:color w:val="110E13"/>
        </w:rPr>
        <w:t>giving</w:t>
      </w:r>
      <w:r>
        <w:rPr>
          <w:rFonts w:ascii="Arial" w:cs="Arial" w:eastAsia="Arial" w:hAnsi="Arial"/>
          <w:sz w:val="15"/>
          <w:szCs w:val="15"/>
          <w:color w:val="110F13"/>
        </w:rPr>
        <w:t xml:space="preserve"> or withholding of any proxy</w:t>
      </w:r>
      <w:r>
        <w:rPr>
          <w:rFonts w:ascii="Arial" w:cs="Arial" w:eastAsia="Arial" w:hAnsi="Arial"/>
          <w:sz w:val="15"/>
          <w:szCs w:val="15"/>
          <w:color w:val="2A282A"/>
        </w:rPr>
        <w:t>,</w:t>
      </w:r>
      <w:r>
        <w:rPr>
          <w:rFonts w:ascii="Arial" w:cs="Arial" w:eastAsia="Arial" w:hAnsi="Arial"/>
          <w:sz w:val="15"/>
          <w:szCs w:val="15"/>
          <w:color w:val="110F13"/>
        </w:rPr>
        <w:t xml:space="preserve"> consent or other authority to vote any Voting Stock or in conducting any type of referendum</w:t>
      </w:r>
      <w:r>
        <w:rPr>
          <w:rFonts w:ascii="Arial" w:cs="Arial" w:eastAsia="Arial" w:hAnsi="Arial"/>
          <w:sz w:val="15"/>
          <w:szCs w:val="15"/>
          <w:color w:val="2A282A"/>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00" w:top="1152" w:right="359" w:bottom="1440" w:gutter="0" w:footer="0" w:header="0"/>
        </w:sectPr>
      </w:pPr>
    </w:p>
    <w:bookmarkStart w:id="153" w:name="page154"/>
    <w:bookmarkEnd w:id="153"/>
    <w:p>
      <w:pPr>
        <w:ind w:right="560"/>
        <w:spacing w:after="0" w:line="259" w:lineRule="auto"/>
        <w:rPr>
          <w:sz w:val="20"/>
          <w:szCs w:val="20"/>
          <w:color w:val="auto"/>
        </w:rPr>
      </w:pPr>
      <w:r>
        <w:rPr>
          <w:rFonts w:ascii="Arial" w:cs="Arial" w:eastAsia="Arial" w:hAnsi="Arial"/>
          <w:sz w:val="17"/>
          <w:szCs w:val="17"/>
          <w:color w:val="110F13"/>
        </w:rPr>
        <w:t>binding or non-binding</w:t>
      </w:r>
      <w:r>
        <w:rPr>
          <w:rFonts w:ascii="Arial" w:cs="Arial" w:eastAsia="Arial" w:hAnsi="Arial"/>
          <w:sz w:val="17"/>
          <w:szCs w:val="17"/>
          <w:color w:val="2A282A"/>
        </w:rPr>
        <w:t>,</w:t>
      </w:r>
      <w:r>
        <w:rPr>
          <w:rFonts w:ascii="Arial" w:cs="Arial" w:eastAsia="Arial" w:hAnsi="Arial"/>
          <w:sz w:val="17"/>
          <w:szCs w:val="17"/>
          <w:color w:val="110F13"/>
        </w:rPr>
        <w:t xml:space="preserve"> of holders of Voting Stock (other than any such encouragement</w:t>
      </w:r>
      <w:r>
        <w:rPr>
          <w:rFonts w:ascii="Arial" w:cs="Arial" w:eastAsia="Arial" w:hAnsi="Arial"/>
          <w:sz w:val="17"/>
          <w:szCs w:val="17"/>
          <w:color w:val="2A282A"/>
        </w:rPr>
        <w:t>,</w:t>
      </w:r>
      <w:r>
        <w:rPr>
          <w:rFonts w:ascii="Arial" w:cs="Arial" w:eastAsia="Arial" w:hAnsi="Arial"/>
          <w:sz w:val="17"/>
          <w:szCs w:val="17"/>
          <w:color w:val="110F13"/>
        </w:rPr>
        <w:t xml:space="preserve"> advice or influence that is (x) consistent with Company management’s recommendation in connection with such matter or (y) that is directed at any Purchaser Affiliate with respect to Voting Stock now or hereafter owned by such Purchaser Affiliate)</w:t>
      </w:r>
      <w:r>
        <w:rPr>
          <w:rFonts w:ascii="Arial" w:cs="Arial" w:eastAsia="Arial" w:hAnsi="Arial"/>
          <w:sz w:val="17"/>
          <w:szCs w:val="17"/>
          <w:color w:val="2A282A"/>
        </w:rPr>
        <w:t>;</w:t>
      </w:r>
    </w:p>
    <w:p>
      <w:pPr>
        <w:spacing w:after="0" w:line="152" w:lineRule="exact"/>
        <w:rPr>
          <w:sz w:val="20"/>
          <w:szCs w:val="20"/>
          <w:color w:val="auto"/>
        </w:rPr>
      </w:pPr>
    </w:p>
    <w:p>
      <w:pPr>
        <w:ind w:right="120" w:firstLine="504"/>
        <w:spacing w:after="0" w:line="259" w:lineRule="auto"/>
        <w:tabs>
          <w:tab w:leader="none" w:pos="1012" w:val="left"/>
        </w:tabs>
        <w:numPr>
          <w:ilvl w:val="0"/>
          <w:numId w:val="108"/>
        </w:numPr>
        <w:rPr>
          <w:rFonts w:ascii="Arial" w:cs="Arial" w:eastAsia="Arial" w:hAnsi="Arial"/>
          <w:sz w:val="17"/>
          <w:szCs w:val="17"/>
          <w:color w:val="auto"/>
        </w:rPr>
      </w:pPr>
      <w:r>
        <w:rPr>
          <w:rFonts w:ascii="Arial" w:cs="Arial" w:eastAsia="Arial" w:hAnsi="Arial"/>
          <w:sz w:val="17"/>
          <w:szCs w:val="17"/>
          <w:color w:val="110E13"/>
        </w:rPr>
        <w:t>form</w:t>
      </w:r>
      <w:r>
        <w:rPr>
          <w:rFonts w:ascii="Arial" w:cs="Arial" w:eastAsia="Arial" w:hAnsi="Arial"/>
          <w:sz w:val="17"/>
          <w:szCs w:val="17"/>
          <w:color w:val="2A282A"/>
        </w:rPr>
        <w:t>,</w:t>
      </w:r>
      <w:r>
        <w:rPr>
          <w:rFonts w:ascii="Arial" w:cs="Arial" w:eastAsia="Arial" w:hAnsi="Arial"/>
          <w:sz w:val="17"/>
          <w:szCs w:val="17"/>
          <w:color w:val="110E13"/>
        </w:rPr>
        <w:t xml:space="preserve"> join or act in concert with any partnership</w:t>
      </w:r>
      <w:r>
        <w:rPr>
          <w:rFonts w:ascii="Arial" w:cs="Arial" w:eastAsia="Arial" w:hAnsi="Arial"/>
          <w:sz w:val="17"/>
          <w:szCs w:val="17"/>
          <w:color w:val="2A282A"/>
        </w:rPr>
        <w:t>,</w:t>
      </w:r>
      <w:r>
        <w:rPr>
          <w:rFonts w:ascii="Arial" w:cs="Arial" w:eastAsia="Arial" w:hAnsi="Arial"/>
          <w:sz w:val="17"/>
          <w:szCs w:val="17"/>
          <w:color w:val="110E13"/>
        </w:rPr>
        <w:t xml:space="preserve"> limited partnership</w:t>
      </w:r>
      <w:r>
        <w:rPr>
          <w:rFonts w:ascii="Arial" w:cs="Arial" w:eastAsia="Arial" w:hAnsi="Arial"/>
          <w:sz w:val="17"/>
          <w:szCs w:val="17"/>
          <w:color w:val="2A282A"/>
        </w:rPr>
        <w:t>,</w:t>
      </w:r>
      <w:r>
        <w:rPr>
          <w:rFonts w:ascii="Arial" w:cs="Arial" w:eastAsia="Arial" w:hAnsi="Arial"/>
          <w:sz w:val="17"/>
          <w:szCs w:val="17"/>
          <w:color w:val="110E13"/>
        </w:rPr>
        <w:t xml:space="preserve"> syndicate or other group</w:t>
      </w:r>
      <w:r>
        <w:rPr>
          <w:rFonts w:ascii="Arial" w:cs="Arial" w:eastAsia="Arial" w:hAnsi="Arial"/>
          <w:sz w:val="17"/>
          <w:szCs w:val="17"/>
          <w:color w:val="2A282A"/>
        </w:rPr>
        <w:t>,</w:t>
      </w:r>
      <w:r>
        <w:rPr>
          <w:rFonts w:ascii="Arial" w:cs="Arial" w:eastAsia="Arial" w:hAnsi="Arial"/>
          <w:sz w:val="17"/>
          <w:szCs w:val="17"/>
          <w:color w:val="110E13"/>
        </w:rPr>
        <w:t xml:space="preserve"> including a “group” as defined pursuant to Section 13(d) of the Exchange Act</w:t>
      </w:r>
      <w:r>
        <w:rPr>
          <w:rFonts w:ascii="Arial" w:cs="Arial" w:eastAsia="Arial" w:hAnsi="Arial"/>
          <w:sz w:val="17"/>
          <w:szCs w:val="17"/>
          <w:color w:val="2A282A"/>
        </w:rPr>
        <w:t>,</w:t>
      </w:r>
      <w:r>
        <w:rPr>
          <w:rFonts w:ascii="Arial" w:cs="Arial" w:eastAsia="Arial" w:hAnsi="Arial"/>
          <w:sz w:val="17"/>
          <w:szCs w:val="17"/>
          <w:color w:val="110E13"/>
        </w:rPr>
        <w:t xml:space="preserve"> with respect to any Voting Stock</w:t>
      </w:r>
      <w:r>
        <w:rPr>
          <w:rFonts w:ascii="Arial" w:cs="Arial" w:eastAsia="Arial" w:hAnsi="Arial"/>
          <w:sz w:val="17"/>
          <w:szCs w:val="17"/>
          <w:color w:val="2A282A"/>
        </w:rPr>
        <w:t>,</w:t>
      </w:r>
      <w:r>
        <w:rPr>
          <w:rFonts w:ascii="Arial" w:cs="Arial" w:eastAsia="Arial" w:hAnsi="Arial"/>
          <w:sz w:val="17"/>
          <w:szCs w:val="17"/>
          <w:color w:val="110E13"/>
        </w:rPr>
        <w:t xml:space="preserve"> other than solely with other Purchaser Affiliates with respect to Voting Stock now or hereafter owned by them</w:t>
      </w:r>
      <w:r>
        <w:rPr>
          <w:rFonts w:ascii="Arial" w:cs="Arial" w:eastAsia="Arial" w:hAnsi="Arial"/>
          <w:sz w:val="17"/>
          <w:szCs w:val="17"/>
          <w:color w:val="2A282A"/>
        </w:rPr>
        <w:t>;</w:t>
      </w:r>
    </w:p>
    <w:p>
      <w:pPr>
        <w:spacing w:after="0" w:line="141" w:lineRule="exact"/>
        <w:rPr>
          <w:rFonts w:ascii="Arial" w:cs="Arial" w:eastAsia="Arial" w:hAnsi="Arial"/>
          <w:sz w:val="17"/>
          <w:szCs w:val="17"/>
          <w:color w:val="auto"/>
        </w:rPr>
      </w:pPr>
    </w:p>
    <w:p>
      <w:pPr>
        <w:jc w:val="both"/>
        <w:ind w:firstLine="504"/>
        <w:spacing w:after="0" w:line="259" w:lineRule="auto"/>
        <w:tabs>
          <w:tab w:leader="none" w:pos="1002" w:val="left"/>
        </w:tabs>
        <w:numPr>
          <w:ilvl w:val="0"/>
          <w:numId w:val="108"/>
        </w:numPr>
        <w:rPr>
          <w:rFonts w:ascii="Arial" w:cs="Arial" w:eastAsia="Arial" w:hAnsi="Arial"/>
          <w:sz w:val="17"/>
          <w:szCs w:val="17"/>
          <w:color w:val="auto"/>
        </w:rPr>
      </w:pPr>
      <w:r>
        <w:rPr>
          <w:rFonts w:ascii="Arial" w:cs="Arial" w:eastAsia="Arial" w:hAnsi="Arial"/>
          <w:sz w:val="17"/>
          <w:szCs w:val="17"/>
          <w:color w:val="110E13"/>
        </w:rPr>
        <w:t>acquire</w:t>
      </w:r>
      <w:r>
        <w:rPr>
          <w:rFonts w:ascii="Arial" w:cs="Arial" w:eastAsia="Arial" w:hAnsi="Arial"/>
          <w:sz w:val="17"/>
          <w:szCs w:val="17"/>
          <w:color w:val="2A282A"/>
        </w:rPr>
        <w:t>,</w:t>
      </w:r>
      <w:r>
        <w:rPr>
          <w:rFonts w:ascii="Arial" w:cs="Arial" w:eastAsia="Arial" w:hAnsi="Arial"/>
          <w:sz w:val="17"/>
          <w:szCs w:val="17"/>
          <w:color w:val="110E13"/>
        </w:rPr>
        <w:t xml:space="preserve"> or offer</w:t>
      </w:r>
      <w:r>
        <w:rPr>
          <w:rFonts w:ascii="Arial" w:cs="Arial" w:eastAsia="Arial" w:hAnsi="Arial"/>
          <w:sz w:val="17"/>
          <w:szCs w:val="17"/>
          <w:color w:val="2A282A"/>
        </w:rPr>
        <w:t>,</w:t>
      </w:r>
      <w:r>
        <w:rPr>
          <w:rFonts w:ascii="Arial" w:cs="Arial" w:eastAsia="Arial" w:hAnsi="Arial"/>
          <w:sz w:val="17"/>
          <w:szCs w:val="17"/>
          <w:color w:val="110E13"/>
        </w:rPr>
        <w:t xml:space="preserve"> seek or agree to acquire</w:t>
      </w:r>
      <w:r>
        <w:rPr>
          <w:rFonts w:ascii="Arial" w:cs="Arial" w:eastAsia="Arial" w:hAnsi="Arial"/>
          <w:sz w:val="17"/>
          <w:szCs w:val="17"/>
          <w:color w:val="2A282A"/>
        </w:rPr>
        <w:t>,</w:t>
      </w:r>
      <w:r>
        <w:rPr>
          <w:rFonts w:ascii="Arial" w:cs="Arial" w:eastAsia="Arial" w:hAnsi="Arial"/>
          <w:sz w:val="17"/>
          <w:szCs w:val="17"/>
          <w:color w:val="110E13"/>
        </w:rPr>
        <w:t xml:space="preserve"> by purchase or otherwise</w:t>
      </w:r>
      <w:r>
        <w:rPr>
          <w:rFonts w:ascii="Arial" w:cs="Arial" w:eastAsia="Arial" w:hAnsi="Arial"/>
          <w:sz w:val="17"/>
          <w:szCs w:val="17"/>
          <w:color w:val="2A282A"/>
        </w:rPr>
        <w:t>,</w:t>
      </w:r>
      <w:r>
        <w:rPr>
          <w:rFonts w:ascii="Arial" w:cs="Arial" w:eastAsia="Arial" w:hAnsi="Arial"/>
          <w:sz w:val="17"/>
          <w:szCs w:val="17"/>
          <w:color w:val="110E13"/>
        </w:rPr>
        <w:t xml:space="preserve"> or direct any third party in the acquisition of</w:t>
      </w:r>
      <w:r>
        <w:rPr>
          <w:rFonts w:ascii="Arial" w:cs="Arial" w:eastAsia="Arial" w:hAnsi="Arial"/>
          <w:sz w:val="17"/>
          <w:szCs w:val="17"/>
          <w:color w:val="2A282A"/>
        </w:rPr>
        <w:t>,</w:t>
      </w:r>
      <w:r>
        <w:rPr>
          <w:rFonts w:ascii="Arial" w:cs="Arial" w:eastAsia="Arial" w:hAnsi="Arial"/>
          <w:sz w:val="17"/>
          <w:szCs w:val="17"/>
          <w:color w:val="110E13"/>
        </w:rPr>
        <w:t xml:space="preserve"> any Voting Stock</w:t>
      </w:r>
      <w:r>
        <w:rPr>
          <w:rFonts w:ascii="Arial" w:cs="Arial" w:eastAsia="Arial" w:hAnsi="Arial"/>
          <w:sz w:val="17"/>
          <w:szCs w:val="17"/>
          <w:color w:val="2A282A"/>
        </w:rPr>
        <w:t>,</w:t>
      </w:r>
      <w:r>
        <w:rPr>
          <w:rFonts w:ascii="Arial" w:cs="Arial" w:eastAsia="Arial" w:hAnsi="Arial"/>
          <w:sz w:val="17"/>
          <w:szCs w:val="17"/>
          <w:color w:val="110E13"/>
        </w:rPr>
        <w:t xml:space="preserve"> or rights or options to acquire any Voting Stock if such acquisition would result in the Purchaser and its Affiliates having Beneficial Ownership of more than 20% of the outstanding Company Common Stock</w:t>
      </w:r>
      <w:r>
        <w:rPr>
          <w:rFonts w:ascii="Arial" w:cs="Arial" w:eastAsia="Arial" w:hAnsi="Arial"/>
          <w:sz w:val="17"/>
          <w:szCs w:val="17"/>
          <w:color w:val="2A282A"/>
        </w:rPr>
        <w:t>;</w:t>
      </w:r>
    </w:p>
    <w:p>
      <w:pPr>
        <w:spacing w:after="0" w:line="152" w:lineRule="exact"/>
        <w:rPr>
          <w:rFonts w:ascii="Arial" w:cs="Arial" w:eastAsia="Arial" w:hAnsi="Arial"/>
          <w:sz w:val="17"/>
          <w:szCs w:val="17"/>
          <w:color w:val="auto"/>
        </w:rPr>
      </w:pPr>
    </w:p>
    <w:p>
      <w:pPr>
        <w:ind w:right="60" w:firstLine="504"/>
        <w:spacing w:after="0" w:line="292" w:lineRule="auto"/>
        <w:tabs>
          <w:tab w:leader="none" w:pos="997" w:val="left"/>
        </w:tabs>
        <w:numPr>
          <w:ilvl w:val="0"/>
          <w:numId w:val="108"/>
        </w:numPr>
        <w:rPr>
          <w:rFonts w:ascii="Arial" w:cs="Arial" w:eastAsia="Arial" w:hAnsi="Arial"/>
          <w:sz w:val="15"/>
          <w:szCs w:val="15"/>
          <w:color w:val="auto"/>
        </w:rPr>
      </w:pPr>
      <w:r>
        <w:rPr>
          <w:rFonts w:ascii="Arial" w:cs="Arial" w:eastAsia="Arial" w:hAnsi="Arial"/>
          <w:sz w:val="15"/>
          <w:szCs w:val="15"/>
          <w:color w:val="110E13"/>
        </w:rPr>
        <w:t>make or in any way participate</w:t>
      </w:r>
      <w:r>
        <w:rPr>
          <w:rFonts w:ascii="Arial" w:cs="Arial" w:eastAsia="Arial" w:hAnsi="Arial"/>
          <w:sz w:val="15"/>
          <w:szCs w:val="15"/>
          <w:color w:val="2A282A"/>
        </w:rPr>
        <w:t>,</w:t>
      </w:r>
      <w:r>
        <w:rPr>
          <w:rFonts w:ascii="Arial" w:cs="Arial" w:eastAsia="Arial" w:hAnsi="Arial"/>
          <w:sz w:val="15"/>
          <w:szCs w:val="15"/>
          <w:color w:val="110E13"/>
        </w:rPr>
        <w:t xml:space="preserve"> directly or indirectly</w:t>
      </w:r>
      <w:r>
        <w:rPr>
          <w:rFonts w:ascii="Arial" w:cs="Arial" w:eastAsia="Arial" w:hAnsi="Arial"/>
          <w:sz w:val="15"/>
          <w:szCs w:val="15"/>
          <w:color w:val="2A282A"/>
        </w:rPr>
        <w:t>,</w:t>
      </w:r>
      <w:r>
        <w:rPr>
          <w:rFonts w:ascii="Arial" w:cs="Arial" w:eastAsia="Arial" w:hAnsi="Arial"/>
          <w:sz w:val="15"/>
          <w:szCs w:val="15"/>
          <w:color w:val="110E13"/>
        </w:rPr>
        <w:t xml:space="preserve"> in any tender offer</w:t>
      </w:r>
      <w:r>
        <w:rPr>
          <w:rFonts w:ascii="Arial" w:cs="Arial" w:eastAsia="Arial" w:hAnsi="Arial"/>
          <w:sz w:val="15"/>
          <w:szCs w:val="15"/>
          <w:color w:val="2A282A"/>
        </w:rPr>
        <w:t>,</w:t>
      </w:r>
      <w:r>
        <w:rPr>
          <w:rFonts w:ascii="Arial" w:cs="Arial" w:eastAsia="Arial" w:hAnsi="Arial"/>
          <w:sz w:val="15"/>
          <w:szCs w:val="15"/>
          <w:color w:val="110E13"/>
        </w:rPr>
        <w:t xml:space="preserve"> exchange offer</w:t>
      </w:r>
      <w:r>
        <w:rPr>
          <w:rFonts w:ascii="Arial" w:cs="Arial" w:eastAsia="Arial" w:hAnsi="Arial"/>
          <w:sz w:val="15"/>
          <w:szCs w:val="15"/>
          <w:color w:val="2A282A"/>
        </w:rPr>
        <w:t>,</w:t>
      </w:r>
      <w:r>
        <w:rPr>
          <w:rFonts w:ascii="Arial" w:cs="Arial" w:eastAsia="Arial" w:hAnsi="Arial"/>
          <w:sz w:val="15"/>
          <w:szCs w:val="15"/>
          <w:color w:val="110E13"/>
        </w:rPr>
        <w:t xml:space="preserve"> merger</w:t>
      </w:r>
      <w:r>
        <w:rPr>
          <w:rFonts w:ascii="Arial" w:cs="Arial" w:eastAsia="Arial" w:hAnsi="Arial"/>
          <w:sz w:val="15"/>
          <w:szCs w:val="15"/>
          <w:color w:val="2A282A"/>
        </w:rPr>
        <w:t>,</w:t>
      </w:r>
      <w:r>
        <w:rPr>
          <w:rFonts w:ascii="Arial" w:cs="Arial" w:eastAsia="Arial" w:hAnsi="Arial"/>
          <w:sz w:val="15"/>
          <w:szCs w:val="15"/>
          <w:color w:val="110E13"/>
        </w:rPr>
        <w:t xml:space="preserve"> consolidation</w:t>
      </w:r>
      <w:r>
        <w:rPr>
          <w:rFonts w:ascii="Arial" w:cs="Arial" w:eastAsia="Arial" w:hAnsi="Arial"/>
          <w:sz w:val="15"/>
          <w:szCs w:val="15"/>
          <w:color w:val="2A282A"/>
        </w:rPr>
        <w:t>,</w:t>
      </w:r>
      <w:r>
        <w:rPr>
          <w:rFonts w:ascii="Arial" w:cs="Arial" w:eastAsia="Arial" w:hAnsi="Arial"/>
          <w:sz w:val="15"/>
          <w:szCs w:val="15"/>
          <w:color w:val="110E13"/>
        </w:rPr>
        <w:t xml:space="preserve"> acquisition</w:t>
      </w:r>
      <w:r>
        <w:rPr>
          <w:rFonts w:ascii="Arial" w:cs="Arial" w:eastAsia="Arial" w:hAnsi="Arial"/>
          <w:sz w:val="15"/>
          <w:szCs w:val="15"/>
          <w:color w:val="2A282A"/>
        </w:rPr>
        <w:t>,</w:t>
      </w:r>
      <w:r>
        <w:rPr>
          <w:rFonts w:ascii="Arial" w:cs="Arial" w:eastAsia="Arial" w:hAnsi="Arial"/>
          <w:sz w:val="15"/>
          <w:szCs w:val="15"/>
          <w:color w:val="110E13"/>
        </w:rPr>
        <w:t xml:space="preserve"> business combination</w:t>
      </w:r>
      <w:r>
        <w:rPr>
          <w:rFonts w:ascii="Arial" w:cs="Arial" w:eastAsia="Arial" w:hAnsi="Arial"/>
          <w:sz w:val="15"/>
          <w:szCs w:val="15"/>
          <w:color w:val="2A282A"/>
        </w:rPr>
        <w:t>,</w:t>
      </w:r>
      <w:r>
        <w:rPr>
          <w:rFonts w:ascii="Arial" w:cs="Arial" w:eastAsia="Arial" w:hAnsi="Arial"/>
          <w:sz w:val="15"/>
          <w:szCs w:val="15"/>
          <w:color w:val="110E13"/>
        </w:rPr>
        <w:t xml:space="preserve"> sale of a division</w:t>
      </w:r>
      <w:r>
        <w:rPr>
          <w:rFonts w:ascii="Arial" w:cs="Arial" w:eastAsia="Arial" w:hAnsi="Arial"/>
          <w:sz w:val="15"/>
          <w:szCs w:val="15"/>
          <w:color w:val="2A282A"/>
        </w:rPr>
        <w:t>,</w:t>
      </w:r>
      <w:r>
        <w:rPr>
          <w:rFonts w:ascii="Arial" w:cs="Arial" w:eastAsia="Arial" w:hAnsi="Arial"/>
          <w:sz w:val="15"/>
          <w:szCs w:val="15"/>
          <w:color w:val="110E13"/>
        </w:rPr>
        <w:t xml:space="preserve"> sale of substantially all assets</w:t>
      </w:r>
      <w:r>
        <w:rPr>
          <w:rFonts w:ascii="Arial" w:cs="Arial" w:eastAsia="Arial" w:hAnsi="Arial"/>
          <w:sz w:val="15"/>
          <w:szCs w:val="15"/>
          <w:color w:val="2A282A"/>
        </w:rPr>
        <w:t>,</w:t>
      </w:r>
      <w:r>
        <w:rPr>
          <w:rFonts w:ascii="Arial" w:cs="Arial" w:eastAsia="Arial" w:hAnsi="Arial"/>
          <w:sz w:val="15"/>
          <w:szCs w:val="15"/>
          <w:color w:val="110E13"/>
        </w:rPr>
        <w:t xml:space="preserve"> recapitalization, restructuring</w:t>
      </w:r>
      <w:r>
        <w:rPr>
          <w:rFonts w:ascii="Arial" w:cs="Arial" w:eastAsia="Arial" w:hAnsi="Arial"/>
          <w:sz w:val="15"/>
          <w:szCs w:val="15"/>
          <w:color w:val="2A282A"/>
        </w:rPr>
        <w:t>,</w:t>
      </w:r>
      <w:r>
        <w:rPr>
          <w:rFonts w:ascii="Arial" w:cs="Arial" w:eastAsia="Arial" w:hAnsi="Arial"/>
          <w:sz w:val="15"/>
          <w:szCs w:val="15"/>
          <w:color w:val="110E13"/>
        </w:rPr>
        <w:t xml:space="preserve"> liquidation</w:t>
      </w:r>
      <w:r>
        <w:rPr>
          <w:rFonts w:ascii="Arial" w:cs="Arial" w:eastAsia="Arial" w:hAnsi="Arial"/>
          <w:sz w:val="15"/>
          <w:szCs w:val="15"/>
          <w:color w:val="2A282A"/>
        </w:rPr>
        <w:t>,</w:t>
      </w:r>
      <w:r>
        <w:rPr>
          <w:rFonts w:ascii="Arial" w:cs="Arial" w:eastAsia="Arial" w:hAnsi="Arial"/>
          <w:sz w:val="15"/>
          <w:szCs w:val="15"/>
          <w:color w:val="110E13"/>
        </w:rPr>
        <w:t xml:space="preserve"> dissolution or extraordinary transaction involving the Company or any of its subsidiaries or its or their securities or assets (each</w:t>
      </w:r>
      <w:r>
        <w:rPr>
          <w:rFonts w:ascii="Arial" w:cs="Arial" w:eastAsia="Arial" w:hAnsi="Arial"/>
          <w:sz w:val="15"/>
          <w:szCs w:val="15"/>
          <w:color w:val="2A282A"/>
        </w:rPr>
        <w:t>,</w:t>
      </w:r>
      <w:r>
        <w:rPr>
          <w:rFonts w:ascii="Arial" w:cs="Arial" w:eastAsia="Arial" w:hAnsi="Arial"/>
          <w:sz w:val="15"/>
          <w:szCs w:val="15"/>
          <w:color w:val="110E13"/>
        </w:rPr>
        <w:t xml:space="preserve"> an </w:t>
      </w:r>
      <w:r>
        <w:rPr>
          <w:rFonts w:ascii="Arial" w:cs="Arial" w:eastAsia="Arial" w:hAnsi="Arial"/>
          <w:sz w:val="15"/>
          <w:szCs w:val="15"/>
          <w:color w:val="2A282A"/>
        </w:rPr>
        <w:t>“</w:t>
      </w:r>
      <w:r>
        <w:rPr>
          <w:rFonts w:ascii="Arial" w:cs="Arial" w:eastAsia="Arial" w:hAnsi="Arial"/>
          <w:sz w:val="15"/>
          <w:szCs w:val="15"/>
          <w:b w:val="1"/>
          <w:bCs w:val="1"/>
          <w:color w:val="110E13"/>
        </w:rPr>
        <w:t>Extraordinary Transaction</w:t>
      </w:r>
      <w:r>
        <w:rPr>
          <w:rFonts w:ascii="Arial" w:cs="Arial" w:eastAsia="Arial" w:hAnsi="Arial"/>
          <w:sz w:val="15"/>
          <w:szCs w:val="15"/>
          <w:color w:val="2A282A"/>
        </w:rPr>
        <w:t>”</w:t>
      </w:r>
      <w:r>
        <w:rPr>
          <w:rFonts w:ascii="Arial" w:cs="Arial" w:eastAsia="Arial" w:hAnsi="Arial"/>
          <w:sz w:val="15"/>
          <w:szCs w:val="15"/>
          <w:color w:val="110E13"/>
        </w:rPr>
        <w:t>) (it being understood that the foregoing shall not restrict the Purchaser Affiliates from participating on the same basis as other stockholders of the Company in any such transaction that has been approved by the Board of Directors)</w:t>
      </w:r>
      <w:r>
        <w:rPr>
          <w:rFonts w:ascii="Arial" w:cs="Arial" w:eastAsia="Arial" w:hAnsi="Arial"/>
          <w:sz w:val="15"/>
          <w:szCs w:val="15"/>
          <w:color w:val="2A282A"/>
        </w:rPr>
        <w:t>;</w:t>
      </w:r>
      <w:r>
        <w:rPr>
          <w:rFonts w:ascii="Arial" w:cs="Arial" w:eastAsia="Arial" w:hAnsi="Arial"/>
          <w:sz w:val="15"/>
          <w:szCs w:val="15"/>
          <w:color w:val="110E13"/>
        </w:rPr>
        <w:t xml:space="preserve"> or make</w:t>
      </w:r>
      <w:r>
        <w:rPr>
          <w:rFonts w:ascii="Arial" w:cs="Arial" w:eastAsia="Arial" w:hAnsi="Arial"/>
          <w:sz w:val="15"/>
          <w:szCs w:val="15"/>
          <w:color w:val="2A282A"/>
        </w:rPr>
        <w:t>,</w:t>
      </w:r>
      <w:r>
        <w:rPr>
          <w:rFonts w:ascii="Arial" w:cs="Arial" w:eastAsia="Arial" w:hAnsi="Arial"/>
          <w:sz w:val="15"/>
          <w:szCs w:val="15"/>
          <w:color w:val="110E13"/>
        </w:rPr>
        <w:t xml:space="preserve"> directly or indirectly</w:t>
      </w:r>
      <w:r>
        <w:rPr>
          <w:rFonts w:ascii="Arial" w:cs="Arial" w:eastAsia="Arial" w:hAnsi="Arial"/>
          <w:sz w:val="15"/>
          <w:szCs w:val="15"/>
          <w:color w:val="2A282A"/>
        </w:rPr>
        <w:t>,</w:t>
      </w:r>
      <w:r>
        <w:rPr>
          <w:rFonts w:ascii="Arial" w:cs="Arial" w:eastAsia="Arial" w:hAnsi="Arial"/>
          <w:sz w:val="15"/>
          <w:szCs w:val="15"/>
          <w:color w:val="110E13"/>
        </w:rPr>
        <w:t xml:space="preserve"> any proposal</w:t>
      </w:r>
      <w:r>
        <w:rPr>
          <w:rFonts w:ascii="Arial" w:cs="Arial" w:eastAsia="Arial" w:hAnsi="Arial"/>
          <w:sz w:val="15"/>
          <w:szCs w:val="15"/>
          <w:color w:val="2A282A"/>
        </w:rPr>
        <w:t>,</w:t>
      </w:r>
      <w:r>
        <w:rPr>
          <w:rFonts w:ascii="Arial" w:cs="Arial" w:eastAsia="Arial" w:hAnsi="Arial"/>
          <w:sz w:val="15"/>
          <w:szCs w:val="15"/>
          <w:color w:val="110E13"/>
        </w:rPr>
        <w:t xml:space="preserve"> either alone or in concert with others</w:t>
      </w:r>
      <w:r>
        <w:rPr>
          <w:rFonts w:ascii="Arial" w:cs="Arial" w:eastAsia="Arial" w:hAnsi="Arial"/>
          <w:sz w:val="15"/>
          <w:szCs w:val="15"/>
          <w:color w:val="2A282A"/>
        </w:rPr>
        <w:t>,</w:t>
      </w:r>
      <w:r>
        <w:rPr>
          <w:rFonts w:ascii="Arial" w:cs="Arial" w:eastAsia="Arial" w:hAnsi="Arial"/>
          <w:sz w:val="15"/>
          <w:szCs w:val="15"/>
          <w:color w:val="110E13"/>
        </w:rPr>
        <w:t xml:space="preserve"> to the Company or the Board of Directors that would reasonably be expected to require a public announcement regarding any of the types of matters set forth above in this paragraph</w:t>
      </w:r>
      <w:r>
        <w:rPr>
          <w:rFonts w:ascii="Arial" w:cs="Arial" w:eastAsia="Arial" w:hAnsi="Arial"/>
          <w:sz w:val="15"/>
          <w:szCs w:val="15"/>
          <w:color w:val="2A282A"/>
        </w:rPr>
        <w:t>;</w:t>
      </w:r>
    </w:p>
    <w:p>
      <w:pPr>
        <w:spacing w:after="0" w:line="120" w:lineRule="exact"/>
        <w:rPr>
          <w:rFonts w:ascii="Arial" w:cs="Arial" w:eastAsia="Arial" w:hAnsi="Arial"/>
          <w:sz w:val="15"/>
          <w:szCs w:val="15"/>
          <w:color w:val="auto"/>
        </w:rPr>
      </w:pPr>
    </w:p>
    <w:p>
      <w:pPr>
        <w:ind w:right="40" w:firstLine="504"/>
        <w:spacing w:after="0" w:line="259" w:lineRule="auto"/>
        <w:tabs>
          <w:tab w:leader="none" w:pos="1056" w:val="left"/>
        </w:tabs>
        <w:numPr>
          <w:ilvl w:val="0"/>
          <w:numId w:val="108"/>
        </w:numPr>
        <w:rPr>
          <w:rFonts w:ascii="Arial" w:cs="Arial" w:eastAsia="Arial" w:hAnsi="Arial"/>
          <w:sz w:val="17"/>
          <w:szCs w:val="17"/>
          <w:color w:val="auto"/>
        </w:rPr>
      </w:pPr>
      <w:r>
        <w:rPr>
          <w:rFonts w:ascii="Arial" w:cs="Arial" w:eastAsia="Arial" w:hAnsi="Arial"/>
          <w:sz w:val="17"/>
          <w:szCs w:val="17"/>
          <w:color w:val="110E13"/>
        </w:rPr>
        <w:t>seek</w:t>
      </w:r>
      <w:r>
        <w:rPr>
          <w:rFonts w:ascii="Arial" w:cs="Arial" w:eastAsia="Arial" w:hAnsi="Arial"/>
          <w:sz w:val="17"/>
          <w:szCs w:val="17"/>
          <w:color w:val="2A282A"/>
        </w:rPr>
        <w:t>,</w:t>
      </w:r>
      <w:r>
        <w:rPr>
          <w:rFonts w:ascii="Arial" w:cs="Arial" w:eastAsia="Arial" w:hAnsi="Arial"/>
          <w:sz w:val="17"/>
          <w:szCs w:val="17"/>
          <w:color w:val="110E13"/>
        </w:rPr>
        <w:t xml:space="preserve"> alone or in concert with others</w:t>
      </w:r>
      <w:r>
        <w:rPr>
          <w:rFonts w:ascii="Arial" w:cs="Arial" w:eastAsia="Arial" w:hAnsi="Arial"/>
          <w:sz w:val="17"/>
          <w:szCs w:val="17"/>
          <w:color w:val="2A282A"/>
        </w:rPr>
        <w:t>,</w:t>
      </w:r>
      <w:r>
        <w:rPr>
          <w:rFonts w:ascii="Arial" w:cs="Arial" w:eastAsia="Arial" w:hAnsi="Arial"/>
          <w:sz w:val="17"/>
          <w:szCs w:val="17"/>
          <w:color w:val="110E13"/>
        </w:rPr>
        <w:t xml:space="preserve"> election or appointment to</w:t>
      </w:r>
      <w:r>
        <w:rPr>
          <w:rFonts w:ascii="Arial" w:cs="Arial" w:eastAsia="Arial" w:hAnsi="Arial"/>
          <w:sz w:val="17"/>
          <w:szCs w:val="17"/>
          <w:color w:val="2A282A"/>
        </w:rPr>
        <w:t>,</w:t>
      </w:r>
      <w:r>
        <w:rPr>
          <w:rFonts w:ascii="Arial" w:cs="Arial" w:eastAsia="Arial" w:hAnsi="Arial"/>
          <w:sz w:val="17"/>
          <w:szCs w:val="17"/>
          <w:color w:val="110E13"/>
        </w:rPr>
        <w:t xml:space="preserve"> or representation on</w:t>
      </w:r>
      <w:r>
        <w:rPr>
          <w:rFonts w:ascii="Arial" w:cs="Arial" w:eastAsia="Arial" w:hAnsi="Arial"/>
          <w:sz w:val="17"/>
          <w:szCs w:val="17"/>
          <w:color w:val="2A282A"/>
        </w:rPr>
        <w:t>,</w:t>
      </w:r>
      <w:r>
        <w:rPr>
          <w:rFonts w:ascii="Arial" w:cs="Arial" w:eastAsia="Arial" w:hAnsi="Arial"/>
          <w:sz w:val="17"/>
          <w:szCs w:val="17"/>
          <w:color w:val="110E13"/>
        </w:rPr>
        <w:t xml:space="preserve"> the Board of Directors or nominate or propose the nomination of</w:t>
      </w:r>
      <w:r>
        <w:rPr>
          <w:rFonts w:ascii="Arial" w:cs="Arial" w:eastAsia="Arial" w:hAnsi="Arial"/>
          <w:sz w:val="17"/>
          <w:szCs w:val="17"/>
          <w:color w:val="2A282A"/>
        </w:rPr>
        <w:t>,</w:t>
      </w:r>
      <w:r>
        <w:rPr>
          <w:rFonts w:ascii="Arial" w:cs="Arial" w:eastAsia="Arial" w:hAnsi="Arial"/>
          <w:sz w:val="17"/>
          <w:szCs w:val="17"/>
          <w:color w:val="110E13"/>
        </w:rPr>
        <w:t xml:space="preserve"> or recommend the nomination of</w:t>
      </w:r>
      <w:r>
        <w:rPr>
          <w:rFonts w:ascii="Arial" w:cs="Arial" w:eastAsia="Arial" w:hAnsi="Arial"/>
          <w:sz w:val="17"/>
          <w:szCs w:val="17"/>
          <w:color w:val="2A282A"/>
        </w:rPr>
        <w:t>,</w:t>
      </w:r>
      <w:r>
        <w:rPr>
          <w:rFonts w:ascii="Arial" w:cs="Arial" w:eastAsia="Arial" w:hAnsi="Arial"/>
          <w:sz w:val="17"/>
          <w:szCs w:val="17"/>
          <w:color w:val="110E13"/>
        </w:rPr>
        <w:t xml:space="preserve"> any candidate to the Board of Directors</w:t>
      </w:r>
      <w:r>
        <w:rPr>
          <w:rFonts w:ascii="Arial" w:cs="Arial" w:eastAsia="Arial" w:hAnsi="Arial"/>
          <w:sz w:val="17"/>
          <w:szCs w:val="17"/>
          <w:color w:val="2A282A"/>
        </w:rPr>
        <w:t>,</w:t>
      </w:r>
      <w:r>
        <w:rPr>
          <w:rFonts w:ascii="Arial" w:cs="Arial" w:eastAsia="Arial" w:hAnsi="Arial"/>
          <w:sz w:val="17"/>
          <w:szCs w:val="17"/>
          <w:color w:val="110E13"/>
        </w:rPr>
        <w:t xml:space="preserve"> seek</w:t>
      </w:r>
      <w:r>
        <w:rPr>
          <w:rFonts w:ascii="Arial" w:cs="Arial" w:eastAsia="Arial" w:hAnsi="Arial"/>
          <w:sz w:val="17"/>
          <w:szCs w:val="17"/>
          <w:color w:val="2A282A"/>
        </w:rPr>
        <w:t>,</w:t>
      </w:r>
      <w:r>
        <w:rPr>
          <w:rFonts w:ascii="Arial" w:cs="Arial" w:eastAsia="Arial" w:hAnsi="Arial"/>
          <w:sz w:val="17"/>
          <w:szCs w:val="17"/>
          <w:color w:val="110E13"/>
        </w:rPr>
        <w:t xml:space="preserve"> alone or in concert with others</w:t>
      </w:r>
      <w:r>
        <w:rPr>
          <w:rFonts w:ascii="Arial" w:cs="Arial" w:eastAsia="Arial" w:hAnsi="Arial"/>
          <w:sz w:val="17"/>
          <w:szCs w:val="17"/>
          <w:color w:val="2A282A"/>
        </w:rPr>
        <w:t>,</w:t>
      </w:r>
      <w:r>
        <w:rPr>
          <w:rFonts w:ascii="Arial" w:cs="Arial" w:eastAsia="Arial" w:hAnsi="Arial"/>
          <w:sz w:val="17"/>
          <w:szCs w:val="17"/>
          <w:color w:val="110E13"/>
        </w:rPr>
        <w:t xml:space="preserve"> the removal of any member of the Board of Directors or conduct a referendum of stockholders of the Company</w:t>
      </w:r>
      <w:r>
        <w:rPr>
          <w:rFonts w:ascii="Arial" w:cs="Arial" w:eastAsia="Arial" w:hAnsi="Arial"/>
          <w:sz w:val="17"/>
          <w:szCs w:val="17"/>
          <w:color w:val="2A282A"/>
        </w:rPr>
        <w:t>;</w:t>
      </w:r>
    </w:p>
    <w:p>
      <w:pPr>
        <w:spacing w:after="0" w:line="152" w:lineRule="exact"/>
        <w:rPr>
          <w:rFonts w:ascii="Arial" w:cs="Arial" w:eastAsia="Arial" w:hAnsi="Arial"/>
          <w:sz w:val="17"/>
          <w:szCs w:val="17"/>
          <w:color w:val="auto"/>
        </w:rPr>
      </w:pPr>
    </w:p>
    <w:p>
      <w:pPr>
        <w:ind w:left="1020" w:hanging="516"/>
        <w:spacing w:after="0"/>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110E13"/>
        </w:rPr>
        <w:t>make or be the proponent of any stockholder proposal (pursuant to Rule 14a-8 under the Exchange Act or otherwise)</w:t>
      </w:r>
      <w:r>
        <w:rPr>
          <w:rFonts w:ascii="Arial" w:cs="Arial" w:eastAsia="Arial" w:hAnsi="Arial"/>
          <w:sz w:val="17"/>
          <w:szCs w:val="17"/>
          <w:color w:val="2A282A"/>
        </w:rPr>
        <w:t>;</w:t>
      </w:r>
    </w:p>
    <w:p>
      <w:pPr>
        <w:spacing w:after="0" w:line="175" w:lineRule="exact"/>
        <w:rPr>
          <w:rFonts w:ascii="Arial" w:cs="Arial" w:eastAsia="Arial" w:hAnsi="Arial"/>
          <w:sz w:val="17"/>
          <w:szCs w:val="17"/>
          <w:color w:val="auto"/>
        </w:rPr>
      </w:pPr>
    </w:p>
    <w:p>
      <w:pPr>
        <w:ind w:right="220" w:firstLine="504"/>
        <w:spacing w:after="0" w:line="271" w:lineRule="auto"/>
        <w:tabs>
          <w:tab w:leader="none" w:pos="1012" w:val="left"/>
        </w:tabs>
        <w:numPr>
          <w:ilvl w:val="0"/>
          <w:numId w:val="108"/>
        </w:numPr>
        <w:rPr>
          <w:rFonts w:ascii="Arial" w:cs="Arial" w:eastAsia="Arial" w:hAnsi="Arial"/>
          <w:sz w:val="17"/>
          <w:szCs w:val="17"/>
          <w:color w:val="auto"/>
        </w:rPr>
      </w:pPr>
      <w:r>
        <w:rPr>
          <w:rFonts w:ascii="Arial" w:cs="Arial" w:eastAsia="Arial" w:hAnsi="Arial"/>
          <w:sz w:val="17"/>
          <w:szCs w:val="17"/>
          <w:color w:val="110E13"/>
        </w:rPr>
        <w:t>make any request for stock list materials or other books and records of the Company under Section 220 of the DGCL or other statutory or regulatory provisions prov</w:t>
      </w:r>
      <w:r>
        <w:rPr>
          <w:rFonts w:ascii="Arial" w:cs="Arial" w:eastAsia="Arial" w:hAnsi="Arial"/>
          <w:sz w:val="17"/>
          <w:szCs w:val="17"/>
          <w:color w:val="2A282A"/>
        </w:rPr>
        <w:t>i</w:t>
      </w:r>
      <w:r>
        <w:rPr>
          <w:rFonts w:ascii="Arial" w:cs="Arial" w:eastAsia="Arial" w:hAnsi="Arial"/>
          <w:sz w:val="17"/>
          <w:szCs w:val="17"/>
          <w:color w:val="110E13"/>
        </w:rPr>
        <w:t>ding for shareholder access to books and records</w:t>
      </w:r>
      <w:r>
        <w:rPr>
          <w:rFonts w:ascii="Arial" w:cs="Arial" w:eastAsia="Arial" w:hAnsi="Arial"/>
          <w:sz w:val="17"/>
          <w:szCs w:val="17"/>
          <w:color w:val="2A282A"/>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80"/>
          </w:cols>
          <w:pgMar w:left="820" w:top="1162" w:right="499" w:bottom="1440" w:gutter="0" w:footer="0" w:header="0"/>
        </w:sectPr>
      </w:pPr>
    </w:p>
    <w:bookmarkStart w:id="154" w:name="page155"/>
    <w:bookmarkEnd w:id="154"/>
    <w:p>
      <w:pPr>
        <w:ind w:left="500" w:right="420" w:firstLine="504"/>
        <w:spacing w:after="0" w:line="252" w:lineRule="auto"/>
        <w:tabs>
          <w:tab w:leader="none" w:pos="1513" w:val="left"/>
        </w:tabs>
        <w:numPr>
          <w:ilvl w:val="1"/>
          <w:numId w:val="109"/>
        </w:numPr>
        <w:rPr>
          <w:rFonts w:ascii="Arial" w:cs="Arial" w:eastAsia="Arial" w:hAnsi="Arial"/>
          <w:sz w:val="17"/>
          <w:szCs w:val="17"/>
          <w:color w:val="auto"/>
        </w:rPr>
      </w:pPr>
      <w:r>
        <w:rPr>
          <w:rFonts w:ascii="Arial" w:cs="Arial" w:eastAsia="Arial" w:hAnsi="Arial"/>
          <w:sz w:val="17"/>
          <w:szCs w:val="17"/>
          <w:color w:val="110E13"/>
        </w:rPr>
        <w:t>make any public proposal with respect to any change in the number or term of directors or the filling of any vacancies on the Board of Directors</w:t>
      </w:r>
      <w:r>
        <w:rPr>
          <w:rFonts w:ascii="Arial" w:cs="Arial" w:eastAsia="Arial" w:hAnsi="Arial"/>
          <w:sz w:val="17"/>
          <w:szCs w:val="17"/>
          <w:color w:val="2A2A2D"/>
        </w:rPr>
        <w:t>,</w:t>
      </w:r>
      <w:r>
        <w:rPr>
          <w:rFonts w:ascii="Arial" w:cs="Arial" w:eastAsia="Arial" w:hAnsi="Arial"/>
          <w:sz w:val="17"/>
          <w:szCs w:val="17"/>
          <w:color w:val="110E13"/>
        </w:rPr>
        <w:t xml:space="preserve"> any material change in the capitalization of the Company</w:t>
      </w:r>
      <w:r>
        <w:rPr>
          <w:rFonts w:ascii="Arial" w:cs="Arial" w:eastAsia="Arial" w:hAnsi="Arial"/>
          <w:sz w:val="17"/>
          <w:szCs w:val="17"/>
          <w:color w:val="2A2A2D"/>
        </w:rPr>
        <w:t>,</w:t>
      </w:r>
      <w:r>
        <w:rPr>
          <w:rFonts w:ascii="Arial" w:cs="Arial" w:eastAsia="Arial" w:hAnsi="Arial"/>
          <w:sz w:val="17"/>
          <w:szCs w:val="17"/>
          <w:color w:val="110E13"/>
        </w:rPr>
        <w:t xml:space="preserve"> any other material change in the Company’s management</w:t>
      </w:r>
      <w:r>
        <w:rPr>
          <w:rFonts w:ascii="Arial" w:cs="Arial" w:eastAsia="Arial" w:hAnsi="Arial"/>
          <w:sz w:val="17"/>
          <w:szCs w:val="17"/>
          <w:color w:val="2A2A2D"/>
        </w:rPr>
        <w:t>,</w:t>
      </w:r>
      <w:r>
        <w:rPr>
          <w:rFonts w:ascii="Arial" w:cs="Arial" w:eastAsia="Arial" w:hAnsi="Arial"/>
          <w:sz w:val="17"/>
          <w:szCs w:val="17"/>
          <w:color w:val="110E13"/>
        </w:rPr>
        <w:t xml:space="preserve"> business or corporate structure</w:t>
      </w:r>
      <w:r>
        <w:rPr>
          <w:rFonts w:ascii="Arial" w:cs="Arial" w:eastAsia="Arial" w:hAnsi="Arial"/>
          <w:sz w:val="17"/>
          <w:szCs w:val="17"/>
          <w:color w:val="2A2A2D"/>
        </w:rPr>
        <w:t>,</w:t>
      </w:r>
      <w:r>
        <w:rPr>
          <w:rFonts w:ascii="Arial" w:cs="Arial" w:eastAsia="Arial" w:hAnsi="Arial"/>
          <w:sz w:val="17"/>
          <w:szCs w:val="17"/>
          <w:color w:val="110E13"/>
        </w:rPr>
        <w:t xml:space="preserve"> any waiver</w:t>
      </w:r>
      <w:r>
        <w:rPr>
          <w:rFonts w:ascii="Arial" w:cs="Arial" w:eastAsia="Arial" w:hAnsi="Arial"/>
          <w:sz w:val="17"/>
          <w:szCs w:val="17"/>
          <w:color w:val="2A2A2D"/>
        </w:rPr>
        <w:t>,</w:t>
      </w:r>
      <w:r>
        <w:rPr>
          <w:rFonts w:ascii="Arial" w:cs="Arial" w:eastAsia="Arial" w:hAnsi="Arial"/>
          <w:sz w:val="17"/>
          <w:szCs w:val="17"/>
          <w:color w:val="110E13"/>
        </w:rPr>
        <w:t xml:space="preserve"> amendment or modification to the Company’s certificate of incorporation or bylaws</w:t>
      </w:r>
      <w:r>
        <w:rPr>
          <w:rFonts w:ascii="Arial" w:cs="Arial" w:eastAsia="Arial" w:hAnsi="Arial"/>
          <w:sz w:val="17"/>
          <w:szCs w:val="17"/>
          <w:color w:val="2A2A2D"/>
        </w:rPr>
        <w:t>,</w:t>
      </w:r>
      <w:r>
        <w:rPr>
          <w:rFonts w:ascii="Arial" w:cs="Arial" w:eastAsia="Arial" w:hAnsi="Arial"/>
          <w:sz w:val="17"/>
          <w:szCs w:val="17"/>
          <w:color w:val="110E13"/>
        </w:rPr>
        <w:t xml:space="preserve"> or other actions which may impede the acquisition of control of the Company by any person</w:t>
      </w:r>
      <w:r>
        <w:rPr>
          <w:rFonts w:ascii="Arial" w:cs="Arial" w:eastAsia="Arial" w:hAnsi="Arial"/>
          <w:sz w:val="17"/>
          <w:szCs w:val="17"/>
          <w:color w:val="2A2A2D"/>
        </w:rPr>
        <w:t>,</w:t>
      </w:r>
      <w:r>
        <w:rPr>
          <w:rFonts w:ascii="Arial" w:cs="Arial" w:eastAsia="Arial" w:hAnsi="Arial"/>
          <w:sz w:val="17"/>
          <w:szCs w:val="17"/>
          <w:color w:val="110E13"/>
        </w:rPr>
        <w:t xml:space="preserve"> causing a class of securities of the Company to be delisted from</w:t>
      </w:r>
      <w:r>
        <w:rPr>
          <w:rFonts w:ascii="Arial" w:cs="Arial" w:eastAsia="Arial" w:hAnsi="Arial"/>
          <w:sz w:val="17"/>
          <w:szCs w:val="17"/>
          <w:color w:val="2A2A2D"/>
        </w:rPr>
        <w:t>,</w:t>
      </w:r>
      <w:r>
        <w:rPr>
          <w:rFonts w:ascii="Arial" w:cs="Arial" w:eastAsia="Arial" w:hAnsi="Arial"/>
          <w:sz w:val="17"/>
          <w:szCs w:val="17"/>
          <w:color w:val="110E13"/>
        </w:rPr>
        <w:t xml:space="preserve"> or to cease to be authorized to be quoted on</w:t>
      </w:r>
      <w:r>
        <w:rPr>
          <w:rFonts w:ascii="Arial" w:cs="Arial" w:eastAsia="Arial" w:hAnsi="Arial"/>
          <w:sz w:val="17"/>
          <w:szCs w:val="17"/>
          <w:color w:val="2A2A2D"/>
        </w:rPr>
        <w:t>,</w:t>
      </w:r>
      <w:r>
        <w:rPr>
          <w:rFonts w:ascii="Arial" w:cs="Arial" w:eastAsia="Arial" w:hAnsi="Arial"/>
          <w:sz w:val="17"/>
          <w:szCs w:val="17"/>
          <w:color w:val="110E13"/>
        </w:rPr>
        <w:t xml:space="preserve"> any securities exchange or causing a class of equity securities of the Company to become eligible for termination of registration pursuant to Section 12(g)(4) of the Exchange Act</w:t>
      </w:r>
      <w:r>
        <w:rPr>
          <w:rFonts w:ascii="Arial" w:cs="Arial" w:eastAsia="Arial" w:hAnsi="Arial"/>
          <w:sz w:val="17"/>
          <w:szCs w:val="17"/>
          <w:color w:val="2A2A2D"/>
        </w:rPr>
        <w:t>;</w:t>
      </w:r>
    </w:p>
    <w:p>
      <w:pPr>
        <w:spacing w:after="0" w:line="158" w:lineRule="exact"/>
        <w:rPr>
          <w:rFonts w:ascii="Arial" w:cs="Arial" w:eastAsia="Arial" w:hAnsi="Arial"/>
          <w:sz w:val="17"/>
          <w:szCs w:val="17"/>
          <w:color w:val="auto"/>
        </w:rPr>
      </w:pPr>
    </w:p>
    <w:p>
      <w:pPr>
        <w:ind w:left="500" w:right="180" w:firstLine="504"/>
        <w:spacing w:after="0" w:line="269" w:lineRule="auto"/>
        <w:tabs>
          <w:tab w:leader="none" w:pos="1509" w:val="left"/>
        </w:tabs>
        <w:numPr>
          <w:ilvl w:val="1"/>
          <w:numId w:val="109"/>
        </w:numPr>
        <w:rPr>
          <w:rFonts w:ascii="Arial" w:cs="Arial" w:eastAsia="Arial" w:hAnsi="Arial"/>
          <w:sz w:val="16"/>
          <w:szCs w:val="16"/>
          <w:color w:val="auto"/>
        </w:rPr>
      </w:pPr>
      <w:r>
        <w:rPr>
          <w:rFonts w:ascii="Arial" w:cs="Arial" w:eastAsia="Arial" w:hAnsi="Arial"/>
          <w:sz w:val="16"/>
          <w:szCs w:val="16"/>
          <w:color w:val="110E13"/>
        </w:rPr>
        <w:t xml:space="preserve">institute </w:t>
      </w:r>
      <w:r>
        <w:rPr>
          <w:rFonts w:ascii="Arial" w:cs="Arial" w:eastAsia="Arial" w:hAnsi="Arial"/>
          <w:sz w:val="16"/>
          <w:szCs w:val="16"/>
          <w:color w:val="2A2A2D"/>
        </w:rPr>
        <w:t>,</w:t>
      </w:r>
      <w:r>
        <w:rPr>
          <w:rFonts w:ascii="Arial" w:cs="Arial" w:eastAsia="Arial" w:hAnsi="Arial"/>
          <w:sz w:val="16"/>
          <w:szCs w:val="16"/>
          <w:color w:val="110E13"/>
        </w:rPr>
        <w:t xml:space="preserve"> solicit</w:t>
      </w:r>
      <w:r>
        <w:rPr>
          <w:rFonts w:ascii="Arial" w:cs="Arial" w:eastAsia="Arial" w:hAnsi="Arial"/>
          <w:sz w:val="16"/>
          <w:szCs w:val="16"/>
          <w:color w:val="2A2A2D"/>
        </w:rPr>
        <w:t>,</w:t>
      </w:r>
      <w:r>
        <w:rPr>
          <w:rFonts w:ascii="Arial" w:cs="Arial" w:eastAsia="Arial" w:hAnsi="Arial"/>
          <w:sz w:val="16"/>
          <w:szCs w:val="16"/>
          <w:color w:val="110E13"/>
        </w:rPr>
        <w:t xml:space="preserve"> assist or join any litigation</w:t>
      </w:r>
      <w:r>
        <w:rPr>
          <w:rFonts w:ascii="Arial" w:cs="Arial" w:eastAsia="Arial" w:hAnsi="Arial"/>
          <w:sz w:val="16"/>
          <w:szCs w:val="16"/>
          <w:color w:val="2A2A2D"/>
        </w:rPr>
        <w:t>,</w:t>
      </w:r>
      <w:r>
        <w:rPr>
          <w:rFonts w:ascii="Arial" w:cs="Arial" w:eastAsia="Arial" w:hAnsi="Arial"/>
          <w:sz w:val="16"/>
          <w:szCs w:val="16"/>
          <w:color w:val="110E13"/>
        </w:rPr>
        <w:t xml:space="preserve"> arbitration or other proceeding against or involving the Company or any of its current or former directors or officers (including derivative actions) in order to effect or take any of the actions expressly prohibited by this paragraph</w:t>
      </w:r>
      <w:r>
        <w:rPr>
          <w:rFonts w:ascii="Arial" w:cs="Arial" w:eastAsia="Arial" w:hAnsi="Arial"/>
          <w:sz w:val="16"/>
          <w:szCs w:val="16"/>
          <w:color w:val="2A2A2D"/>
        </w:rPr>
        <w:t>;</w:t>
      </w:r>
      <w:r>
        <w:rPr>
          <w:rFonts w:ascii="Arial" w:cs="Arial" w:eastAsia="Arial" w:hAnsi="Arial"/>
          <w:sz w:val="16"/>
          <w:szCs w:val="16"/>
          <w:color w:val="110E13"/>
        </w:rPr>
        <w:t xml:space="preserve"> </w:t>
      </w:r>
      <w:r>
        <w:rPr>
          <w:rFonts w:ascii="Arial" w:cs="Arial" w:eastAsia="Arial" w:hAnsi="Arial"/>
          <w:sz w:val="16"/>
          <w:szCs w:val="16"/>
          <w:i w:val="1"/>
          <w:iCs w:val="1"/>
          <w:color w:val="110E13"/>
        </w:rPr>
        <w:t>provided</w:t>
      </w:r>
      <w:r>
        <w:rPr>
          <w:rFonts w:ascii="Arial" w:cs="Arial" w:eastAsia="Arial" w:hAnsi="Arial"/>
          <w:sz w:val="16"/>
          <w:szCs w:val="16"/>
          <w:i w:val="1"/>
          <w:iCs w:val="1"/>
          <w:color w:val="2A2A2D"/>
        </w:rPr>
        <w:t>,</w:t>
      </w:r>
      <w:r>
        <w:rPr>
          <w:rFonts w:ascii="Arial" w:cs="Arial" w:eastAsia="Arial" w:hAnsi="Arial"/>
          <w:sz w:val="16"/>
          <w:szCs w:val="16"/>
          <w:color w:val="110E13"/>
        </w:rPr>
        <w:t xml:space="preserve"> however</w:t>
      </w:r>
      <w:r>
        <w:rPr>
          <w:rFonts w:ascii="Arial" w:cs="Arial" w:eastAsia="Arial" w:hAnsi="Arial"/>
          <w:sz w:val="16"/>
          <w:szCs w:val="16"/>
          <w:color w:val="2A2A2D"/>
        </w:rPr>
        <w:t>,</w:t>
      </w:r>
      <w:r>
        <w:rPr>
          <w:rFonts w:ascii="Arial" w:cs="Arial" w:eastAsia="Arial" w:hAnsi="Arial"/>
          <w:sz w:val="16"/>
          <w:szCs w:val="16"/>
          <w:color w:val="110E13"/>
        </w:rPr>
        <w:t xml:space="preserve"> that for the avoidance of doubt the foregoing shall not prevent any Purchaser Affiliate from </w:t>
      </w:r>
      <w:r>
        <w:rPr>
          <w:rFonts w:ascii="Arial" w:cs="Arial" w:eastAsia="Arial" w:hAnsi="Arial"/>
          <w:sz w:val="16"/>
          <w:szCs w:val="16"/>
          <w:color w:val="110F13"/>
        </w:rPr>
        <w:t>bringing litigation to enforce the provisions of this Agreement</w:t>
      </w:r>
      <w:r>
        <w:rPr>
          <w:rFonts w:ascii="Arial" w:cs="Arial" w:eastAsia="Arial" w:hAnsi="Arial"/>
          <w:sz w:val="16"/>
          <w:szCs w:val="16"/>
          <w:color w:val="2A2A2D"/>
        </w:rPr>
        <w:t>,</w:t>
      </w:r>
      <w:r>
        <w:rPr>
          <w:rFonts w:ascii="Arial" w:cs="Arial" w:eastAsia="Arial" w:hAnsi="Arial"/>
          <w:sz w:val="16"/>
          <w:szCs w:val="16"/>
          <w:color w:val="110E13"/>
        </w:rPr>
        <w:t xml:space="preserve"> </w:t>
      </w:r>
      <w:r>
        <w:rPr>
          <w:rFonts w:ascii="Arial" w:cs="Arial" w:eastAsia="Arial" w:hAnsi="Arial"/>
          <w:sz w:val="16"/>
          <w:szCs w:val="16"/>
          <w:color w:val="110F13"/>
        </w:rPr>
        <w:t>making counterclaims with respect to any proceeding initiated by</w:t>
      </w:r>
      <w:r>
        <w:rPr>
          <w:rFonts w:ascii="Arial" w:cs="Arial" w:eastAsia="Arial" w:hAnsi="Arial"/>
          <w:sz w:val="16"/>
          <w:szCs w:val="16"/>
          <w:color w:val="2A2A2D"/>
        </w:rPr>
        <w:t>,</w:t>
      </w:r>
      <w:r>
        <w:rPr>
          <w:rFonts w:ascii="Arial" w:cs="Arial" w:eastAsia="Arial" w:hAnsi="Arial"/>
          <w:sz w:val="16"/>
          <w:szCs w:val="16"/>
          <w:color w:val="110F13"/>
        </w:rPr>
        <w:t xml:space="preserve"> or on behalf of</w:t>
      </w:r>
      <w:r>
        <w:rPr>
          <w:rFonts w:ascii="Arial" w:cs="Arial" w:eastAsia="Arial" w:hAnsi="Arial"/>
          <w:sz w:val="16"/>
          <w:szCs w:val="16"/>
          <w:color w:val="2A2A2D"/>
        </w:rPr>
        <w:t>,</w:t>
      </w:r>
      <w:r>
        <w:rPr>
          <w:rFonts w:ascii="Arial" w:cs="Arial" w:eastAsia="Arial" w:hAnsi="Arial"/>
          <w:sz w:val="16"/>
          <w:szCs w:val="16"/>
          <w:color w:val="110F13"/>
        </w:rPr>
        <w:t xml:space="preserve"> the Company or any other Person against a Purchaser Affiliate</w:t>
      </w:r>
      <w:r>
        <w:rPr>
          <w:rFonts w:ascii="Arial" w:cs="Arial" w:eastAsia="Arial" w:hAnsi="Arial"/>
          <w:sz w:val="16"/>
          <w:szCs w:val="16"/>
          <w:color w:val="2A2A2D"/>
        </w:rPr>
        <w:t>,</w:t>
      </w:r>
      <w:r>
        <w:rPr>
          <w:rFonts w:ascii="Arial" w:cs="Arial" w:eastAsia="Arial" w:hAnsi="Arial"/>
          <w:sz w:val="16"/>
          <w:szCs w:val="16"/>
          <w:color w:val="110F13"/>
        </w:rPr>
        <w:t xml:space="preserve"> bringing </w:t>
      </w:r>
      <w:r>
        <w:rPr>
          <w:rFonts w:ascii="Arial" w:cs="Arial" w:eastAsia="Arial" w:hAnsi="Arial"/>
          <w:sz w:val="16"/>
          <w:szCs w:val="16"/>
          <w:i w:val="1"/>
          <w:iCs w:val="1"/>
          <w:color w:val="110F13"/>
        </w:rPr>
        <w:t xml:space="preserve">bona fide </w:t>
      </w:r>
      <w:r>
        <w:rPr>
          <w:rFonts w:ascii="Arial" w:cs="Arial" w:eastAsia="Arial" w:hAnsi="Arial"/>
          <w:sz w:val="16"/>
          <w:szCs w:val="16"/>
          <w:color w:val="110F13"/>
        </w:rPr>
        <w:t>commercial disputes that do not relate to the subject matter of this Agreement or the topics covered in the correspondence between the Company</w:t>
      </w:r>
      <w:r>
        <w:rPr>
          <w:rFonts w:ascii="Arial" w:cs="Arial" w:eastAsia="Arial" w:hAnsi="Arial"/>
          <w:sz w:val="16"/>
          <w:szCs w:val="16"/>
          <w:i w:val="1"/>
          <w:iCs w:val="1"/>
          <w:color w:val="110F13"/>
        </w:rPr>
        <w:t xml:space="preserve"> </w:t>
      </w:r>
      <w:r>
        <w:rPr>
          <w:rFonts w:ascii="Arial" w:cs="Arial" w:eastAsia="Arial" w:hAnsi="Arial"/>
          <w:sz w:val="16"/>
          <w:szCs w:val="16"/>
          <w:color w:val="110F13"/>
        </w:rPr>
        <w:t>and the Purchaser Affiliates prior to the date hereof</w:t>
      </w:r>
      <w:r>
        <w:rPr>
          <w:rFonts w:ascii="Arial" w:cs="Arial" w:eastAsia="Arial" w:hAnsi="Arial"/>
          <w:sz w:val="16"/>
          <w:szCs w:val="16"/>
          <w:color w:val="2A2A2D"/>
        </w:rPr>
        <w:t>,</w:t>
      </w:r>
      <w:r>
        <w:rPr>
          <w:rFonts w:ascii="Arial" w:cs="Arial" w:eastAsia="Arial" w:hAnsi="Arial"/>
          <w:sz w:val="16"/>
          <w:szCs w:val="16"/>
          <w:color w:val="110F13"/>
        </w:rPr>
        <w:t xml:space="preserve"> or exercising statutory appraisal rights</w:t>
      </w:r>
      <w:r>
        <w:rPr>
          <w:rFonts w:ascii="Arial" w:cs="Arial" w:eastAsia="Arial" w:hAnsi="Arial"/>
          <w:sz w:val="16"/>
          <w:szCs w:val="16"/>
          <w:color w:val="2A2A2D"/>
        </w:rPr>
        <w:t>;</w:t>
      </w:r>
      <w:r>
        <w:rPr>
          <w:rFonts w:ascii="Arial" w:cs="Arial" w:eastAsia="Arial" w:hAnsi="Arial"/>
          <w:sz w:val="16"/>
          <w:szCs w:val="16"/>
          <w:color w:val="110F13"/>
        </w:rPr>
        <w:t xml:space="preserve"> </w:t>
      </w:r>
      <w:r>
        <w:rPr>
          <w:rFonts w:ascii="Arial" w:cs="Arial" w:eastAsia="Arial" w:hAnsi="Arial"/>
          <w:sz w:val="16"/>
          <w:szCs w:val="16"/>
          <w:i w:val="1"/>
          <w:iCs w:val="1"/>
          <w:color w:val="110F13"/>
        </w:rPr>
        <w:t>provided, further</w:t>
      </w:r>
      <w:r>
        <w:rPr>
          <w:rFonts w:ascii="Arial" w:cs="Arial" w:eastAsia="Arial" w:hAnsi="Arial"/>
          <w:sz w:val="16"/>
          <w:szCs w:val="16"/>
          <w:i w:val="1"/>
          <w:iCs w:val="1"/>
          <w:color w:val="2A2A2D"/>
        </w:rPr>
        <w:t>,</w:t>
      </w:r>
      <w:r>
        <w:rPr>
          <w:rFonts w:ascii="Arial" w:cs="Arial" w:eastAsia="Arial" w:hAnsi="Arial"/>
          <w:sz w:val="16"/>
          <w:szCs w:val="16"/>
          <w:color w:val="110F13"/>
        </w:rPr>
        <w:t xml:space="preserve"> that the foregoing shall also not prevent the Purchaser Affiliates from responding to or complying with a validly issued legal process</w:t>
      </w:r>
      <w:r>
        <w:rPr>
          <w:rFonts w:ascii="Arial" w:cs="Arial" w:eastAsia="Arial" w:hAnsi="Arial"/>
          <w:sz w:val="16"/>
          <w:szCs w:val="16"/>
          <w:color w:val="2A2A2D"/>
        </w:rPr>
        <w:t>;</w:t>
      </w:r>
    </w:p>
    <w:p>
      <w:pPr>
        <w:spacing w:after="0" w:line="137" w:lineRule="exact"/>
        <w:rPr>
          <w:rFonts w:ascii="Arial" w:cs="Arial" w:eastAsia="Arial" w:hAnsi="Arial"/>
          <w:sz w:val="16"/>
          <w:szCs w:val="16"/>
          <w:color w:val="auto"/>
        </w:rPr>
      </w:pPr>
    </w:p>
    <w:p>
      <w:pPr>
        <w:ind w:left="500" w:right="180" w:firstLine="504"/>
        <w:spacing w:after="0" w:line="271" w:lineRule="auto"/>
        <w:tabs>
          <w:tab w:leader="none" w:pos="1513" w:val="left"/>
        </w:tabs>
        <w:numPr>
          <w:ilvl w:val="1"/>
          <w:numId w:val="109"/>
        </w:numPr>
        <w:rPr>
          <w:rFonts w:ascii="Arial" w:cs="Arial" w:eastAsia="Arial" w:hAnsi="Arial"/>
          <w:sz w:val="17"/>
          <w:szCs w:val="17"/>
          <w:color w:val="auto"/>
        </w:rPr>
      </w:pPr>
      <w:r>
        <w:rPr>
          <w:rFonts w:ascii="Arial" w:cs="Arial" w:eastAsia="Arial" w:hAnsi="Arial"/>
          <w:sz w:val="17"/>
          <w:szCs w:val="17"/>
          <w:color w:val="110E13"/>
        </w:rPr>
        <w:t>enter into any negotiations</w:t>
      </w:r>
      <w:r>
        <w:rPr>
          <w:rFonts w:ascii="Arial" w:cs="Arial" w:eastAsia="Arial" w:hAnsi="Arial"/>
          <w:sz w:val="17"/>
          <w:szCs w:val="17"/>
          <w:color w:val="2A2A2D"/>
        </w:rPr>
        <w:t>,</w:t>
      </w:r>
      <w:r>
        <w:rPr>
          <w:rFonts w:ascii="Arial" w:cs="Arial" w:eastAsia="Arial" w:hAnsi="Arial"/>
          <w:sz w:val="17"/>
          <w:szCs w:val="17"/>
          <w:color w:val="110E13"/>
        </w:rPr>
        <w:t xml:space="preserve"> agreements or understandings with any Third Party to take any action that the Purchaser Affiliates are prohibited from taking pursuant to this Section 4.03</w:t>
      </w:r>
      <w:r>
        <w:rPr>
          <w:rFonts w:ascii="Arial" w:cs="Arial" w:eastAsia="Arial" w:hAnsi="Arial"/>
          <w:sz w:val="17"/>
          <w:szCs w:val="17"/>
          <w:color w:val="2A2A2D"/>
        </w:rPr>
        <w:t>;</w:t>
      </w:r>
      <w:r>
        <w:rPr>
          <w:rFonts w:ascii="Arial" w:cs="Arial" w:eastAsia="Arial" w:hAnsi="Arial"/>
          <w:sz w:val="17"/>
          <w:szCs w:val="17"/>
          <w:color w:val="110E13"/>
        </w:rPr>
        <w:t xml:space="preserve"> or</w:t>
      </w:r>
    </w:p>
    <w:p>
      <w:pPr>
        <w:spacing w:after="0" w:line="142" w:lineRule="exact"/>
        <w:rPr>
          <w:rFonts w:ascii="Arial" w:cs="Arial" w:eastAsia="Arial" w:hAnsi="Arial"/>
          <w:sz w:val="17"/>
          <w:szCs w:val="17"/>
          <w:color w:val="auto"/>
        </w:rPr>
      </w:pPr>
    </w:p>
    <w:p>
      <w:pPr>
        <w:ind w:left="500" w:right="340" w:firstLine="504"/>
        <w:spacing w:after="0" w:line="271" w:lineRule="auto"/>
        <w:tabs>
          <w:tab w:leader="none" w:pos="1518" w:val="left"/>
        </w:tabs>
        <w:numPr>
          <w:ilvl w:val="1"/>
          <w:numId w:val="109"/>
        </w:numPr>
        <w:rPr>
          <w:rFonts w:ascii="Arial" w:cs="Arial" w:eastAsia="Arial" w:hAnsi="Arial"/>
          <w:sz w:val="17"/>
          <w:szCs w:val="17"/>
          <w:color w:val="auto"/>
        </w:rPr>
      </w:pPr>
      <w:r>
        <w:rPr>
          <w:rFonts w:ascii="Arial" w:cs="Arial" w:eastAsia="Arial" w:hAnsi="Arial"/>
          <w:sz w:val="17"/>
          <w:szCs w:val="17"/>
          <w:color w:val="110E13"/>
        </w:rPr>
        <w:t>make any request or submit any proposal</w:t>
      </w:r>
      <w:r>
        <w:rPr>
          <w:rFonts w:ascii="Arial" w:cs="Arial" w:eastAsia="Arial" w:hAnsi="Arial"/>
          <w:sz w:val="17"/>
          <w:szCs w:val="17"/>
          <w:color w:val="2A2A2D"/>
        </w:rPr>
        <w:t>,</w:t>
      </w:r>
      <w:r>
        <w:rPr>
          <w:rFonts w:ascii="Arial" w:cs="Arial" w:eastAsia="Arial" w:hAnsi="Arial"/>
          <w:sz w:val="17"/>
          <w:szCs w:val="17"/>
          <w:color w:val="110E13"/>
        </w:rPr>
        <w:t xml:space="preserve"> directly or indirectly</w:t>
      </w:r>
      <w:r>
        <w:rPr>
          <w:rFonts w:ascii="Arial" w:cs="Arial" w:eastAsia="Arial" w:hAnsi="Arial"/>
          <w:sz w:val="17"/>
          <w:szCs w:val="17"/>
          <w:color w:val="2A2A2D"/>
        </w:rPr>
        <w:t>,</w:t>
      </w:r>
      <w:r>
        <w:rPr>
          <w:rFonts w:ascii="Arial" w:cs="Arial" w:eastAsia="Arial" w:hAnsi="Arial"/>
          <w:sz w:val="17"/>
          <w:szCs w:val="17"/>
          <w:color w:val="110E13"/>
        </w:rPr>
        <w:t xml:space="preserve"> to amend or waive the terms of this Agreement</w:t>
      </w:r>
      <w:r>
        <w:rPr>
          <w:rFonts w:ascii="Arial" w:cs="Arial" w:eastAsia="Arial" w:hAnsi="Arial"/>
          <w:sz w:val="17"/>
          <w:szCs w:val="17"/>
          <w:color w:val="2A2A2D"/>
        </w:rPr>
        <w:t>,</w:t>
      </w:r>
      <w:r>
        <w:rPr>
          <w:rFonts w:ascii="Arial" w:cs="Arial" w:eastAsia="Arial" w:hAnsi="Arial"/>
          <w:sz w:val="17"/>
          <w:szCs w:val="17"/>
          <w:color w:val="110E13"/>
        </w:rPr>
        <w:t xml:space="preserve"> in each case which would reasonably be expected to result in a public announcement of such request or proposal.</w:t>
      </w:r>
    </w:p>
    <w:p>
      <w:pPr>
        <w:spacing w:after="0" w:line="131" w:lineRule="exact"/>
        <w:rPr>
          <w:rFonts w:ascii="Arial" w:cs="Arial" w:eastAsia="Arial" w:hAnsi="Arial"/>
          <w:sz w:val="17"/>
          <w:szCs w:val="17"/>
          <w:color w:val="auto"/>
        </w:rPr>
      </w:pPr>
    </w:p>
    <w:p>
      <w:pPr>
        <w:ind w:left="-20" w:firstLine="514"/>
        <w:spacing w:after="0" w:line="273" w:lineRule="auto"/>
        <w:tabs>
          <w:tab w:leader="none" w:pos="99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The restrictions in Section 4.03(a) shall terminate automatically upon the earliest of the announcement by the Company of a definitive agreement with respect to any Extraordinary Transaction that would directly or indirectly result in the acquisition of beneficial ownership by any person or group of 50% or more of the outstanding </w:t>
      </w:r>
      <w:r>
        <w:rPr>
          <w:rFonts w:ascii="Arial" w:cs="Arial" w:eastAsia="Arial" w:hAnsi="Arial"/>
          <w:sz w:val="16"/>
          <w:szCs w:val="16"/>
          <w:color w:val="110F13"/>
        </w:rPr>
        <w:t>Company Common Stock</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F13"/>
        </w:rPr>
        <w:t>50% or more of the voting power of the outstanding Voting Stock or all or substantially all of the Company’s assets and</w:t>
      </w:r>
      <w:r>
        <w:rPr>
          <w:rFonts w:ascii="Arial" w:cs="Arial" w:eastAsia="Arial" w:hAnsi="Arial"/>
          <w:sz w:val="16"/>
          <w:szCs w:val="16"/>
          <w:color w:val="auto"/>
        </w:rPr>
        <w:t xml:space="preserve"> </w:t>
      </w:r>
      <w:r>
        <w:rPr>
          <w:rFonts w:ascii="Arial" w:cs="Arial" w:eastAsia="Arial" w:hAnsi="Arial"/>
          <w:sz w:val="16"/>
          <w:szCs w:val="16"/>
          <w:color w:val="110F13"/>
        </w:rPr>
        <w:t>the commencement of any tender or exchange offer (by a person other than the Purchaser or its Affiliates)</w:t>
      </w:r>
      <w:r>
        <w:rPr>
          <w:rFonts w:ascii="Arial" w:cs="Arial" w:eastAsia="Arial" w:hAnsi="Arial"/>
          <w:sz w:val="16"/>
          <w:szCs w:val="16"/>
          <w:color w:val="2A2A2D"/>
        </w:rPr>
        <w:t>,</w:t>
      </w:r>
      <w:r>
        <w:rPr>
          <w:rFonts w:ascii="Arial" w:cs="Arial" w:eastAsia="Arial" w:hAnsi="Arial"/>
          <w:sz w:val="16"/>
          <w:szCs w:val="16"/>
          <w:color w:val="110F13"/>
        </w:rPr>
        <w:t xml:space="preserve"> which</w:t>
      </w:r>
      <w:r>
        <w:rPr>
          <w:rFonts w:ascii="Arial" w:cs="Arial" w:eastAsia="Arial" w:hAnsi="Arial"/>
          <w:sz w:val="16"/>
          <w:szCs w:val="16"/>
          <w:color w:val="2A2A2D"/>
        </w:rPr>
        <w:t>,</w:t>
      </w:r>
      <w:r>
        <w:rPr>
          <w:rFonts w:ascii="Arial" w:cs="Arial" w:eastAsia="Arial" w:hAnsi="Arial"/>
          <w:sz w:val="16"/>
          <w:szCs w:val="16"/>
          <w:color w:val="110F13"/>
        </w:rPr>
        <w:t xml:space="preserve"> if consummated</w:t>
      </w:r>
      <w:r>
        <w:rPr>
          <w:rFonts w:ascii="Arial" w:cs="Arial" w:eastAsia="Arial" w:hAnsi="Arial"/>
          <w:sz w:val="16"/>
          <w:szCs w:val="16"/>
          <w:color w:val="2A2A2D"/>
        </w:rPr>
        <w:t>,</w:t>
      </w:r>
      <w:r>
        <w:rPr>
          <w:rFonts w:ascii="Arial" w:cs="Arial" w:eastAsia="Arial" w:hAnsi="Arial"/>
          <w:sz w:val="16"/>
          <w:szCs w:val="16"/>
          <w:color w:val="110F13"/>
        </w:rPr>
        <w:t xml:space="preserve"> would constitute an Extraordinary Transaction that would directly or indirectly result in the acquisition of beneficial ownership by any person or group of 50%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163" w:right="339" w:bottom="1440" w:gutter="0" w:footer="0" w:header="0"/>
        </w:sectPr>
      </w:pPr>
    </w:p>
    <w:bookmarkStart w:id="155" w:name="page156"/>
    <w:bookmarkEnd w:id="155"/>
    <w:p>
      <w:pPr>
        <w:ind w:right="20"/>
        <w:spacing w:after="0" w:line="259" w:lineRule="auto"/>
        <w:rPr>
          <w:sz w:val="20"/>
          <w:szCs w:val="20"/>
          <w:color w:val="auto"/>
        </w:rPr>
      </w:pPr>
      <w:r>
        <w:rPr>
          <w:rFonts w:ascii="Arial" w:cs="Arial" w:eastAsia="Arial" w:hAnsi="Arial"/>
          <w:sz w:val="17"/>
          <w:szCs w:val="17"/>
          <w:color w:val="110F13"/>
        </w:rPr>
        <w:t xml:space="preserve">or more of the outstanding Company Common Stock or 50% or more of the voting power of the outstanding </w:t>
      </w:r>
      <w:r>
        <w:rPr>
          <w:rFonts w:ascii="Arial" w:cs="Arial" w:eastAsia="Arial" w:hAnsi="Arial"/>
          <w:sz w:val="17"/>
          <w:szCs w:val="17"/>
          <w:color w:val="000000"/>
        </w:rPr>
        <w:t>Voting</w:t>
      </w:r>
      <w:r>
        <w:rPr>
          <w:rFonts w:ascii="Arial" w:cs="Arial" w:eastAsia="Arial" w:hAnsi="Arial"/>
          <w:sz w:val="17"/>
          <w:szCs w:val="17"/>
          <w:color w:val="110F13"/>
        </w:rPr>
        <w:t xml:space="preserve"> Stock</w:t>
      </w:r>
      <w:r>
        <w:rPr>
          <w:rFonts w:ascii="Arial" w:cs="Arial" w:eastAsia="Arial" w:hAnsi="Arial"/>
          <w:sz w:val="17"/>
          <w:szCs w:val="17"/>
          <w:color w:val="2A2A2D"/>
        </w:rPr>
        <w:t>,</w:t>
      </w:r>
      <w:r>
        <w:rPr>
          <w:rFonts w:ascii="Arial" w:cs="Arial" w:eastAsia="Arial" w:hAnsi="Arial"/>
          <w:sz w:val="17"/>
          <w:szCs w:val="17"/>
          <w:color w:val="110F13"/>
        </w:rPr>
        <w:t xml:space="preserve"> where the Company files a Schedule 14D-9 (or any amendment thereto)</w:t>
      </w:r>
      <w:r>
        <w:rPr>
          <w:rFonts w:ascii="Arial" w:cs="Arial" w:eastAsia="Arial" w:hAnsi="Arial"/>
          <w:sz w:val="17"/>
          <w:szCs w:val="17"/>
          <w:color w:val="2A2A2D"/>
        </w:rPr>
        <w:t>,</w:t>
      </w:r>
      <w:r>
        <w:rPr>
          <w:rFonts w:ascii="Arial" w:cs="Arial" w:eastAsia="Arial" w:hAnsi="Arial"/>
          <w:sz w:val="17"/>
          <w:szCs w:val="17"/>
          <w:color w:val="110F13"/>
        </w:rPr>
        <w:t xml:space="preserve"> other than a </w:t>
      </w:r>
      <w:r>
        <w:rPr>
          <w:rFonts w:ascii="Arial" w:cs="Arial" w:eastAsia="Arial" w:hAnsi="Arial"/>
          <w:sz w:val="17"/>
          <w:szCs w:val="17"/>
          <w:color w:val="2A2A2D"/>
        </w:rPr>
        <w:t>“</w:t>
      </w:r>
      <w:r>
        <w:rPr>
          <w:rFonts w:ascii="Arial" w:cs="Arial" w:eastAsia="Arial" w:hAnsi="Arial"/>
          <w:sz w:val="17"/>
          <w:szCs w:val="17"/>
          <w:color w:val="110F13"/>
        </w:rPr>
        <w:t>stop</w:t>
      </w:r>
      <w:r>
        <w:rPr>
          <w:rFonts w:ascii="Arial" w:cs="Arial" w:eastAsia="Arial" w:hAnsi="Arial"/>
          <w:sz w:val="17"/>
          <w:szCs w:val="17"/>
          <w:color w:val="2A2A2D"/>
        </w:rPr>
        <w:t>,</w:t>
      </w:r>
      <w:r>
        <w:rPr>
          <w:rFonts w:ascii="Arial" w:cs="Arial" w:eastAsia="Arial" w:hAnsi="Arial"/>
          <w:sz w:val="17"/>
          <w:szCs w:val="17"/>
          <w:color w:val="110F13"/>
        </w:rPr>
        <w:t xml:space="preserve"> look and listen</w:t>
      </w:r>
      <w:r>
        <w:rPr>
          <w:rFonts w:ascii="Arial" w:cs="Arial" w:eastAsia="Arial" w:hAnsi="Arial"/>
          <w:sz w:val="17"/>
          <w:szCs w:val="17"/>
          <w:color w:val="2A2A2D"/>
        </w:rPr>
        <w:t>”</w:t>
      </w:r>
      <w:r>
        <w:rPr>
          <w:rFonts w:ascii="Arial" w:cs="Arial" w:eastAsia="Arial" w:hAnsi="Arial"/>
          <w:sz w:val="17"/>
          <w:szCs w:val="17"/>
          <w:color w:val="110F13"/>
        </w:rPr>
        <w:t xml:space="preserve"> communication by the Company pursuant to Rule 14d-9(f) promulgated under the Exchange Act</w:t>
      </w:r>
      <w:r>
        <w:rPr>
          <w:rFonts w:ascii="Arial" w:cs="Arial" w:eastAsia="Arial" w:hAnsi="Arial"/>
          <w:sz w:val="17"/>
          <w:szCs w:val="17"/>
          <w:color w:val="2A2A2B"/>
        </w:rPr>
        <w:t>,</w:t>
      </w:r>
      <w:r>
        <w:rPr>
          <w:rFonts w:ascii="Arial" w:cs="Arial" w:eastAsia="Arial" w:hAnsi="Arial"/>
          <w:sz w:val="17"/>
          <w:szCs w:val="17"/>
          <w:color w:val="110F13"/>
        </w:rPr>
        <w:t xml:space="preserve"> that does not recommend that the Company’s stockholders reject such tender or exchange offer.</w:t>
      </w:r>
    </w:p>
    <w:p>
      <w:pPr>
        <w:spacing w:after="0" w:line="142" w:lineRule="exact"/>
        <w:rPr>
          <w:sz w:val="20"/>
          <w:szCs w:val="20"/>
          <w:color w:val="auto"/>
        </w:rPr>
      </w:pPr>
    </w:p>
    <w:p>
      <w:pPr>
        <w:ind w:firstLine="514"/>
        <w:spacing w:after="0" w:line="251" w:lineRule="auto"/>
        <w:tabs>
          <w:tab w:leader="none" w:pos="100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Nothing in this Section 4.03 shall prevent any Purchaser Affiliate from making (x) any public or private statement or announcement with respect to an Extraordinary Transaction that is publicly announced by the Company or a Third Party (and nothing in this Agreement shall prevent the Company from responding to such statements)</w:t>
      </w:r>
      <w:r>
        <w:rPr>
          <w:rFonts w:ascii="Arial" w:cs="Arial" w:eastAsia="Arial" w:hAnsi="Arial"/>
          <w:sz w:val="17"/>
          <w:szCs w:val="17"/>
          <w:color w:val="2A2A2B"/>
        </w:rPr>
        <w:t>,</w:t>
      </w:r>
      <w:r>
        <w:rPr>
          <w:rFonts w:ascii="Arial" w:cs="Arial" w:eastAsia="Arial" w:hAnsi="Arial"/>
          <w:sz w:val="17"/>
          <w:szCs w:val="17"/>
          <w:color w:val="auto"/>
        </w:rPr>
        <w:t xml:space="preserve"> (y) any factual statement as required by applicable legal process</w:t>
      </w:r>
      <w:r>
        <w:rPr>
          <w:rFonts w:ascii="Arial" w:cs="Arial" w:eastAsia="Arial" w:hAnsi="Arial"/>
          <w:sz w:val="17"/>
          <w:szCs w:val="17"/>
          <w:color w:val="2A2A2B"/>
        </w:rPr>
        <w:t>,</w:t>
      </w:r>
      <w:r>
        <w:rPr>
          <w:rFonts w:ascii="Arial" w:cs="Arial" w:eastAsia="Arial" w:hAnsi="Arial"/>
          <w:sz w:val="17"/>
          <w:szCs w:val="17"/>
          <w:color w:val="auto"/>
        </w:rPr>
        <w:t xml:space="preserve"> subpoena</w:t>
      </w:r>
      <w:r>
        <w:rPr>
          <w:rFonts w:ascii="Arial" w:cs="Arial" w:eastAsia="Arial" w:hAnsi="Arial"/>
          <w:sz w:val="17"/>
          <w:szCs w:val="17"/>
          <w:color w:val="2A2A2B"/>
        </w:rPr>
        <w:t>,</w:t>
      </w:r>
      <w:r>
        <w:rPr>
          <w:rFonts w:ascii="Arial" w:cs="Arial" w:eastAsia="Arial" w:hAnsi="Arial"/>
          <w:sz w:val="17"/>
          <w:szCs w:val="17"/>
          <w:color w:val="auto"/>
        </w:rPr>
        <w:t xml:space="preserve"> or legal requirement or as part of a response to a request for information from any governmental authority with jurisdiction over the party from whom information is sought (so long as such request did not arise as a result of discretionary acts by the Purchaser or any of its Affiliates) or (z) any confidential oral communication or proposal to management or the Board of Directors or affect the Purchaser</w:t>
      </w:r>
      <w:r>
        <w:rPr>
          <w:rFonts w:ascii="Arial" w:cs="Arial" w:eastAsia="Arial" w:hAnsi="Arial"/>
          <w:sz w:val="17"/>
          <w:szCs w:val="17"/>
          <w:color w:val="2A2A2B"/>
        </w:rPr>
        <w:t>’</w:t>
      </w:r>
      <w:r>
        <w:rPr>
          <w:rFonts w:ascii="Arial" w:cs="Arial" w:eastAsia="Arial" w:hAnsi="Arial"/>
          <w:sz w:val="17"/>
          <w:szCs w:val="17"/>
          <w:color w:val="auto"/>
        </w:rPr>
        <w:t xml:space="preserve"> s or the Purchaser Affiliates’ ability to hold the Notes or hold or vote any shares of Company Common Stock</w:t>
      </w:r>
      <w:r>
        <w:rPr>
          <w:rFonts w:ascii="Arial" w:cs="Arial" w:eastAsia="Arial" w:hAnsi="Arial"/>
          <w:sz w:val="17"/>
          <w:szCs w:val="17"/>
          <w:color w:val="2A2A2B"/>
        </w:rPr>
        <w:t>,</w:t>
      </w:r>
      <w:r>
        <w:rPr>
          <w:rFonts w:ascii="Arial" w:cs="Arial" w:eastAsia="Arial" w:hAnsi="Arial"/>
          <w:sz w:val="17"/>
          <w:szCs w:val="17"/>
          <w:color w:val="auto"/>
        </w:rPr>
        <w:t xml:space="preserve"> including the shares of Company Common Stock issuable or issued upon conversion of the Notes.</w:t>
      </w:r>
    </w:p>
    <w:p>
      <w:pPr>
        <w:spacing w:after="0" w:line="149" w:lineRule="exact"/>
        <w:rPr>
          <w:rFonts w:ascii="Arial" w:cs="Arial" w:eastAsia="Arial" w:hAnsi="Arial"/>
          <w:sz w:val="17"/>
          <w:szCs w:val="17"/>
          <w:color w:val="auto"/>
        </w:rPr>
      </w:pPr>
    </w:p>
    <w:p>
      <w:pPr>
        <w:ind w:right="20" w:firstLine="514"/>
        <w:spacing w:after="0" w:line="253" w:lineRule="auto"/>
        <w:tabs>
          <w:tab w:leader="none" w:pos="101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Notwithstanding anything in this Section 4.03 to the contrary</w:t>
      </w:r>
      <w:r>
        <w:rPr>
          <w:rFonts w:ascii="Arial" w:cs="Arial" w:eastAsia="Arial" w:hAnsi="Arial"/>
          <w:sz w:val="17"/>
          <w:szCs w:val="17"/>
          <w:color w:val="2A2A2B"/>
        </w:rPr>
        <w:t>,</w:t>
      </w:r>
      <w:r>
        <w:rPr>
          <w:rFonts w:ascii="Arial" w:cs="Arial" w:eastAsia="Arial" w:hAnsi="Arial"/>
          <w:sz w:val="17"/>
          <w:szCs w:val="17"/>
          <w:color w:val="auto"/>
        </w:rPr>
        <w:t xml:space="preserve"> the prohibitions in this Section 4.03 shall immediately terminate without further force or effect and the Purchaser and the Purchaser Affiliates shall be released from compliance therewith if the Company institutes a voluntary proceeding</w:t>
      </w:r>
      <w:r>
        <w:rPr>
          <w:rFonts w:ascii="Arial" w:cs="Arial" w:eastAsia="Arial" w:hAnsi="Arial"/>
          <w:sz w:val="17"/>
          <w:szCs w:val="17"/>
          <w:color w:val="2A2A2B"/>
        </w:rPr>
        <w:t>,</w:t>
      </w:r>
      <w:r>
        <w:rPr>
          <w:rFonts w:ascii="Arial" w:cs="Arial" w:eastAsia="Arial" w:hAnsi="Arial"/>
          <w:sz w:val="17"/>
          <w:szCs w:val="17"/>
          <w:color w:val="auto"/>
        </w:rPr>
        <w:t xml:space="preserve"> or becomes the subject of an involuntary proceeding which involuntary proceeding is not dismissed within sixty </w:t>
      </w:r>
      <w:r>
        <w:rPr>
          <w:rFonts w:ascii="Arial" w:cs="Arial" w:eastAsia="Arial" w:hAnsi="Arial"/>
          <w:sz w:val="17"/>
          <w:szCs w:val="17"/>
          <w:color w:val="110F13"/>
        </w:rPr>
        <w:t>(60) days</w:t>
      </w:r>
      <w:r>
        <w:rPr>
          <w:rFonts w:ascii="Arial" w:cs="Arial" w:eastAsia="Arial" w:hAnsi="Arial"/>
          <w:sz w:val="17"/>
          <w:szCs w:val="17"/>
          <w:color w:val="2A2A2B"/>
        </w:rPr>
        <w:t>,</w:t>
      </w:r>
      <w:r>
        <w:rPr>
          <w:rFonts w:ascii="Arial" w:cs="Arial" w:eastAsia="Arial" w:hAnsi="Arial"/>
          <w:sz w:val="17"/>
          <w:szCs w:val="17"/>
          <w:color w:val="auto"/>
        </w:rPr>
        <w:t xml:space="preserve"> </w:t>
      </w:r>
      <w:r>
        <w:rPr>
          <w:rFonts w:ascii="Arial" w:cs="Arial" w:eastAsia="Arial" w:hAnsi="Arial"/>
          <w:sz w:val="17"/>
          <w:szCs w:val="17"/>
          <w:color w:val="110F13"/>
        </w:rPr>
        <w:t>under any bankruptcy act</w:t>
      </w:r>
      <w:r>
        <w:rPr>
          <w:rFonts w:ascii="Arial" w:cs="Arial" w:eastAsia="Arial" w:hAnsi="Arial"/>
          <w:sz w:val="17"/>
          <w:szCs w:val="17"/>
          <w:color w:val="2A2A2B"/>
        </w:rPr>
        <w:t>,</w:t>
      </w:r>
      <w:r>
        <w:rPr>
          <w:rFonts w:ascii="Arial" w:cs="Arial" w:eastAsia="Arial" w:hAnsi="Arial"/>
          <w:sz w:val="17"/>
          <w:szCs w:val="17"/>
          <w:color w:val="auto"/>
        </w:rPr>
        <w:t xml:space="preserve"> </w:t>
      </w:r>
      <w:r>
        <w:rPr>
          <w:rFonts w:ascii="Arial" w:cs="Arial" w:eastAsia="Arial" w:hAnsi="Arial"/>
          <w:sz w:val="17"/>
          <w:szCs w:val="17"/>
          <w:color w:val="110F13"/>
        </w:rPr>
        <w:t>insolvency law or any law for</w:t>
      </w:r>
      <w:r>
        <w:rPr>
          <w:rFonts w:ascii="Arial" w:cs="Arial" w:eastAsia="Arial" w:hAnsi="Arial"/>
          <w:sz w:val="17"/>
          <w:szCs w:val="17"/>
          <w:color w:val="auto"/>
        </w:rPr>
        <w:t xml:space="preserve"> </w:t>
      </w:r>
      <w:r>
        <w:rPr>
          <w:rFonts w:ascii="Arial" w:cs="Arial" w:eastAsia="Arial" w:hAnsi="Arial"/>
          <w:sz w:val="17"/>
          <w:szCs w:val="17"/>
          <w:color w:val="110F13"/>
        </w:rPr>
        <w:t>the relief of debtors</w:t>
      </w:r>
      <w:r>
        <w:rPr>
          <w:rFonts w:ascii="Arial" w:cs="Arial" w:eastAsia="Arial" w:hAnsi="Arial"/>
          <w:sz w:val="17"/>
          <w:szCs w:val="17"/>
          <w:color w:val="2A2A2B"/>
        </w:rPr>
        <w:t>,</w:t>
      </w:r>
      <w:r>
        <w:rPr>
          <w:rFonts w:ascii="Arial" w:cs="Arial" w:eastAsia="Arial" w:hAnsi="Arial"/>
          <w:sz w:val="17"/>
          <w:szCs w:val="17"/>
          <w:color w:val="110F13"/>
        </w:rPr>
        <w:t xml:space="preserve"> </w:t>
      </w:r>
      <w:r>
        <w:rPr>
          <w:rFonts w:ascii="Arial" w:cs="Arial" w:eastAsia="Arial" w:hAnsi="Arial"/>
          <w:sz w:val="17"/>
          <w:szCs w:val="17"/>
          <w:color w:val="000000"/>
        </w:rPr>
        <w:t>has a receiver appointed to manage its affairs</w:t>
      </w:r>
      <w:r>
        <w:rPr>
          <w:rFonts w:ascii="Arial" w:cs="Arial" w:eastAsia="Arial" w:hAnsi="Arial"/>
          <w:sz w:val="17"/>
          <w:szCs w:val="17"/>
          <w:color w:val="2A2A2B"/>
        </w:rPr>
        <w:t>,</w:t>
      </w:r>
      <w:r>
        <w:rPr>
          <w:rFonts w:ascii="Arial" w:cs="Arial" w:eastAsia="Arial" w:hAnsi="Arial"/>
          <w:sz w:val="17"/>
          <w:szCs w:val="17"/>
          <w:color w:val="110F13"/>
        </w:rPr>
        <w:t xml:space="preserve"> </w:t>
      </w:r>
      <w:r>
        <w:rPr>
          <w:rFonts w:ascii="Arial" w:cs="Arial" w:eastAsia="Arial" w:hAnsi="Arial"/>
          <w:sz w:val="17"/>
          <w:szCs w:val="17"/>
          <w:color w:val="000000"/>
        </w:rPr>
        <w:t>which appointment is not dismissed</w:t>
      </w:r>
      <w:r>
        <w:rPr>
          <w:rFonts w:ascii="Arial" w:cs="Arial" w:eastAsia="Arial" w:hAnsi="Arial"/>
          <w:sz w:val="17"/>
          <w:szCs w:val="17"/>
          <w:color w:val="2A2A2B"/>
        </w:rPr>
        <w:t>,</w:t>
      </w:r>
      <w:r>
        <w:rPr>
          <w:rFonts w:ascii="Arial" w:cs="Arial" w:eastAsia="Arial" w:hAnsi="Arial"/>
          <w:sz w:val="17"/>
          <w:szCs w:val="17"/>
          <w:color w:val="110F13"/>
        </w:rPr>
        <w:t xml:space="preserve"> </w:t>
      </w:r>
      <w:r>
        <w:rPr>
          <w:rFonts w:ascii="Arial" w:cs="Arial" w:eastAsia="Arial" w:hAnsi="Arial"/>
          <w:sz w:val="17"/>
          <w:szCs w:val="17"/>
          <w:color w:val="000000"/>
        </w:rPr>
        <w:t>vacated or stayed within sixty (60) days or executes a general</w:t>
      </w:r>
      <w:r>
        <w:rPr>
          <w:rFonts w:ascii="Arial" w:cs="Arial" w:eastAsia="Arial" w:hAnsi="Arial"/>
          <w:sz w:val="17"/>
          <w:szCs w:val="17"/>
          <w:color w:val="110F13"/>
        </w:rPr>
        <w:t xml:space="preserve"> </w:t>
      </w:r>
      <w:r>
        <w:rPr>
          <w:rFonts w:ascii="Arial" w:cs="Arial" w:eastAsia="Arial" w:hAnsi="Arial"/>
          <w:sz w:val="17"/>
          <w:szCs w:val="17"/>
          <w:color w:val="000000"/>
        </w:rPr>
        <w:t>assignment for the benefit of creditors.</w:t>
      </w:r>
    </w:p>
    <w:p>
      <w:pPr>
        <w:spacing w:after="0" w:line="147" w:lineRule="exact"/>
        <w:rPr>
          <w:sz w:val="20"/>
          <w:szCs w:val="20"/>
          <w:color w:val="auto"/>
        </w:rPr>
      </w:pPr>
    </w:p>
    <w:p>
      <w:pPr>
        <w:ind w:right="140" w:firstLine="509"/>
        <w:spacing w:after="0" w:line="268"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Securiti</w:t>
      </w:r>
      <w:r>
        <w:rPr>
          <w:rFonts w:ascii="Arial" w:cs="Arial" w:eastAsia="Arial" w:hAnsi="Arial"/>
          <w:sz w:val="16"/>
          <w:szCs w:val="16"/>
          <w:i w:val="1"/>
          <w:iCs w:val="1"/>
          <w:color w:val="2A2A2B"/>
        </w:rPr>
        <w:t>es</w:t>
      </w:r>
      <w:r>
        <w:rPr>
          <w:rFonts w:ascii="Arial" w:cs="Arial" w:eastAsia="Arial" w:hAnsi="Arial"/>
          <w:sz w:val="16"/>
          <w:szCs w:val="16"/>
          <w:color w:val="auto"/>
        </w:rPr>
        <w:t xml:space="preserve"> </w:t>
      </w:r>
      <w:r>
        <w:rPr>
          <w:rFonts w:ascii="Arial" w:cs="Arial" w:eastAsia="Arial" w:hAnsi="Arial"/>
          <w:sz w:val="16"/>
          <w:szCs w:val="16"/>
          <w:i w:val="1"/>
          <w:iCs w:val="1"/>
          <w:color w:val="auto"/>
        </w:rPr>
        <w:t>Laws.</w:t>
      </w:r>
      <w:r>
        <w:rPr>
          <w:rFonts w:ascii="Arial" w:cs="Arial" w:eastAsia="Arial" w:hAnsi="Arial"/>
          <w:sz w:val="16"/>
          <w:szCs w:val="16"/>
          <w:color w:val="auto"/>
        </w:rPr>
        <w:t xml:space="preserve"> The Purchaser acknowledges and agrees that as of the Closing Date</w:t>
      </w:r>
      <w:r>
        <w:rPr>
          <w:rFonts w:ascii="Arial" w:cs="Arial" w:eastAsia="Arial" w:hAnsi="Arial"/>
          <w:sz w:val="16"/>
          <w:szCs w:val="16"/>
          <w:color w:val="2A2A2B"/>
        </w:rPr>
        <w:t>,</w:t>
      </w:r>
      <w:r>
        <w:rPr>
          <w:rFonts w:ascii="Arial" w:cs="Arial" w:eastAsia="Arial" w:hAnsi="Arial"/>
          <w:sz w:val="16"/>
          <w:szCs w:val="16"/>
          <w:color w:val="auto"/>
        </w:rPr>
        <w:t xml:space="preserve"> the Notes (and the shares of Company Common Stock that are issuable upon conversion of the Notes) have not been registered under the Securities Act or the securities laws of any state and that they may be sold or otherwise disposed of only in one or more transactions registered under the Securities Act and</w:t>
      </w:r>
      <w:r>
        <w:rPr>
          <w:rFonts w:ascii="Arial" w:cs="Arial" w:eastAsia="Arial" w:hAnsi="Arial"/>
          <w:sz w:val="16"/>
          <w:szCs w:val="16"/>
          <w:color w:val="2A2A2B"/>
        </w:rPr>
        <w:t>,</w:t>
      </w:r>
      <w:r>
        <w:rPr>
          <w:rFonts w:ascii="Arial" w:cs="Arial" w:eastAsia="Arial" w:hAnsi="Arial"/>
          <w:sz w:val="16"/>
          <w:szCs w:val="16"/>
          <w:color w:val="auto"/>
        </w:rPr>
        <w:t xml:space="preserve"> where applicable</w:t>
      </w:r>
      <w:r>
        <w:rPr>
          <w:rFonts w:ascii="Arial" w:cs="Arial" w:eastAsia="Arial" w:hAnsi="Arial"/>
          <w:sz w:val="16"/>
          <w:szCs w:val="16"/>
          <w:color w:val="2A2A2B"/>
        </w:rPr>
        <w:t>,</w:t>
      </w:r>
      <w:r>
        <w:rPr>
          <w:rFonts w:ascii="Arial" w:cs="Arial" w:eastAsia="Arial" w:hAnsi="Arial"/>
          <w:sz w:val="16"/>
          <w:szCs w:val="16"/>
          <w:color w:val="auto"/>
        </w:rPr>
        <w:t xml:space="preserve"> such laws</w:t>
      </w:r>
      <w:r>
        <w:rPr>
          <w:rFonts w:ascii="Arial" w:cs="Arial" w:eastAsia="Arial" w:hAnsi="Arial"/>
          <w:sz w:val="16"/>
          <w:szCs w:val="16"/>
          <w:color w:val="2A2A2B"/>
        </w:rPr>
        <w:t>,</w:t>
      </w:r>
      <w:r>
        <w:rPr>
          <w:rFonts w:ascii="Arial" w:cs="Arial" w:eastAsia="Arial" w:hAnsi="Arial"/>
          <w:sz w:val="16"/>
          <w:szCs w:val="16"/>
          <w:color w:val="auto"/>
        </w:rPr>
        <w:t xml:space="preserve"> or as to which an exemption from the registration requirements of the Securities Act and</w:t>
      </w:r>
      <w:r>
        <w:rPr>
          <w:rFonts w:ascii="Arial" w:cs="Arial" w:eastAsia="Arial" w:hAnsi="Arial"/>
          <w:sz w:val="16"/>
          <w:szCs w:val="16"/>
          <w:color w:val="2A2A2B"/>
        </w:rPr>
        <w:t>,</w:t>
      </w:r>
      <w:r>
        <w:rPr>
          <w:rFonts w:ascii="Arial" w:cs="Arial" w:eastAsia="Arial" w:hAnsi="Arial"/>
          <w:sz w:val="16"/>
          <w:szCs w:val="16"/>
          <w:color w:val="auto"/>
        </w:rPr>
        <w:t xml:space="preserve"> where applicable</w:t>
      </w:r>
      <w:r>
        <w:rPr>
          <w:rFonts w:ascii="Arial" w:cs="Arial" w:eastAsia="Arial" w:hAnsi="Arial"/>
          <w:sz w:val="16"/>
          <w:szCs w:val="16"/>
          <w:color w:val="2A2A2B"/>
        </w:rPr>
        <w:t>,</w:t>
      </w:r>
      <w:r>
        <w:rPr>
          <w:rFonts w:ascii="Arial" w:cs="Arial" w:eastAsia="Arial" w:hAnsi="Arial"/>
          <w:sz w:val="16"/>
          <w:szCs w:val="16"/>
          <w:color w:val="auto"/>
        </w:rPr>
        <w:t xml:space="preserve"> such laws</w:t>
      </w:r>
      <w:r>
        <w:rPr>
          <w:rFonts w:ascii="Arial" w:cs="Arial" w:eastAsia="Arial" w:hAnsi="Arial"/>
          <w:sz w:val="16"/>
          <w:szCs w:val="16"/>
          <w:color w:val="2A2A2B"/>
        </w:rPr>
        <w:t>,</w:t>
      </w:r>
      <w:r>
        <w:rPr>
          <w:rFonts w:ascii="Arial" w:cs="Arial" w:eastAsia="Arial" w:hAnsi="Arial"/>
          <w:sz w:val="16"/>
          <w:szCs w:val="16"/>
          <w:color w:val="auto"/>
        </w:rPr>
        <w:t xml:space="preserve"> is available</w:t>
      </w:r>
      <w:r>
        <w:rPr>
          <w:rFonts w:ascii="Arial" w:cs="Arial" w:eastAsia="Arial" w:hAnsi="Arial"/>
          <w:sz w:val="16"/>
          <w:szCs w:val="16"/>
          <w:color w:val="2A2A2B"/>
        </w:rPr>
        <w:t>,</w:t>
      </w:r>
      <w:r>
        <w:rPr>
          <w:rFonts w:ascii="Arial" w:cs="Arial" w:eastAsia="Arial" w:hAnsi="Arial"/>
          <w:sz w:val="16"/>
          <w:szCs w:val="16"/>
          <w:color w:val="auto"/>
        </w:rPr>
        <w:t xml:space="preserve"> it is the responsibility of the Purchaser to determine the applicable resale restrictions and to comply with such </w:t>
      </w:r>
      <w:r>
        <w:rPr>
          <w:rFonts w:ascii="Arial" w:cs="Arial" w:eastAsia="Arial" w:hAnsi="Arial"/>
          <w:sz w:val="16"/>
          <w:szCs w:val="16"/>
          <w:color w:val="110F13"/>
        </w:rPr>
        <w:t>restrictions in connection with any resale</w:t>
      </w:r>
      <w:r>
        <w:rPr>
          <w:rFonts w:ascii="Arial" w:cs="Arial" w:eastAsia="Arial" w:hAnsi="Arial"/>
          <w:sz w:val="16"/>
          <w:szCs w:val="16"/>
          <w:color w:val="2B2A2D"/>
        </w:rPr>
        <w:t>,</w:t>
      </w:r>
      <w:r>
        <w:rPr>
          <w:rFonts w:ascii="Arial" w:cs="Arial" w:eastAsia="Arial" w:hAnsi="Arial"/>
          <w:sz w:val="16"/>
          <w:szCs w:val="16"/>
          <w:color w:val="auto"/>
        </w:rPr>
        <w:t xml:space="preserve"> </w:t>
      </w:r>
      <w:r>
        <w:rPr>
          <w:rFonts w:ascii="Arial" w:cs="Arial" w:eastAsia="Arial" w:hAnsi="Arial"/>
          <w:sz w:val="16"/>
          <w:szCs w:val="16"/>
          <w:color w:val="110F13"/>
        </w:rPr>
        <w:t>and the Company is required to file reports containing certain business and</w:t>
      </w:r>
      <w:r>
        <w:rPr>
          <w:rFonts w:ascii="Arial" w:cs="Arial" w:eastAsia="Arial" w:hAnsi="Arial"/>
          <w:sz w:val="16"/>
          <w:szCs w:val="16"/>
          <w:color w:val="auto"/>
        </w:rPr>
        <w:t xml:space="preserve"> </w:t>
      </w:r>
      <w:r>
        <w:rPr>
          <w:rFonts w:ascii="Arial" w:cs="Arial" w:eastAsia="Arial" w:hAnsi="Arial"/>
          <w:sz w:val="16"/>
          <w:szCs w:val="16"/>
          <w:color w:val="110F13"/>
        </w:rPr>
        <w:t>financial information with the SEC and may be required to file a copy of this Agreement with the SEC</w:t>
      </w:r>
      <w:r>
        <w:rPr>
          <w:rFonts w:ascii="Arial" w:cs="Arial" w:eastAsia="Arial" w:hAnsi="Arial"/>
          <w:sz w:val="16"/>
          <w:szCs w:val="16"/>
          <w:color w:val="2B2A2D"/>
        </w:rPr>
        <w:t>,</w:t>
      </w:r>
      <w:r>
        <w:rPr>
          <w:rFonts w:ascii="Arial" w:cs="Arial" w:eastAsia="Arial" w:hAnsi="Arial"/>
          <w:sz w:val="16"/>
          <w:szCs w:val="16"/>
          <w:color w:val="110F13"/>
        </w:rPr>
        <w:t xml:space="preserve"> pursuant to the reporting requirements of the Exchange Act. The Purchaser acknowledges that the Purchaser has no right to require the Company or any of its Subsidiaries to register the Notes or the shares of Company Common Stock that are issuable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80"/>
          </w:cols>
          <w:pgMar w:left="300" w:top="1152" w:right="31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17"/>
          <w:szCs w:val="17"/>
          <w:color w:val="auto"/>
        </w:rPr>
        <w:t>Additionally</w:t>
      </w:r>
      <w:r>
        <w:rPr>
          <w:rFonts w:ascii="Arial" w:cs="Arial" w:eastAsia="Arial" w:hAnsi="Arial"/>
          <w:sz w:val="17"/>
          <w:szCs w:val="17"/>
          <w:color w:val="2B2A2D"/>
        </w:rPr>
        <w:t>,</w:t>
      </w:r>
      <w:r>
        <w:rPr>
          <w:rFonts w:ascii="Arial" w:cs="Arial" w:eastAsia="Arial" w:hAnsi="Arial"/>
          <w:sz w:val="17"/>
          <w:szCs w:val="17"/>
          <w:color w:val="auto"/>
        </w:rPr>
        <w:t xml:space="preserve"> for so long as a holder of Notes or shares of Company Common Stock is subject to any transfer restrictions set forth in the Notes or this Agreement</w:t>
      </w:r>
      <w:r>
        <w:rPr>
          <w:rFonts w:ascii="Arial" w:cs="Arial" w:eastAsia="Arial" w:hAnsi="Arial"/>
          <w:sz w:val="17"/>
          <w:szCs w:val="17"/>
          <w:color w:val="2B2A2D"/>
        </w:rPr>
        <w:t>,</w:t>
      </w:r>
      <w:r>
        <w:rPr>
          <w:rFonts w:ascii="Arial" w:cs="Arial" w:eastAsia="Arial" w:hAnsi="Arial"/>
          <w:sz w:val="17"/>
          <w:szCs w:val="17"/>
          <w:color w:val="auto"/>
        </w:rPr>
        <w:t xml:space="preserve"> the Notes will bear a legend in accordance with Section 2.05(c) of the Indenture</w:t>
      </w:r>
      <w:r>
        <w:rPr>
          <w:rFonts w:ascii="Arial" w:cs="Arial" w:eastAsia="Arial" w:hAnsi="Arial"/>
          <w:sz w:val="17"/>
          <w:szCs w:val="17"/>
          <w:color w:val="2B2A2D"/>
        </w:rPr>
        <w:t>,</w:t>
      </w:r>
      <w:r>
        <w:rPr>
          <w:rFonts w:ascii="Arial" w:cs="Arial" w:eastAsia="Arial" w:hAnsi="Arial"/>
          <w:sz w:val="17"/>
          <w:szCs w:val="17"/>
          <w:color w:val="auto"/>
        </w:rPr>
        <w:t xml:space="preserve"> and the certificates or book entry position representing such holder’s shares of Company Common Stock (as applicable) will bear or reflect a legend substantially similar to the following:</w:t>
      </w:r>
    </w:p>
    <w:p>
      <w:pPr>
        <w:spacing w:after="0" w:line="142" w:lineRule="exact"/>
        <w:rPr>
          <w:sz w:val="20"/>
          <w:szCs w:val="20"/>
          <w:color w:val="auto"/>
        </w:rPr>
      </w:pPr>
    </w:p>
    <w:p>
      <w:pPr>
        <w:ind w:left="1020" w:right="1040"/>
        <w:spacing w:after="0" w:line="310" w:lineRule="auto"/>
        <w:rPr>
          <w:sz w:val="20"/>
          <w:szCs w:val="20"/>
          <w:color w:val="auto"/>
        </w:rPr>
      </w:pPr>
      <w:r>
        <w:rPr>
          <w:rFonts w:ascii="Arial" w:cs="Arial" w:eastAsia="Arial" w:hAnsi="Arial"/>
          <w:sz w:val="15"/>
          <w:szCs w:val="15"/>
          <w:color w:val="auto"/>
        </w:rPr>
        <w:t>“This security is subject to restrictions on transfer set forth in an Investment Agreement</w:t>
      </w:r>
      <w:r>
        <w:rPr>
          <w:rFonts w:ascii="Arial" w:cs="Arial" w:eastAsia="Arial" w:hAnsi="Arial"/>
          <w:sz w:val="15"/>
          <w:szCs w:val="15"/>
          <w:color w:val="2B2A2D"/>
        </w:rPr>
        <w:t>,</w:t>
      </w:r>
      <w:r>
        <w:rPr>
          <w:rFonts w:ascii="Arial" w:cs="Arial" w:eastAsia="Arial" w:hAnsi="Arial"/>
          <w:sz w:val="15"/>
          <w:szCs w:val="15"/>
          <w:color w:val="auto"/>
        </w:rPr>
        <w:t xml:space="preserve"> dated July 6</w:t>
      </w:r>
      <w:r>
        <w:rPr>
          <w:rFonts w:ascii="Arial" w:cs="Arial" w:eastAsia="Arial" w:hAnsi="Arial"/>
          <w:sz w:val="15"/>
          <w:szCs w:val="15"/>
          <w:color w:val="2B2A2D"/>
        </w:rPr>
        <w:t>,</w:t>
      </w:r>
      <w:r>
        <w:rPr>
          <w:rFonts w:ascii="Arial" w:cs="Arial" w:eastAsia="Arial" w:hAnsi="Arial"/>
          <w:sz w:val="15"/>
          <w:szCs w:val="15"/>
          <w:color w:val="auto"/>
        </w:rPr>
        <w:t xml:space="preserve"> 2021 (as it may be amended from time to time)</w:t>
      </w:r>
      <w:r>
        <w:rPr>
          <w:rFonts w:ascii="Arial" w:cs="Arial" w:eastAsia="Arial" w:hAnsi="Arial"/>
          <w:sz w:val="15"/>
          <w:szCs w:val="15"/>
          <w:color w:val="2B2A2D"/>
        </w:rPr>
        <w:t>,</w:t>
      </w:r>
      <w:r>
        <w:rPr>
          <w:rFonts w:ascii="Arial" w:cs="Arial" w:eastAsia="Arial" w:hAnsi="Arial"/>
          <w:sz w:val="15"/>
          <w:szCs w:val="15"/>
          <w:color w:val="auto"/>
        </w:rPr>
        <w:t xml:space="preserve"> by and among the Company and certain other parties thereto</w:t>
      </w:r>
      <w:r>
        <w:rPr>
          <w:rFonts w:ascii="Arial" w:cs="Arial" w:eastAsia="Arial" w:hAnsi="Arial"/>
          <w:sz w:val="15"/>
          <w:szCs w:val="15"/>
          <w:color w:val="2B2A2D"/>
        </w:rPr>
        <w:t>,</w:t>
      </w:r>
      <w:r>
        <w:rPr>
          <w:rFonts w:ascii="Arial" w:cs="Arial" w:eastAsia="Arial" w:hAnsi="Arial"/>
          <w:sz w:val="15"/>
          <w:szCs w:val="15"/>
          <w:color w:val="auto"/>
        </w:rPr>
        <w:t xml:space="preserve"> copies of which are publicly filed or on file with the secretary of the issuer, and this security may not be offered, sold, pledged or otherwise transferred except in compliance therewith.”</w:t>
      </w:r>
    </w:p>
    <w:p>
      <w:pPr>
        <w:spacing w:after="0" w:line="106"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Lost, Stolen, Destroyed or Mutilated Securities.</w:t>
      </w:r>
      <w:r>
        <w:rPr>
          <w:rFonts w:ascii="Arial" w:cs="Arial" w:eastAsia="Arial" w:hAnsi="Arial"/>
          <w:sz w:val="17"/>
          <w:szCs w:val="17"/>
          <w:color w:val="auto"/>
        </w:rPr>
        <w:t xml:space="preserve"> Upon receipt of evidence satisfactory to the Company of the loss</w:t>
      </w:r>
      <w:r>
        <w:rPr>
          <w:rFonts w:ascii="Arial" w:cs="Arial" w:eastAsia="Arial" w:hAnsi="Arial"/>
          <w:sz w:val="17"/>
          <w:szCs w:val="17"/>
          <w:color w:val="2B2A2D"/>
        </w:rPr>
        <w:t>,</w:t>
      </w:r>
      <w:r>
        <w:rPr>
          <w:rFonts w:ascii="Arial" w:cs="Arial" w:eastAsia="Arial" w:hAnsi="Arial"/>
          <w:sz w:val="17"/>
          <w:szCs w:val="17"/>
          <w:color w:val="auto"/>
        </w:rPr>
        <w:t xml:space="preserve"> theft</w:t>
      </w:r>
      <w:r>
        <w:rPr>
          <w:rFonts w:ascii="Arial" w:cs="Arial" w:eastAsia="Arial" w:hAnsi="Arial"/>
          <w:sz w:val="17"/>
          <w:szCs w:val="17"/>
          <w:color w:val="2B2A2D"/>
        </w:rPr>
        <w:t>,</w:t>
      </w:r>
      <w:r>
        <w:rPr>
          <w:rFonts w:ascii="Arial" w:cs="Arial" w:eastAsia="Arial" w:hAnsi="Arial"/>
          <w:sz w:val="17"/>
          <w:szCs w:val="17"/>
          <w:color w:val="auto"/>
        </w:rPr>
        <w:t xml:space="preserve"> destruction or mutilation of any certificate for any security of the Company and</w:t>
      </w:r>
      <w:r>
        <w:rPr>
          <w:rFonts w:ascii="Arial" w:cs="Arial" w:eastAsia="Arial" w:hAnsi="Arial"/>
          <w:sz w:val="17"/>
          <w:szCs w:val="17"/>
          <w:color w:val="2B2A2D"/>
        </w:rPr>
        <w:t>,</w:t>
      </w:r>
      <w:r>
        <w:rPr>
          <w:rFonts w:ascii="Arial" w:cs="Arial" w:eastAsia="Arial" w:hAnsi="Arial"/>
          <w:sz w:val="17"/>
          <w:szCs w:val="17"/>
          <w:color w:val="auto"/>
        </w:rPr>
        <w:t xml:space="preserve"> in the case of loss</w:t>
      </w:r>
      <w:r>
        <w:rPr>
          <w:rFonts w:ascii="Arial" w:cs="Arial" w:eastAsia="Arial" w:hAnsi="Arial"/>
          <w:sz w:val="17"/>
          <w:szCs w:val="17"/>
          <w:color w:val="2B2A2D"/>
        </w:rPr>
        <w:t>,</w:t>
      </w:r>
      <w:r>
        <w:rPr>
          <w:rFonts w:ascii="Arial" w:cs="Arial" w:eastAsia="Arial" w:hAnsi="Arial"/>
          <w:sz w:val="17"/>
          <w:szCs w:val="17"/>
          <w:color w:val="auto"/>
        </w:rPr>
        <w:t xml:space="preserve"> theft or destruction</w:t>
      </w:r>
      <w:r>
        <w:rPr>
          <w:rFonts w:ascii="Arial" w:cs="Arial" w:eastAsia="Arial" w:hAnsi="Arial"/>
          <w:sz w:val="17"/>
          <w:szCs w:val="17"/>
          <w:color w:val="2B2A2D"/>
        </w:rPr>
        <w:t>,</w:t>
      </w:r>
      <w:r>
        <w:rPr>
          <w:rFonts w:ascii="Arial" w:cs="Arial" w:eastAsia="Arial" w:hAnsi="Arial"/>
          <w:sz w:val="17"/>
          <w:szCs w:val="17"/>
          <w:color w:val="auto"/>
        </w:rPr>
        <w:t xml:space="preserve"> upon delivery of an undertaking by the holder thereof to indemnify the Company (and</w:t>
      </w:r>
      <w:r>
        <w:rPr>
          <w:rFonts w:ascii="Arial" w:cs="Arial" w:eastAsia="Arial" w:hAnsi="Arial"/>
          <w:sz w:val="17"/>
          <w:szCs w:val="17"/>
          <w:color w:val="2B2A2D"/>
        </w:rPr>
        <w:t>,</w:t>
      </w:r>
      <w:r>
        <w:rPr>
          <w:rFonts w:ascii="Arial" w:cs="Arial" w:eastAsia="Arial" w:hAnsi="Arial"/>
          <w:sz w:val="17"/>
          <w:szCs w:val="17"/>
          <w:color w:val="auto"/>
        </w:rPr>
        <w:t xml:space="preserve"> if requested by the Company</w:t>
      </w:r>
      <w:r>
        <w:rPr>
          <w:rFonts w:ascii="Arial" w:cs="Arial" w:eastAsia="Arial" w:hAnsi="Arial"/>
          <w:sz w:val="17"/>
          <w:szCs w:val="17"/>
          <w:color w:val="2B2A2D"/>
        </w:rPr>
        <w:t>,</w:t>
      </w:r>
      <w:r>
        <w:rPr>
          <w:rFonts w:ascii="Arial" w:cs="Arial" w:eastAsia="Arial" w:hAnsi="Arial"/>
          <w:sz w:val="17"/>
          <w:szCs w:val="17"/>
          <w:color w:val="auto"/>
        </w:rPr>
        <w:t xml:space="preserve"> the delivery of an indemnity bond sufficient in the judgment of the Company to protect the Company from any loss it may suffer if a certificate is replaced)</w:t>
      </w:r>
      <w:r>
        <w:rPr>
          <w:rFonts w:ascii="Arial" w:cs="Arial" w:eastAsia="Arial" w:hAnsi="Arial"/>
          <w:sz w:val="17"/>
          <w:szCs w:val="17"/>
          <w:color w:val="2B2A2D"/>
        </w:rPr>
        <w:t>,</w:t>
      </w:r>
      <w:r>
        <w:rPr>
          <w:rFonts w:ascii="Arial" w:cs="Arial" w:eastAsia="Arial" w:hAnsi="Arial"/>
          <w:sz w:val="17"/>
          <w:szCs w:val="17"/>
          <w:color w:val="auto"/>
        </w:rPr>
        <w:t xml:space="preserve"> or</w:t>
      </w:r>
      <w:r>
        <w:rPr>
          <w:rFonts w:ascii="Arial" w:cs="Arial" w:eastAsia="Arial" w:hAnsi="Arial"/>
          <w:sz w:val="17"/>
          <w:szCs w:val="17"/>
          <w:color w:val="2B2A2D"/>
        </w:rPr>
        <w:t>,</w:t>
      </w:r>
      <w:r>
        <w:rPr>
          <w:rFonts w:ascii="Arial" w:cs="Arial" w:eastAsia="Arial" w:hAnsi="Arial"/>
          <w:sz w:val="17"/>
          <w:szCs w:val="17"/>
          <w:color w:val="auto"/>
        </w:rPr>
        <w:t xml:space="preserve"> in the case of mutilation</w:t>
      </w:r>
      <w:r>
        <w:rPr>
          <w:rFonts w:ascii="Arial" w:cs="Arial" w:eastAsia="Arial" w:hAnsi="Arial"/>
          <w:sz w:val="17"/>
          <w:szCs w:val="17"/>
          <w:color w:val="2B2A2D"/>
        </w:rPr>
        <w:t>,</w:t>
      </w:r>
      <w:r>
        <w:rPr>
          <w:rFonts w:ascii="Arial" w:cs="Arial" w:eastAsia="Arial" w:hAnsi="Arial"/>
          <w:sz w:val="17"/>
          <w:szCs w:val="17"/>
          <w:color w:val="auto"/>
        </w:rPr>
        <w:t xml:space="preserve"> upon surrender and cancellation thereof</w:t>
      </w:r>
      <w:r>
        <w:rPr>
          <w:rFonts w:ascii="Arial" w:cs="Arial" w:eastAsia="Arial" w:hAnsi="Arial"/>
          <w:sz w:val="17"/>
          <w:szCs w:val="17"/>
          <w:color w:val="2B2A2D"/>
        </w:rPr>
        <w:t>,</w:t>
      </w:r>
      <w:r>
        <w:rPr>
          <w:rFonts w:ascii="Arial" w:cs="Arial" w:eastAsia="Arial" w:hAnsi="Arial"/>
          <w:sz w:val="17"/>
          <w:szCs w:val="17"/>
          <w:color w:val="auto"/>
        </w:rPr>
        <w:t xml:space="preserve"> the Company will issue a new certificate or</w:t>
      </w:r>
      <w:r>
        <w:rPr>
          <w:rFonts w:ascii="Arial" w:cs="Arial" w:eastAsia="Arial" w:hAnsi="Arial"/>
          <w:sz w:val="17"/>
          <w:szCs w:val="17"/>
          <w:color w:val="2B2A2D"/>
        </w:rPr>
        <w:t>,</w:t>
      </w:r>
      <w:r>
        <w:rPr>
          <w:rFonts w:ascii="Arial" w:cs="Arial" w:eastAsia="Arial" w:hAnsi="Arial"/>
          <w:sz w:val="17"/>
          <w:szCs w:val="17"/>
          <w:color w:val="auto"/>
        </w:rPr>
        <w:t xml:space="preserve"> at the Company’s option</w:t>
      </w:r>
      <w:r>
        <w:rPr>
          <w:rFonts w:ascii="Arial" w:cs="Arial" w:eastAsia="Arial" w:hAnsi="Arial"/>
          <w:sz w:val="17"/>
          <w:szCs w:val="17"/>
          <w:color w:val="2B2A2D"/>
        </w:rPr>
        <w:t>,</w:t>
      </w:r>
      <w:r>
        <w:rPr>
          <w:rFonts w:ascii="Arial" w:cs="Arial" w:eastAsia="Arial" w:hAnsi="Arial"/>
          <w:sz w:val="17"/>
          <w:szCs w:val="17"/>
          <w:color w:val="auto"/>
        </w:rPr>
        <w:t xml:space="preserve"> a share ownership statement representing such securities for an equivalent number of shares or another security of like tenor</w:t>
      </w:r>
      <w:r>
        <w:rPr>
          <w:rFonts w:ascii="Arial" w:cs="Arial" w:eastAsia="Arial" w:hAnsi="Arial"/>
          <w:sz w:val="17"/>
          <w:szCs w:val="17"/>
          <w:color w:val="2B2A2D"/>
        </w:rPr>
        <w:t>,</w:t>
      </w:r>
      <w:r>
        <w:rPr>
          <w:rFonts w:ascii="Arial" w:cs="Arial" w:eastAsia="Arial" w:hAnsi="Arial"/>
          <w:sz w:val="17"/>
          <w:szCs w:val="17"/>
          <w:color w:val="auto"/>
        </w:rPr>
        <w:t xml:space="preserve"> as the case may be.</w:t>
      </w:r>
    </w:p>
    <w:p>
      <w:pPr>
        <w:spacing w:after="0" w:line="148" w:lineRule="exact"/>
        <w:rPr>
          <w:sz w:val="20"/>
          <w:szCs w:val="20"/>
          <w:color w:val="auto"/>
        </w:rPr>
      </w:pPr>
    </w:p>
    <w:p>
      <w:pPr>
        <w:ind w:firstLine="509"/>
        <w:spacing w:after="0" w:line="286"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i w:val="1"/>
          <w:iCs w:val="1"/>
          <w:color w:val="auto"/>
        </w:rPr>
        <w:t>Antitrust Approval.</w:t>
      </w:r>
      <w:r>
        <w:rPr>
          <w:rFonts w:ascii="Arial" w:cs="Arial" w:eastAsia="Arial" w:hAnsi="Arial"/>
          <w:sz w:val="15"/>
          <w:szCs w:val="15"/>
          <w:color w:val="auto"/>
        </w:rPr>
        <w:t xml:space="preserve"> The Company and the Purchaser acknowledge that one or more filings under the HSR Act or foreign antitrust laws may be necessary in connection with the issuance of shares of Company Common Stock upon conversion of the Notes. The Purchaser will promptly notify the Company if any such filing is required on the part of the Purchaser. The Company, the Purchaser and any other applicable Purchaser Affiliate will use reasonable best efforts to cooperate in timely making or causing to be made all applications and filings under the HSR Act or any foreign antitrust requirements in connection with the issuance of shares of Company Common Stock upon conversion of Notes held by the Purchaser or any Purchaser Affiliate in a timely manner and as required by the law of the applicable jurisdiction; provided that, notwithstanding anything in this Agreement to the contrary, the Company shall not have any responsibility or liability for failure of Purchaser or any of its Affiliates to comply with any applicable law. For as long as there are Notes outstanding and owned by Purchaser or its Affiliates, the Company shall as promptly as reasonably practicable provide (no more than four (4) times per calendar year) such information regarding the Company and its Subsidiaries as the Purchaser may reasonably request in order to determine what foreign antitrust requirements may exist with respect to any potential conversion of the Notes. Promptly upon request by the Purchaser, the Company will use reasonable best efforts to make all such filings and obtain all approvals and clearances as required under applicable antitrust laws in connection with the issuance of the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80"/>
          </w:cols>
          <w:pgMar w:left="300" w:top="1152" w:right="319" w:bottom="1440" w:gutter="0" w:footer="0" w:header="0"/>
        </w:sectPr>
      </w:pPr>
    </w:p>
    <w:bookmarkStart w:id="157" w:name="page158"/>
    <w:bookmarkEnd w:id="157"/>
    <w:p>
      <w:pPr>
        <w:ind w:right="40"/>
        <w:spacing w:after="0" w:line="259" w:lineRule="auto"/>
        <w:rPr>
          <w:sz w:val="20"/>
          <w:szCs w:val="20"/>
          <w:color w:val="auto"/>
        </w:rPr>
      </w:pPr>
      <w:r>
        <w:rPr>
          <w:rFonts w:ascii="Arial" w:cs="Arial" w:eastAsia="Arial" w:hAnsi="Arial"/>
          <w:sz w:val="17"/>
          <w:szCs w:val="17"/>
          <w:color w:val="auto"/>
        </w:rPr>
        <w:t>and investment in the shares of Company Common Stock upon conversion of the Notes. The Company and Purchaser will cooperate, provide all necessary information, and keep each other fully apprised with respect to such filing and regulatory processes. The Purchaser shall be responsible for the payment of the filing fees associated with any such applications or filings.</w:t>
      </w:r>
    </w:p>
    <w:p>
      <w:pPr>
        <w:spacing w:after="0" w:line="142" w:lineRule="exact"/>
        <w:rPr>
          <w:sz w:val="20"/>
          <w:szCs w:val="20"/>
          <w:color w:val="auto"/>
        </w:rPr>
      </w:pPr>
    </w:p>
    <w:p>
      <w:pPr>
        <w:ind w:right="40" w:firstLine="509"/>
        <w:spacing w:after="0" w:line="287" w:lineRule="auto"/>
        <w:rPr>
          <w:sz w:val="20"/>
          <w:szCs w:val="20"/>
          <w:color w:val="auto"/>
        </w:rPr>
      </w:pPr>
      <w:r>
        <w:rPr>
          <w:rFonts w:ascii="Arial" w:cs="Arial" w:eastAsia="Arial" w:hAnsi="Arial"/>
          <w:sz w:val="15"/>
          <w:szCs w:val="15"/>
          <w:color w:val="auto"/>
        </w:rPr>
        <w:t xml:space="preserve">Section 4.07. </w:t>
      </w:r>
      <w:r>
        <w:rPr>
          <w:rFonts w:ascii="Arial" w:cs="Arial" w:eastAsia="Arial" w:hAnsi="Arial"/>
          <w:sz w:val="15"/>
          <w:szCs w:val="15"/>
          <w:i w:val="1"/>
          <w:iCs w:val="1"/>
          <w:color w:val="auto"/>
        </w:rPr>
        <w:t>Certain Tax Matters.</w:t>
      </w:r>
      <w:r>
        <w:rPr>
          <w:rFonts w:ascii="Arial" w:cs="Arial" w:eastAsia="Arial" w:hAnsi="Arial"/>
          <w:sz w:val="15"/>
          <w:szCs w:val="15"/>
          <w:color w:val="auto"/>
        </w:rPr>
        <w:t xml:space="preserve"> Notwithstanding anything herein to the contrary, the Company shall have the right to deduct and withhold from any payment or distribution made with respect to the Notes (or the issuance of shares of Company Common Stock upon conversion of the Notes) such amounts as are required to be deducted or withheld with respect to the making of such payment or distribution (or issuance) under any applicable Tax law. In the case of deemed dividends or amounts treated as original issue discount for tax purposes, any such withholding tax may be withheld from subsequent payments on the Notes (or the issuance of shares of Company Common Stock upon conversion of the Notes, or dividends or any other amounts payable with respect to such shares). If the Company is required to remit any withholding tax payments to the applicable Governmental Entity in respect of deemed dividends or amounts treated as original issue discount for tax purposes prior to any such subsequent payment or issuance, the Purchaser shall promptly upon notice reimburse the Company for the required withholding tax payment. To the extent that any amounts are deducted or withheld as described in this Section 4.07, such deducted or withheld amounts shall be treated for all purposes of this Agreement as having been paid to the person in respect of which such deduction or withholding was made.</w:t>
      </w:r>
    </w:p>
    <w:p>
      <w:pPr>
        <w:spacing w:after="0" w:line="128"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4.08.</w:t>
      </w:r>
      <w:r>
        <w:rPr>
          <w:sz w:val="20"/>
          <w:szCs w:val="20"/>
          <w:color w:val="auto"/>
        </w:rPr>
        <w:tab/>
      </w:r>
      <w:r>
        <w:rPr>
          <w:rFonts w:ascii="Arial" w:cs="Arial" w:eastAsia="Arial" w:hAnsi="Arial"/>
          <w:sz w:val="16"/>
          <w:szCs w:val="16"/>
          <w:i w:val="1"/>
          <w:iCs w:val="1"/>
          <w:color w:val="auto"/>
        </w:rPr>
        <w:t>Confidentiality</w:t>
      </w:r>
      <w:r>
        <w:rPr>
          <w:rFonts w:ascii="Arial" w:cs="Arial" w:eastAsia="Arial" w:hAnsi="Arial"/>
          <w:sz w:val="16"/>
          <w:szCs w:val="16"/>
          <w:i w:val="1"/>
          <w:iCs w:val="1"/>
          <w:color w:val="28282A"/>
        </w:rPr>
        <w:t>.</w:t>
      </w:r>
    </w:p>
    <w:p>
      <w:pPr>
        <w:spacing w:after="0" w:line="176" w:lineRule="exact"/>
        <w:rPr>
          <w:sz w:val="20"/>
          <w:szCs w:val="20"/>
          <w:color w:val="auto"/>
        </w:rPr>
      </w:pPr>
    </w:p>
    <w:p>
      <w:pPr>
        <w:ind w:right="80" w:firstLine="514"/>
        <w:spacing w:after="0" w:line="290" w:lineRule="auto"/>
        <w:tabs>
          <w:tab w:leader="none" w:pos="1009"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Purchaser acknowledges that Confidential Information (as defined below) has been and may in the future be made available to it in connection with its investment in the Company. The Purchaser agrees that it shall</w:t>
      </w:r>
      <w:r>
        <w:rPr>
          <w:rFonts w:ascii="Arial" w:cs="Arial" w:eastAsia="Arial" w:hAnsi="Arial"/>
          <w:sz w:val="15"/>
          <w:szCs w:val="15"/>
          <w:color w:val="28282A"/>
        </w:rPr>
        <w:t>,</w:t>
      </w:r>
      <w:r>
        <w:rPr>
          <w:rFonts w:ascii="Arial" w:cs="Arial" w:eastAsia="Arial" w:hAnsi="Arial"/>
          <w:sz w:val="15"/>
          <w:szCs w:val="15"/>
          <w:color w:val="auto"/>
        </w:rPr>
        <w:t xml:space="preserve"> and shall cause any person to whom Confidential </w:t>
      </w:r>
      <w:r>
        <w:rPr>
          <w:rFonts w:ascii="Arial" w:cs="Arial" w:eastAsia="Arial" w:hAnsi="Arial"/>
          <w:sz w:val="15"/>
          <w:szCs w:val="15"/>
          <w:color w:val="110E13"/>
        </w:rPr>
        <w:t>Information is disclosed pursuant to clause</w:t>
      </w:r>
    </w:p>
    <w:p>
      <w:pPr>
        <w:ind w:firstLine="5"/>
        <w:spacing w:after="0" w:line="286" w:lineRule="auto"/>
        <w:tabs>
          <w:tab w:leader="none" w:pos="203" w:val="left"/>
        </w:tabs>
        <w:numPr>
          <w:ilvl w:val="0"/>
          <w:numId w:val="113"/>
        </w:numPr>
        <w:rPr>
          <w:rFonts w:ascii="Arial" w:cs="Arial" w:eastAsia="Arial" w:hAnsi="Arial"/>
          <w:sz w:val="15"/>
          <w:szCs w:val="15"/>
          <w:color w:val="110E13"/>
        </w:rPr>
      </w:pPr>
      <w:r>
        <w:rPr>
          <w:rFonts w:ascii="Arial" w:cs="Arial" w:eastAsia="Arial" w:hAnsi="Arial"/>
          <w:sz w:val="15"/>
          <w:szCs w:val="15"/>
          <w:color w:val="110E13"/>
        </w:rPr>
        <w:t>below (collectively</w:t>
      </w:r>
      <w:r>
        <w:rPr>
          <w:rFonts w:ascii="Arial" w:cs="Arial" w:eastAsia="Arial" w:hAnsi="Arial"/>
          <w:sz w:val="15"/>
          <w:szCs w:val="15"/>
          <w:color w:val="28282A"/>
        </w:rPr>
        <w:t>,</w:t>
      </w:r>
      <w:r>
        <w:rPr>
          <w:rFonts w:ascii="Arial" w:cs="Arial" w:eastAsia="Arial" w:hAnsi="Arial"/>
          <w:sz w:val="15"/>
          <w:szCs w:val="15"/>
          <w:color w:val="110E13"/>
        </w:rPr>
        <w:t xml:space="preserve"> “</w:t>
      </w:r>
      <w:r>
        <w:rPr>
          <w:rFonts w:ascii="Arial" w:cs="Arial" w:eastAsia="Arial" w:hAnsi="Arial"/>
          <w:sz w:val="15"/>
          <w:szCs w:val="15"/>
          <w:b w:val="1"/>
          <w:bCs w:val="1"/>
          <w:color w:val="110E13"/>
        </w:rPr>
        <w:t>Representatives</w:t>
      </w:r>
      <w:r>
        <w:rPr>
          <w:rFonts w:ascii="Arial" w:cs="Arial" w:eastAsia="Arial" w:hAnsi="Arial"/>
          <w:sz w:val="15"/>
          <w:szCs w:val="15"/>
          <w:color w:val="110E13"/>
        </w:rPr>
        <w:t>”</w:t>
      </w:r>
      <w:r>
        <w:rPr>
          <w:rFonts w:ascii="Arial" w:cs="Arial" w:eastAsia="Arial" w:hAnsi="Arial"/>
          <w:sz w:val="15"/>
          <w:szCs w:val="15"/>
          <w:b w:val="1"/>
          <w:bCs w:val="1"/>
          <w:color w:val="110E13"/>
        </w:rPr>
        <w:t>)</w:t>
      </w:r>
      <w:r>
        <w:rPr>
          <w:rFonts w:ascii="Arial" w:cs="Arial" w:eastAsia="Arial" w:hAnsi="Arial"/>
          <w:sz w:val="15"/>
          <w:szCs w:val="15"/>
          <w:color w:val="110E13"/>
        </w:rPr>
        <w:t xml:space="preserve"> to</w:t>
      </w:r>
      <w:r>
        <w:rPr>
          <w:rFonts w:ascii="Arial" w:cs="Arial" w:eastAsia="Arial" w:hAnsi="Arial"/>
          <w:sz w:val="15"/>
          <w:szCs w:val="15"/>
          <w:color w:val="28282A"/>
        </w:rPr>
        <w:t>,</w:t>
      </w:r>
      <w:r>
        <w:rPr>
          <w:rFonts w:ascii="Arial" w:cs="Arial" w:eastAsia="Arial" w:hAnsi="Arial"/>
          <w:sz w:val="15"/>
          <w:szCs w:val="15"/>
          <w:color w:val="110E13"/>
        </w:rPr>
        <w:t xml:space="preserve"> keep the Confidential Information confidential and use the Confidential Information solely in connection with its investment in the Company. The Purchaser further acknowledges and agrees that such Confidential Information may be</w:t>
      </w:r>
      <w:r>
        <w:rPr>
          <w:rFonts w:ascii="Arial" w:cs="Arial" w:eastAsia="Arial" w:hAnsi="Arial"/>
          <w:sz w:val="15"/>
          <w:szCs w:val="15"/>
          <w:color w:val="28282A"/>
        </w:rPr>
        <w:t>,</w:t>
      </w:r>
      <w:r>
        <w:rPr>
          <w:rFonts w:ascii="Arial" w:cs="Arial" w:eastAsia="Arial" w:hAnsi="Arial"/>
          <w:sz w:val="15"/>
          <w:szCs w:val="15"/>
          <w:color w:val="110E13"/>
        </w:rPr>
        <w:t xml:space="preserve"> or contain</w:t>
      </w:r>
      <w:r>
        <w:rPr>
          <w:rFonts w:ascii="Arial" w:cs="Arial" w:eastAsia="Arial" w:hAnsi="Arial"/>
          <w:sz w:val="15"/>
          <w:szCs w:val="15"/>
          <w:color w:val="28282A"/>
        </w:rPr>
        <w:t>,</w:t>
      </w:r>
      <w:r>
        <w:rPr>
          <w:rFonts w:ascii="Arial" w:cs="Arial" w:eastAsia="Arial" w:hAnsi="Arial"/>
          <w:sz w:val="15"/>
          <w:szCs w:val="15"/>
          <w:color w:val="110E13"/>
        </w:rPr>
        <w:t xml:space="preserve"> material non-public information under applicable law and such information may not be used to purchase</w:t>
      </w:r>
      <w:r>
        <w:rPr>
          <w:rFonts w:ascii="Arial" w:cs="Arial" w:eastAsia="Arial" w:hAnsi="Arial"/>
          <w:sz w:val="15"/>
          <w:szCs w:val="15"/>
          <w:color w:val="28282A"/>
        </w:rPr>
        <w:t>,</w:t>
      </w:r>
      <w:r>
        <w:rPr>
          <w:rFonts w:ascii="Arial" w:cs="Arial" w:eastAsia="Arial" w:hAnsi="Arial"/>
          <w:sz w:val="15"/>
          <w:szCs w:val="15"/>
          <w:color w:val="110E13"/>
        </w:rPr>
        <w:t xml:space="preserve"> sell or trade in Company Securities (other than as permitted by applicable law) or disclosed to any Affiliates or Third Parties</w:t>
      </w:r>
      <w:r>
        <w:rPr>
          <w:rFonts w:ascii="Arial" w:cs="Arial" w:eastAsia="Arial" w:hAnsi="Arial"/>
          <w:sz w:val="15"/>
          <w:szCs w:val="15"/>
          <w:color w:val="28282A"/>
        </w:rPr>
        <w:t>,</w:t>
      </w:r>
      <w:r>
        <w:rPr>
          <w:rFonts w:ascii="Arial" w:cs="Arial" w:eastAsia="Arial" w:hAnsi="Arial"/>
          <w:sz w:val="15"/>
          <w:szCs w:val="15"/>
          <w:color w:val="110E13"/>
        </w:rPr>
        <w:t xml:space="preserve"> except as provided below. The Purchaser further acknowledges and agrees that it shall not disclose any Confidential Information to any person</w:t>
      </w:r>
      <w:r>
        <w:rPr>
          <w:rFonts w:ascii="Arial" w:cs="Arial" w:eastAsia="Arial" w:hAnsi="Arial"/>
          <w:sz w:val="15"/>
          <w:szCs w:val="15"/>
          <w:color w:val="28282A"/>
        </w:rPr>
        <w:t>,</w:t>
      </w:r>
      <w:r>
        <w:rPr>
          <w:rFonts w:ascii="Arial" w:cs="Arial" w:eastAsia="Arial" w:hAnsi="Arial"/>
          <w:sz w:val="15"/>
          <w:szCs w:val="15"/>
          <w:color w:val="110E13"/>
        </w:rPr>
        <w:t xml:space="preserve"> except that Confidential Information may be disclosed to any Purchaser Affiliate or any of the Purchaser</w:t>
      </w:r>
      <w:r>
        <w:rPr>
          <w:rFonts w:ascii="Arial" w:cs="Arial" w:eastAsia="Arial" w:hAnsi="Arial"/>
          <w:sz w:val="15"/>
          <w:szCs w:val="15"/>
          <w:color w:val="28282A"/>
        </w:rPr>
        <w:t>’</w:t>
      </w:r>
      <w:r>
        <w:rPr>
          <w:rFonts w:ascii="Arial" w:cs="Arial" w:eastAsia="Arial" w:hAnsi="Arial"/>
          <w:sz w:val="15"/>
          <w:szCs w:val="15"/>
          <w:color w:val="110E13"/>
        </w:rPr>
        <w:t xml:space="preserve"> s or Purchaser Affiliates’ respective directors</w:t>
      </w:r>
      <w:r>
        <w:rPr>
          <w:rFonts w:ascii="Arial" w:cs="Arial" w:eastAsia="Arial" w:hAnsi="Arial"/>
          <w:sz w:val="15"/>
          <w:szCs w:val="15"/>
          <w:color w:val="28282A"/>
        </w:rPr>
        <w:t>,</w:t>
      </w:r>
      <w:r>
        <w:rPr>
          <w:rFonts w:ascii="Arial" w:cs="Arial" w:eastAsia="Arial" w:hAnsi="Arial"/>
          <w:sz w:val="15"/>
          <w:szCs w:val="15"/>
          <w:color w:val="110E13"/>
        </w:rPr>
        <w:t xml:space="preserve"> officers, employees</w:t>
      </w:r>
      <w:r>
        <w:rPr>
          <w:rFonts w:ascii="Arial" w:cs="Arial" w:eastAsia="Arial" w:hAnsi="Arial"/>
          <w:sz w:val="15"/>
          <w:szCs w:val="15"/>
          <w:color w:val="3F3F42"/>
        </w:rPr>
        <w:t>,</w:t>
      </w:r>
      <w:r>
        <w:rPr>
          <w:rFonts w:ascii="Arial" w:cs="Arial" w:eastAsia="Arial" w:hAnsi="Arial"/>
          <w:sz w:val="15"/>
          <w:szCs w:val="15"/>
          <w:color w:val="110E13"/>
        </w:rPr>
        <w:t xml:space="preserve"> agents</w:t>
      </w:r>
      <w:r>
        <w:rPr>
          <w:rFonts w:ascii="Arial" w:cs="Arial" w:eastAsia="Arial" w:hAnsi="Arial"/>
          <w:sz w:val="15"/>
          <w:szCs w:val="15"/>
          <w:color w:val="28282A"/>
        </w:rPr>
        <w:t>,</w:t>
      </w:r>
      <w:r>
        <w:rPr>
          <w:rFonts w:ascii="Arial" w:cs="Arial" w:eastAsia="Arial" w:hAnsi="Arial"/>
          <w:sz w:val="15"/>
          <w:szCs w:val="15"/>
          <w:color w:val="110E13"/>
        </w:rPr>
        <w:t xml:space="preserve"> attorneys</w:t>
      </w:r>
      <w:r>
        <w:rPr>
          <w:rFonts w:ascii="Arial" w:cs="Arial" w:eastAsia="Arial" w:hAnsi="Arial"/>
          <w:sz w:val="15"/>
          <w:szCs w:val="15"/>
          <w:color w:val="28282A"/>
        </w:rPr>
        <w:t>,</w:t>
      </w:r>
      <w:r>
        <w:rPr>
          <w:rFonts w:ascii="Arial" w:cs="Arial" w:eastAsia="Arial" w:hAnsi="Arial"/>
          <w:sz w:val="15"/>
          <w:szCs w:val="15"/>
          <w:color w:val="110E13"/>
        </w:rPr>
        <w:t xml:space="preserve"> advisors</w:t>
      </w:r>
      <w:r>
        <w:rPr>
          <w:rFonts w:ascii="Arial" w:cs="Arial" w:eastAsia="Arial" w:hAnsi="Arial"/>
          <w:sz w:val="15"/>
          <w:szCs w:val="15"/>
          <w:color w:val="28282A"/>
        </w:rPr>
        <w:t>,</w:t>
      </w:r>
      <w:r>
        <w:rPr>
          <w:rFonts w:ascii="Arial" w:cs="Arial" w:eastAsia="Arial" w:hAnsi="Arial"/>
          <w:sz w:val="15"/>
          <w:szCs w:val="15"/>
          <w:color w:val="110E13"/>
        </w:rPr>
        <w:t xml:space="preserve"> accountants</w:t>
      </w:r>
      <w:r>
        <w:rPr>
          <w:rFonts w:ascii="Arial" w:cs="Arial" w:eastAsia="Arial" w:hAnsi="Arial"/>
          <w:sz w:val="15"/>
          <w:szCs w:val="15"/>
          <w:color w:val="28282A"/>
        </w:rPr>
        <w:t>,</w:t>
      </w:r>
      <w:r>
        <w:rPr>
          <w:rFonts w:ascii="Arial" w:cs="Arial" w:eastAsia="Arial" w:hAnsi="Arial"/>
          <w:sz w:val="15"/>
          <w:szCs w:val="15"/>
          <w:color w:val="110E13"/>
        </w:rPr>
        <w:t xml:space="preserve"> or consultants who reasonably require access to such information in connection with the Purchaser</w:t>
      </w:r>
      <w:r>
        <w:rPr>
          <w:rFonts w:ascii="Arial" w:cs="Arial" w:eastAsia="Arial" w:hAnsi="Arial"/>
          <w:sz w:val="15"/>
          <w:szCs w:val="15"/>
          <w:color w:val="28282A"/>
        </w:rPr>
        <w:t>’</w:t>
      </w:r>
      <w:r>
        <w:rPr>
          <w:rFonts w:ascii="Arial" w:cs="Arial" w:eastAsia="Arial" w:hAnsi="Arial"/>
          <w:sz w:val="15"/>
          <w:szCs w:val="15"/>
          <w:color w:val="110E13"/>
        </w:rPr>
        <w:t xml:space="preserve"> s investment in the Company</w:t>
      </w:r>
      <w:r>
        <w:rPr>
          <w:rFonts w:ascii="Arial" w:cs="Arial" w:eastAsia="Arial" w:hAnsi="Arial"/>
          <w:sz w:val="15"/>
          <w:szCs w:val="15"/>
          <w:color w:val="28282A"/>
        </w:rPr>
        <w:t>,</w:t>
      </w:r>
      <w:r>
        <w:rPr>
          <w:rFonts w:ascii="Arial" w:cs="Arial" w:eastAsia="Arial" w:hAnsi="Arial"/>
          <w:sz w:val="15"/>
          <w:szCs w:val="15"/>
          <w:color w:val="110E13"/>
        </w:rPr>
        <w:t xml:space="preserve"> including to the extent related to the tax treatment and tax structure of the Transactions</w:t>
      </w:r>
      <w:r>
        <w:rPr>
          <w:rFonts w:ascii="Arial" w:cs="Arial" w:eastAsia="Arial" w:hAnsi="Arial"/>
          <w:sz w:val="15"/>
          <w:szCs w:val="15"/>
          <w:color w:val="28282A"/>
        </w:rPr>
        <w:t>,</w:t>
      </w:r>
      <w:r>
        <w:rPr>
          <w:rFonts w:ascii="Arial" w:cs="Arial" w:eastAsia="Arial" w:hAnsi="Arial"/>
          <w:sz w:val="15"/>
          <w:szCs w:val="15"/>
          <w:color w:val="110E13"/>
        </w:rPr>
        <w:t xml:space="preserve"> who in each case have been informed of the confidential nature of the Confidential Information </w:t>
      </w:r>
      <w:r>
        <w:rPr>
          <w:rFonts w:ascii="Arial" w:cs="Arial" w:eastAsia="Arial" w:hAnsi="Arial"/>
          <w:sz w:val="15"/>
          <w:szCs w:val="15"/>
          <w:i w:val="1"/>
          <w:iCs w:val="1"/>
          <w:color w:val="110E13"/>
        </w:rPr>
        <w:t>(provided</w:t>
      </w:r>
      <w:r>
        <w:rPr>
          <w:rFonts w:ascii="Arial" w:cs="Arial" w:eastAsia="Arial" w:hAnsi="Arial"/>
          <w:sz w:val="15"/>
          <w:szCs w:val="15"/>
          <w:color w:val="110E13"/>
        </w:rPr>
        <w:t xml:space="preserve"> that under no circumstances shall any Confidential Information be provided to any portfolio</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00"/>
          </w:cols>
          <w:pgMar w:left="300" w:top="1152" w:right="399" w:bottom="1440" w:gutter="0" w:footer="0" w:header="0"/>
        </w:sectPr>
      </w:pPr>
    </w:p>
    <w:bookmarkStart w:id="158" w:name="page159"/>
    <w:bookmarkEnd w:id="158"/>
    <w:p>
      <w:pPr>
        <w:ind w:right="20"/>
        <w:spacing w:after="0" w:line="286" w:lineRule="auto"/>
        <w:rPr>
          <w:sz w:val="20"/>
          <w:szCs w:val="20"/>
          <w:color w:val="auto"/>
        </w:rPr>
      </w:pPr>
      <w:r>
        <w:rPr>
          <w:rFonts w:ascii="Arial" w:cs="Arial" w:eastAsia="Arial" w:hAnsi="Arial"/>
          <w:sz w:val="15"/>
          <w:szCs w:val="15"/>
          <w:color w:val="110E13"/>
        </w:rPr>
        <w:t>company of the Purchaser or to any portfolio company of any of their respective Affiliates)</w:t>
      </w:r>
      <w:r>
        <w:rPr>
          <w:rFonts w:ascii="Arial" w:cs="Arial" w:eastAsia="Arial" w:hAnsi="Arial"/>
          <w:sz w:val="15"/>
          <w:szCs w:val="15"/>
          <w:color w:val="28282A"/>
        </w:rPr>
        <w:t>;</w:t>
      </w:r>
      <w:r>
        <w:rPr>
          <w:rFonts w:ascii="Arial" w:cs="Arial" w:eastAsia="Arial" w:hAnsi="Arial"/>
          <w:sz w:val="15"/>
          <w:szCs w:val="15"/>
          <w:color w:val="110E13"/>
        </w:rPr>
        <w:t xml:space="preserve"> in the event and to the extent that the Purchaser or any of its Representatives is required to disclose any Confidential Information by applicable law</w:t>
      </w:r>
      <w:r>
        <w:rPr>
          <w:rFonts w:ascii="Arial" w:cs="Arial" w:eastAsia="Arial" w:hAnsi="Arial"/>
          <w:sz w:val="15"/>
          <w:szCs w:val="15"/>
          <w:color w:val="28282A"/>
        </w:rPr>
        <w:t>,</w:t>
      </w:r>
      <w:r>
        <w:rPr>
          <w:rFonts w:ascii="Arial" w:cs="Arial" w:eastAsia="Arial" w:hAnsi="Arial"/>
          <w:sz w:val="15"/>
          <w:szCs w:val="15"/>
          <w:color w:val="110E13"/>
        </w:rPr>
        <w:t xml:space="preserve"> legal process or other legal compulsion</w:t>
      </w:r>
      <w:r>
        <w:rPr>
          <w:rFonts w:ascii="Arial" w:cs="Arial" w:eastAsia="Arial" w:hAnsi="Arial"/>
          <w:sz w:val="15"/>
          <w:szCs w:val="15"/>
          <w:color w:val="28282A"/>
        </w:rPr>
        <w:t>,</w:t>
      </w:r>
      <w:r>
        <w:rPr>
          <w:rFonts w:ascii="Arial" w:cs="Arial" w:eastAsia="Arial" w:hAnsi="Arial"/>
          <w:sz w:val="15"/>
          <w:szCs w:val="15"/>
          <w:color w:val="110E13"/>
        </w:rPr>
        <w:t xml:space="preserve"> whether or not in connection with any proceeding by or before a court of law or Governmental Entity </w:t>
      </w:r>
      <w:r>
        <w:rPr>
          <w:rFonts w:ascii="Arial" w:cs="Arial" w:eastAsia="Arial" w:hAnsi="Arial"/>
          <w:sz w:val="15"/>
          <w:szCs w:val="15"/>
          <w:i w:val="1"/>
          <w:iCs w:val="1"/>
          <w:color w:val="110E13"/>
        </w:rPr>
        <w:t>(provided</w:t>
      </w:r>
      <w:r>
        <w:rPr>
          <w:rFonts w:ascii="Arial" w:cs="Arial" w:eastAsia="Arial" w:hAnsi="Arial"/>
          <w:sz w:val="15"/>
          <w:szCs w:val="15"/>
          <w:color w:val="110E13"/>
        </w:rPr>
        <w:t xml:space="preserve"> that the Purchaser shall (to the extent not prohibited by applicable law) give the Company prompt written notice of such requirement (and in any event prior to any disclosure of Confidential Information in connection therewith) so that the Company may seek an appropriate order or other remedy protecting such Confidential Information from disclosure or waive compliance with the terms of this </w:t>
      </w:r>
      <w:r>
        <w:rPr>
          <w:rFonts w:ascii="Arial" w:cs="Arial" w:eastAsia="Arial" w:hAnsi="Arial"/>
          <w:sz w:val="15"/>
          <w:szCs w:val="15"/>
          <w:color w:val="000000"/>
        </w:rPr>
        <w:t xml:space="preserve">Section 4.08 </w:t>
      </w:r>
      <w:r>
        <w:rPr>
          <w:rFonts w:ascii="Arial" w:cs="Arial" w:eastAsia="Arial" w:hAnsi="Arial"/>
          <w:sz w:val="15"/>
          <w:szCs w:val="15"/>
          <w:color w:val="110E13"/>
        </w:rPr>
        <w:t>(and the Purchaser shall use reasonable efforts to cooperate with the Company to obtain such protective order or other remedy</w:t>
      </w:r>
      <w:r>
        <w:rPr>
          <w:rFonts w:ascii="Arial" w:cs="Arial" w:eastAsia="Arial" w:hAnsi="Arial"/>
          <w:sz w:val="15"/>
          <w:szCs w:val="15"/>
          <w:color w:val="28282A"/>
        </w:rPr>
        <w:t>,</w:t>
      </w:r>
      <w:r>
        <w:rPr>
          <w:rFonts w:ascii="Arial" w:cs="Arial" w:eastAsia="Arial" w:hAnsi="Arial"/>
          <w:sz w:val="15"/>
          <w:szCs w:val="15"/>
          <w:color w:val="000000"/>
        </w:rPr>
        <w:t xml:space="preserve"> </w:t>
      </w:r>
      <w:r>
        <w:rPr>
          <w:rFonts w:ascii="Arial" w:cs="Arial" w:eastAsia="Arial" w:hAnsi="Arial"/>
          <w:sz w:val="15"/>
          <w:szCs w:val="15"/>
          <w:color w:val="110E13"/>
        </w:rPr>
        <w:t>at the Company</w:t>
      </w:r>
      <w:r>
        <w:rPr>
          <w:rFonts w:ascii="Arial" w:cs="Arial" w:eastAsia="Arial" w:hAnsi="Arial"/>
          <w:sz w:val="15"/>
          <w:szCs w:val="15"/>
          <w:color w:val="28282A"/>
        </w:rPr>
        <w:t>’</w:t>
      </w:r>
      <w:r>
        <w:rPr>
          <w:rFonts w:ascii="Arial" w:cs="Arial" w:eastAsia="Arial" w:hAnsi="Arial"/>
          <w:sz w:val="15"/>
          <w:szCs w:val="15"/>
          <w:color w:val="000000"/>
        </w:rPr>
        <w:t xml:space="preserve"> </w:t>
      </w:r>
      <w:r>
        <w:rPr>
          <w:rFonts w:ascii="Arial" w:cs="Arial" w:eastAsia="Arial" w:hAnsi="Arial"/>
          <w:sz w:val="15"/>
          <w:szCs w:val="15"/>
          <w:color w:val="110E13"/>
        </w:rPr>
        <w:t>s</w:t>
      </w:r>
      <w:r>
        <w:rPr>
          <w:rFonts w:ascii="Arial" w:cs="Arial" w:eastAsia="Arial" w:hAnsi="Arial"/>
          <w:sz w:val="15"/>
          <w:szCs w:val="15"/>
          <w:color w:val="000000"/>
        </w:rPr>
        <w:t xml:space="preserve"> </w:t>
      </w:r>
      <w:r>
        <w:rPr>
          <w:rFonts w:ascii="Arial" w:cs="Arial" w:eastAsia="Arial" w:hAnsi="Arial"/>
          <w:sz w:val="15"/>
          <w:szCs w:val="15"/>
          <w:color w:val="110E13"/>
        </w:rPr>
        <w:t xml:space="preserve">expense)); to any person to whom the Purchaser in good faith is contemplating a transfer of any Notes or shares of Company Common Stock, </w:t>
      </w:r>
      <w:r>
        <w:rPr>
          <w:rFonts w:ascii="Arial" w:cs="Arial" w:eastAsia="Arial" w:hAnsi="Arial"/>
          <w:sz w:val="15"/>
          <w:szCs w:val="15"/>
          <w:i w:val="1"/>
          <w:iCs w:val="1"/>
          <w:color w:val="110E13"/>
        </w:rPr>
        <w:t>provid</w:t>
      </w:r>
      <w:r>
        <w:rPr>
          <w:rFonts w:ascii="Arial" w:cs="Arial" w:eastAsia="Arial" w:hAnsi="Arial"/>
          <w:sz w:val="15"/>
          <w:szCs w:val="15"/>
          <w:i w:val="1"/>
          <w:iCs w:val="1"/>
          <w:color w:val="28282A"/>
        </w:rPr>
        <w:t>e</w:t>
      </w:r>
      <w:r>
        <w:rPr>
          <w:rFonts w:ascii="Arial" w:cs="Arial" w:eastAsia="Arial" w:hAnsi="Arial"/>
          <w:sz w:val="15"/>
          <w:szCs w:val="15"/>
          <w:i w:val="1"/>
          <w:iCs w:val="1"/>
          <w:color w:val="110E13"/>
        </w:rPr>
        <w:t>d</w:t>
      </w:r>
      <w:r>
        <w:rPr>
          <w:rFonts w:ascii="Arial" w:cs="Arial" w:eastAsia="Arial" w:hAnsi="Arial"/>
          <w:sz w:val="15"/>
          <w:szCs w:val="15"/>
          <w:color w:val="110E13"/>
        </w:rPr>
        <w:t xml:space="preserve"> that such transfer would not be in violation of the provisions of this Agreement and such potential transferee is advised of the confidential nature of such information and agrees to be bound by a confidentiality agreement enforceable by the Company and consistent with the provisions of this </w:t>
      </w:r>
      <w:r>
        <w:rPr>
          <w:rFonts w:ascii="Arial" w:cs="Arial" w:eastAsia="Arial" w:hAnsi="Arial"/>
          <w:sz w:val="15"/>
          <w:szCs w:val="15"/>
          <w:color w:val="000000"/>
        </w:rPr>
        <w:t>Section 4.08</w:t>
      </w:r>
      <w:r>
        <w:rPr>
          <w:rFonts w:ascii="Arial" w:cs="Arial" w:eastAsia="Arial" w:hAnsi="Arial"/>
          <w:sz w:val="15"/>
          <w:szCs w:val="15"/>
          <w:color w:val="28282A"/>
        </w:rPr>
        <w:t>;</w:t>
      </w:r>
      <w:r>
        <w:rPr>
          <w:rFonts w:ascii="Arial" w:cs="Arial" w:eastAsia="Arial" w:hAnsi="Arial"/>
          <w:sz w:val="15"/>
          <w:szCs w:val="15"/>
          <w:color w:val="110E13"/>
        </w:rPr>
        <w:t xml:space="preserve"> or to any regulatory authority to which the Purchaser or any of its Affiliates is subject</w:t>
      </w:r>
      <w:r>
        <w:rPr>
          <w:rFonts w:ascii="Arial" w:cs="Arial" w:eastAsia="Arial" w:hAnsi="Arial"/>
          <w:sz w:val="15"/>
          <w:szCs w:val="15"/>
          <w:color w:val="28282A"/>
        </w:rPr>
        <w:t>;</w:t>
      </w:r>
      <w:r>
        <w:rPr>
          <w:rFonts w:ascii="Arial" w:cs="Arial" w:eastAsia="Arial" w:hAnsi="Arial"/>
          <w:sz w:val="15"/>
          <w:szCs w:val="15"/>
          <w:color w:val="110E13"/>
        </w:rPr>
        <w:t xml:space="preserve"> </w:t>
      </w:r>
      <w:r>
        <w:rPr>
          <w:rFonts w:ascii="Arial" w:cs="Arial" w:eastAsia="Arial" w:hAnsi="Arial"/>
          <w:sz w:val="15"/>
          <w:szCs w:val="15"/>
          <w:i w:val="1"/>
          <w:iCs w:val="1"/>
          <w:color w:val="110E13"/>
        </w:rPr>
        <w:t>provided</w:t>
      </w:r>
      <w:r>
        <w:rPr>
          <w:rFonts w:ascii="Arial" w:cs="Arial" w:eastAsia="Arial" w:hAnsi="Arial"/>
          <w:sz w:val="15"/>
          <w:szCs w:val="15"/>
          <w:color w:val="110E13"/>
        </w:rPr>
        <w:t xml:space="preserve"> that such authority is advised of the confidential nature of such information. The Purchaser shall be responsible for any actions taken by any of its Representatives of the applicable provisions of this </w:t>
      </w:r>
      <w:r>
        <w:rPr>
          <w:rFonts w:ascii="Arial" w:cs="Arial" w:eastAsia="Arial" w:hAnsi="Arial"/>
          <w:sz w:val="15"/>
          <w:szCs w:val="15"/>
          <w:color w:val="000000"/>
        </w:rPr>
        <w:t>Section 4.08</w:t>
      </w:r>
      <w:r>
        <w:rPr>
          <w:rFonts w:ascii="Arial" w:cs="Arial" w:eastAsia="Arial" w:hAnsi="Arial"/>
          <w:sz w:val="15"/>
          <w:szCs w:val="15"/>
          <w:color w:val="110E13"/>
        </w:rPr>
        <w:t xml:space="preserve"> as if the Purchaser had taken such actions.</w:t>
      </w:r>
    </w:p>
    <w:p>
      <w:pPr>
        <w:spacing w:after="0" w:line="122" w:lineRule="exact"/>
        <w:rPr>
          <w:sz w:val="20"/>
          <w:szCs w:val="20"/>
          <w:color w:val="auto"/>
        </w:rPr>
      </w:pPr>
    </w:p>
    <w:p>
      <w:pPr>
        <w:ind w:firstLine="514"/>
        <w:spacing w:after="0" w:line="266" w:lineRule="auto"/>
        <w:tabs>
          <w:tab w:leader="none" w:pos="101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purposes hereof</w:t>
      </w:r>
      <w:r>
        <w:rPr>
          <w:rFonts w:ascii="Arial" w:cs="Arial" w:eastAsia="Arial" w:hAnsi="Arial"/>
          <w:sz w:val="16"/>
          <w:szCs w:val="16"/>
          <w:color w:val="28282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Information</w:t>
      </w:r>
      <w:r>
        <w:rPr>
          <w:rFonts w:ascii="Arial" w:cs="Arial" w:eastAsia="Arial" w:hAnsi="Arial"/>
          <w:sz w:val="16"/>
          <w:szCs w:val="16"/>
          <w:color w:val="28282A"/>
        </w:rPr>
        <w:t>”</w:t>
      </w:r>
      <w:r>
        <w:rPr>
          <w:rFonts w:ascii="Arial" w:cs="Arial" w:eastAsia="Arial" w:hAnsi="Arial"/>
          <w:sz w:val="16"/>
          <w:szCs w:val="16"/>
          <w:color w:val="auto"/>
        </w:rPr>
        <w:t xml:space="preserve"> shall mean any information concerning the Company or any of its Subsidiaries or the business</w:t>
      </w:r>
      <w:r>
        <w:rPr>
          <w:rFonts w:ascii="Arial" w:cs="Arial" w:eastAsia="Arial" w:hAnsi="Arial"/>
          <w:sz w:val="16"/>
          <w:szCs w:val="16"/>
          <w:color w:val="28282A"/>
        </w:rPr>
        <w:t>,</w:t>
      </w:r>
      <w:r>
        <w:rPr>
          <w:rFonts w:ascii="Arial" w:cs="Arial" w:eastAsia="Arial" w:hAnsi="Arial"/>
          <w:sz w:val="16"/>
          <w:szCs w:val="16"/>
          <w:color w:val="auto"/>
        </w:rPr>
        <w:t xml:space="preserve"> products</w:t>
      </w:r>
      <w:r>
        <w:rPr>
          <w:rFonts w:ascii="Arial" w:cs="Arial" w:eastAsia="Arial" w:hAnsi="Arial"/>
          <w:sz w:val="16"/>
          <w:szCs w:val="16"/>
          <w:color w:val="28282A"/>
        </w:rPr>
        <w:t>,</w:t>
      </w:r>
      <w:r>
        <w:rPr>
          <w:rFonts w:ascii="Arial" w:cs="Arial" w:eastAsia="Arial" w:hAnsi="Arial"/>
          <w:sz w:val="16"/>
          <w:szCs w:val="16"/>
          <w:color w:val="auto"/>
        </w:rPr>
        <w:t xml:space="preserve"> markets</w:t>
      </w:r>
      <w:r>
        <w:rPr>
          <w:rFonts w:ascii="Arial" w:cs="Arial" w:eastAsia="Arial" w:hAnsi="Arial"/>
          <w:sz w:val="16"/>
          <w:szCs w:val="16"/>
          <w:color w:val="28282A"/>
        </w:rPr>
        <w:t>,</w:t>
      </w:r>
      <w:r>
        <w:rPr>
          <w:rFonts w:ascii="Arial" w:cs="Arial" w:eastAsia="Arial" w:hAnsi="Arial"/>
          <w:sz w:val="16"/>
          <w:szCs w:val="16"/>
          <w:color w:val="auto"/>
        </w:rPr>
        <w:t xml:space="preserve"> condition (financial or otherwise), operations</w:t>
      </w:r>
      <w:r>
        <w:rPr>
          <w:rFonts w:ascii="Arial" w:cs="Arial" w:eastAsia="Arial" w:hAnsi="Arial"/>
          <w:sz w:val="16"/>
          <w:szCs w:val="16"/>
          <w:color w:val="28282A"/>
        </w:rPr>
        <w:t>,</w:t>
      </w:r>
      <w:r>
        <w:rPr>
          <w:rFonts w:ascii="Arial" w:cs="Arial" w:eastAsia="Arial" w:hAnsi="Arial"/>
          <w:sz w:val="16"/>
          <w:szCs w:val="16"/>
          <w:color w:val="auto"/>
        </w:rPr>
        <w:t xml:space="preserve"> assets</w:t>
      </w:r>
      <w:r>
        <w:rPr>
          <w:rFonts w:ascii="Arial" w:cs="Arial" w:eastAsia="Arial" w:hAnsi="Arial"/>
          <w:sz w:val="16"/>
          <w:szCs w:val="16"/>
          <w:color w:val="28282A"/>
        </w:rPr>
        <w:t>,</w:t>
      </w:r>
      <w:r>
        <w:rPr>
          <w:rFonts w:ascii="Arial" w:cs="Arial" w:eastAsia="Arial" w:hAnsi="Arial"/>
          <w:sz w:val="16"/>
          <w:szCs w:val="16"/>
          <w:color w:val="auto"/>
        </w:rPr>
        <w:t xml:space="preserve"> liabilities</w:t>
      </w:r>
      <w:r>
        <w:rPr>
          <w:rFonts w:ascii="Arial" w:cs="Arial" w:eastAsia="Arial" w:hAnsi="Arial"/>
          <w:sz w:val="16"/>
          <w:szCs w:val="16"/>
          <w:color w:val="28282A"/>
        </w:rPr>
        <w:t>,</w:t>
      </w:r>
      <w:r>
        <w:rPr>
          <w:rFonts w:ascii="Arial" w:cs="Arial" w:eastAsia="Arial" w:hAnsi="Arial"/>
          <w:sz w:val="16"/>
          <w:szCs w:val="16"/>
          <w:color w:val="auto"/>
        </w:rPr>
        <w:t xml:space="preserve"> results of operations cash flows or prospects of the Company or any of its Subsidiaries (whether prepared by the Company or otherwise) that is furnished or has been furnished (regardless of the manner in which it is or has been furnished) by or on behalf of the Company to the Purchaser or any of its Representatives at any time (whether before</w:t>
      </w:r>
      <w:r>
        <w:rPr>
          <w:rFonts w:ascii="Arial" w:cs="Arial" w:eastAsia="Arial" w:hAnsi="Arial"/>
          <w:sz w:val="16"/>
          <w:szCs w:val="16"/>
          <w:color w:val="28282A"/>
        </w:rPr>
        <w:t>,</w:t>
      </w:r>
      <w:r>
        <w:rPr>
          <w:rFonts w:ascii="Arial" w:cs="Arial" w:eastAsia="Arial" w:hAnsi="Arial"/>
          <w:sz w:val="16"/>
          <w:szCs w:val="16"/>
          <w:color w:val="auto"/>
        </w:rPr>
        <w:t xml:space="preserve"> on </w:t>
      </w:r>
      <w:r>
        <w:rPr>
          <w:rFonts w:ascii="Arial" w:cs="Arial" w:eastAsia="Arial" w:hAnsi="Arial"/>
          <w:sz w:val="16"/>
          <w:szCs w:val="16"/>
          <w:color w:val="110E13"/>
        </w:rPr>
        <w:t>or after the Closing Date) in connection with the</w:t>
      </w:r>
      <w:r>
        <w:rPr>
          <w:rFonts w:ascii="Arial" w:cs="Arial" w:eastAsia="Arial" w:hAnsi="Arial"/>
          <w:sz w:val="16"/>
          <w:szCs w:val="16"/>
          <w:color w:val="auto"/>
        </w:rPr>
        <w:t xml:space="preserve"> </w:t>
      </w:r>
      <w:r>
        <w:rPr>
          <w:rFonts w:ascii="Arial" w:cs="Arial" w:eastAsia="Arial" w:hAnsi="Arial"/>
          <w:sz w:val="16"/>
          <w:szCs w:val="16"/>
          <w:color w:val="110E13"/>
        </w:rPr>
        <w:t>Purchaser’s investment in the Company</w:t>
      </w:r>
      <w:r>
        <w:rPr>
          <w:rFonts w:ascii="Arial" w:cs="Arial" w:eastAsia="Arial" w:hAnsi="Arial"/>
          <w:sz w:val="16"/>
          <w:szCs w:val="16"/>
          <w:color w:val="28282A"/>
        </w:rPr>
        <w:t>,</w:t>
      </w:r>
      <w:r>
        <w:rPr>
          <w:rFonts w:ascii="Arial" w:cs="Arial" w:eastAsia="Arial" w:hAnsi="Arial"/>
          <w:sz w:val="16"/>
          <w:szCs w:val="16"/>
          <w:color w:val="110E13"/>
        </w:rPr>
        <w:t xml:space="preserve"> and all notes</w:t>
      </w:r>
      <w:r>
        <w:rPr>
          <w:rFonts w:ascii="Arial" w:cs="Arial" w:eastAsia="Arial" w:hAnsi="Arial"/>
          <w:sz w:val="16"/>
          <w:szCs w:val="16"/>
          <w:color w:val="28282A"/>
        </w:rPr>
        <w:t>,</w:t>
      </w:r>
      <w:r>
        <w:rPr>
          <w:rFonts w:ascii="Arial" w:cs="Arial" w:eastAsia="Arial" w:hAnsi="Arial"/>
          <w:sz w:val="16"/>
          <w:szCs w:val="16"/>
          <w:color w:val="110E13"/>
        </w:rPr>
        <w:t xml:space="preserve"> analyses</w:t>
      </w:r>
      <w:r>
        <w:rPr>
          <w:rFonts w:ascii="Arial" w:cs="Arial" w:eastAsia="Arial" w:hAnsi="Arial"/>
          <w:sz w:val="16"/>
          <w:szCs w:val="16"/>
          <w:color w:val="28282A"/>
        </w:rPr>
        <w:t>,</w:t>
      </w:r>
      <w:r>
        <w:rPr>
          <w:rFonts w:ascii="Arial" w:cs="Arial" w:eastAsia="Arial" w:hAnsi="Arial"/>
          <w:sz w:val="16"/>
          <w:szCs w:val="16"/>
          <w:color w:val="110E13"/>
        </w:rPr>
        <w:t xml:space="preserve"> compilations</w:t>
      </w:r>
      <w:r>
        <w:rPr>
          <w:rFonts w:ascii="Arial" w:cs="Arial" w:eastAsia="Arial" w:hAnsi="Arial"/>
          <w:sz w:val="16"/>
          <w:szCs w:val="16"/>
          <w:color w:val="28282A"/>
        </w:rPr>
        <w:t>,</w:t>
      </w:r>
      <w:r>
        <w:rPr>
          <w:rFonts w:ascii="Arial" w:cs="Arial" w:eastAsia="Arial" w:hAnsi="Arial"/>
          <w:sz w:val="16"/>
          <w:szCs w:val="16"/>
          <w:color w:val="110E13"/>
        </w:rPr>
        <w:t xml:space="preserve"> forecasts</w:t>
      </w:r>
      <w:r>
        <w:rPr>
          <w:rFonts w:ascii="Arial" w:cs="Arial" w:eastAsia="Arial" w:hAnsi="Arial"/>
          <w:sz w:val="16"/>
          <w:szCs w:val="16"/>
          <w:color w:val="28282A"/>
        </w:rPr>
        <w:t>,</w:t>
      </w:r>
      <w:r>
        <w:rPr>
          <w:rFonts w:ascii="Arial" w:cs="Arial" w:eastAsia="Arial" w:hAnsi="Arial"/>
          <w:sz w:val="16"/>
          <w:szCs w:val="16"/>
          <w:color w:val="110E13"/>
        </w:rPr>
        <w:t xml:space="preserve"> studies</w:t>
      </w:r>
      <w:r>
        <w:rPr>
          <w:rFonts w:ascii="Arial" w:cs="Arial" w:eastAsia="Arial" w:hAnsi="Arial"/>
          <w:sz w:val="16"/>
          <w:szCs w:val="16"/>
          <w:color w:val="28282A"/>
        </w:rPr>
        <w:t>,</w:t>
      </w:r>
      <w:r>
        <w:rPr>
          <w:rFonts w:ascii="Arial" w:cs="Arial" w:eastAsia="Arial" w:hAnsi="Arial"/>
          <w:sz w:val="16"/>
          <w:szCs w:val="16"/>
          <w:color w:val="110E13"/>
        </w:rPr>
        <w:t xml:space="preserve"> emails or other documents (in whatever form maintained) prepared by the Purchaser or any of its Representatives that contain or reflect such information (in whole or in part)</w:t>
      </w:r>
      <w:r>
        <w:rPr>
          <w:rFonts w:ascii="Arial" w:cs="Arial" w:eastAsia="Arial" w:hAnsi="Arial"/>
          <w:sz w:val="16"/>
          <w:szCs w:val="16"/>
          <w:color w:val="28282A"/>
        </w:rPr>
        <w:t>;</w:t>
      </w:r>
      <w:r>
        <w:rPr>
          <w:rFonts w:ascii="Arial" w:cs="Arial" w:eastAsia="Arial" w:hAnsi="Arial"/>
          <w:sz w:val="16"/>
          <w:szCs w:val="16"/>
          <w:color w:val="110E13"/>
        </w:rPr>
        <w:t xml:space="preserve"> </w:t>
      </w:r>
      <w:r>
        <w:rPr>
          <w:rFonts w:ascii="Arial" w:cs="Arial" w:eastAsia="Arial" w:hAnsi="Arial"/>
          <w:sz w:val="16"/>
          <w:szCs w:val="16"/>
          <w:i w:val="1"/>
          <w:iCs w:val="1"/>
          <w:color w:val="110E13"/>
        </w:rPr>
        <w:t>provided</w:t>
      </w:r>
      <w:r>
        <w:rPr>
          <w:rFonts w:ascii="Arial" w:cs="Arial" w:eastAsia="Arial" w:hAnsi="Arial"/>
          <w:sz w:val="16"/>
          <w:szCs w:val="16"/>
          <w:color w:val="110E13"/>
        </w:rPr>
        <w:t xml:space="preserve"> that the term “Confidential Information” does not include information that is or becomes generally available to the public other than as a result of a disclosure by the Purchaser or its Representatives in violation of this Section 4.08</w:t>
      </w:r>
      <w:r>
        <w:rPr>
          <w:rFonts w:ascii="Arial" w:cs="Arial" w:eastAsia="Arial" w:hAnsi="Arial"/>
          <w:sz w:val="16"/>
          <w:szCs w:val="16"/>
          <w:color w:val="28282A"/>
        </w:rPr>
        <w:t>,</w:t>
      </w:r>
      <w:r>
        <w:rPr>
          <w:rFonts w:ascii="Arial" w:cs="Arial" w:eastAsia="Arial" w:hAnsi="Arial"/>
          <w:sz w:val="16"/>
          <w:szCs w:val="16"/>
          <w:color w:val="110E13"/>
        </w:rPr>
        <w:t xml:space="preserve"> was within the Purchaser’s or its Representatives</w:t>
      </w:r>
      <w:r>
        <w:rPr>
          <w:rFonts w:ascii="Arial" w:cs="Arial" w:eastAsia="Arial" w:hAnsi="Arial"/>
          <w:sz w:val="16"/>
          <w:szCs w:val="16"/>
          <w:color w:val="28282A"/>
        </w:rPr>
        <w:t>’</w:t>
      </w:r>
      <w:r>
        <w:rPr>
          <w:rFonts w:ascii="Arial" w:cs="Arial" w:eastAsia="Arial" w:hAnsi="Arial"/>
          <w:sz w:val="16"/>
          <w:szCs w:val="16"/>
          <w:color w:val="110E13"/>
        </w:rPr>
        <w:t xml:space="preserve"> possession prior to it being furnished to the Purchaser or its Representatives by or on behalf of the Company</w:t>
      </w:r>
      <w:r>
        <w:rPr>
          <w:rFonts w:ascii="Arial" w:cs="Arial" w:eastAsia="Arial" w:hAnsi="Arial"/>
          <w:sz w:val="16"/>
          <w:szCs w:val="16"/>
          <w:color w:val="28282A"/>
        </w:rPr>
        <w:t>;</w:t>
      </w:r>
      <w:r>
        <w:rPr>
          <w:rFonts w:ascii="Arial" w:cs="Arial" w:eastAsia="Arial" w:hAnsi="Arial"/>
          <w:sz w:val="16"/>
          <w:szCs w:val="16"/>
          <w:color w:val="110E13"/>
        </w:rPr>
        <w:t xml:space="preserve"> </w:t>
      </w:r>
      <w:r>
        <w:rPr>
          <w:rFonts w:ascii="Arial" w:cs="Arial" w:eastAsia="Arial" w:hAnsi="Arial"/>
          <w:sz w:val="16"/>
          <w:szCs w:val="16"/>
          <w:i w:val="1"/>
          <w:iCs w:val="1"/>
          <w:color w:val="110E13"/>
        </w:rPr>
        <w:t>provided</w:t>
      </w:r>
      <w:r>
        <w:rPr>
          <w:rFonts w:ascii="Arial" w:cs="Arial" w:eastAsia="Arial" w:hAnsi="Arial"/>
          <w:sz w:val="16"/>
          <w:szCs w:val="16"/>
          <w:color w:val="110E13"/>
        </w:rPr>
        <w:t xml:space="preserve"> that the source of such information was not known by the Purchaser to be bound by a confidentiality agreement or other contractual</w:t>
      </w:r>
      <w:r>
        <w:rPr>
          <w:rFonts w:ascii="Arial" w:cs="Arial" w:eastAsia="Arial" w:hAnsi="Arial"/>
          <w:sz w:val="16"/>
          <w:szCs w:val="16"/>
          <w:color w:val="28282A"/>
        </w:rPr>
        <w:t>,</w:t>
      </w:r>
      <w:r>
        <w:rPr>
          <w:rFonts w:ascii="Arial" w:cs="Arial" w:eastAsia="Arial" w:hAnsi="Arial"/>
          <w:sz w:val="16"/>
          <w:szCs w:val="16"/>
          <w:color w:val="110E13"/>
        </w:rPr>
        <w:t xml:space="preserve"> legal or fiduciary obligation of confidentiality with respect to such information</w:t>
      </w:r>
      <w:r>
        <w:rPr>
          <w:rFonts w:ascii="Arial" w:cs="Arial" w:eastAsia="Arial" w:hAnsi="Arial"/>
          <w:sz w:val="16"/>
          <w:szCs w:val="16"/>
          <w:color w:val="28282A"/>
        </w:rPr>
        <w:t>,</w:t>
      </w:r>
      <w:r>
        <w:rPr>
          <w:rFonts w:ascii="Arial" w:cs="Arial" w:eastAsia="Arial" w:hAnsi="Arial"/>
          <w:sz w:val="16"/>
          <w:szCs w:val="16"/>
          <w:color w:val="110E13"/>
        </w:rPr>
        <w:t xml:space="preserve"> becomes available to the Purchaser or its Representatives on a non-confidential basis from a source other than the Company</w:t>
      </w:r>
      <w:r>
        <w:rPr>
          <w:rFonts w:ascii="Arial" w:cs="Arial" w:eastAsia="Arial" w:hAnsi="Arial"/>
          <w:sz w:val="16"/>
          <w:szCs w:val="16"/>
          <w:color w:val="28282A"/>
        </w:rPr>
        <w:t>;</w:t>
      </w:r>
      <w:r>
        <w:rPr>
          <w:rFonts w:ascii="Arial" w:cs="Arial" w:eastAsia="Arial" w:hAnsi="Arial"/>
          <w:sz w:val="16"/>
          <w:szCs w:val="16"/>
          <w:color w:val="110E13"/>
        </w:rPr>
        <w:t xml:space="preserve"> </w:t>
      </w:r>
      <w:r>
        <w:rPr>
          <w:rFonts w:ascii="Arial" w:cs="Arial" w:eastAsia="Arial" w:hAnsi="Arial"/>
          <w:sz w:val="16"/>
          <w:szCs w:val="16"/>
          <w:i w:val="1"/>
          <w:iCs w:val="1"/>
          <w:color w:val="110E13"/>
        </w:rPr>
        <w:t>provid</w:t>
      </w:r>
      <w:r>
        <w:rPr>
          <w:rFonts w:ascii="Arial" w:cs="Arial" w:eastAsia="Arial" w:hAnsi="Arial"/>
          <w:sz w:val="16"/>
          <w:szCs w:val="16"/>
          <w:i w:val="1"/>
          <w:iCs w:val="1"/>
          <w:color w:val="28282A"/>
        </w:rPr>
        <w:t>e</w:t>
      </w:r>
      <w:r>
        <w:rPr>
          <w:rFonts w:ascii="Arial" w:cs="Arial" w:eastAsia="Arial" w:hAnsi="Arial"/>
          <w:sz w:val="16"/>
          <w:szCs w:val="16"/>
          <w:i w:val="1"/>
          <w:iCs w:val="1"/>
          <w:color w:val="110E13"/>
        </w:rPr>
        <w:t>d</w:t>
      </w:r>
      <w:r>
        <w:rPr>
          <w:rFonts w:ascii="Arial" w:cs="Arial" w:eastAsia="Arial" w:hAnsi="Arial"/>
          <w:sz w:val="16"/>
          <w:szCs w:val="16"/>
          <w:color w:val="110E13"/>
        </w:rPr>
        <w:t xml:space="preserve"> that such source is not known by the Purchaser to be bound by a confidentiality agreement or other contractual</w:t>
      </w:r>
      <w:r>
        <w:rPr>
          <w:rFonts w:ascii="Arial" w:cs="Arial" w:eastAsia="Arial" w:hAnsi="Arial"/>
          <w:sz w:val="16"/>
          <w:szCs w:val="16"/>
          <w:color w:val="28282A"/>
        </w:rPr>
        <w:t>,</w:t>
      </w:r>
      <w:r>
        <w:rPr>
          <w:rFonts w:ascii="Arial" w:cs="Arial" w:eastAsia="Arial" w:hAnsi="Arial"/>
          <w:sz w:val="16"/>
          <w:szCs w:val="16"/>
          <w:color w:val="110E13"/>
        </w:rPr>
        <w:t xml:space="preserve"> legal or fiduciary obligation of confidentiality with respect to such information</w:t>
      </w:r>
      <w:r>
        <w:rPr>
          <w:rFonts w:ascii="Arial" w:cs="Arial" w:eastAsia="Arial" w:hAnsi="Arial"/>
          <w:sz w:val="16"/>
          <w:szCs w:val="16"/>
          <w:color w:val="28282A"/>
        </w:rPr>
        <w:t>,</w:t>
      </w:r>
      <w:r>
        <w:rPr>
          <w:rFonts w:ascii="Arial" w:cs="Arial" w:eastAsia="Arial" w:hAnsi="Arial"/>
          <w:sz w:val="16"/>
          <w:szCs w:val="16"/>
          <w:color w:val="110E13"/>
        </w:rPr>
        <w:t xml:space="preserve"> or does not involve projections or strategic plans of the Company and is independently developed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300" w:top="1152" w:right="3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110E13"/>
        </w:rPr>
        <w:t>by the Purchaser or its Representatives without reference to or the use of any Confidential Information.</w:t>
      </w:r>
    </w:p>
    <w:p>
      <w:pPr>
        <w:spacing w:after="0" w:line="176" w:lineRule="exact"/>
        <w:rPr>
          <w:sz w:val="20"/>
          <w:szCs w:val="20"/>
          <w:color w:val="auto"/>
        </w:rPr>
      </w:pPr>
    </w:p>
    <w:p>
      <w:pPr>
        <w:ind w:right="20" w:firstLine="514"/>
        <w:spacing w:after="0" w:line="285" w:lineRule="auto"/>
        <w:tabs>
          <w:tab w:leader="none" w:pos="100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w:t>
      </w:r>
      <w:r>
        <w:rPr>
          <w:rFonts w:ascii="Arial" w:cs="Arial" w:eastAsia="Arial" w:hAnsi="Arial"/>
          <w:sz w:val="15"/>
          <w:szCs w:val="15"/>
          <w:color w:val="28282A"/>
        </w:rPr>
        <w:t>,</w:t>
      </w:r>
      <w:r>
        <w:rPr>
          <w:rFonts w:ascii="Arial" w:cs="Arial" w:eastAsia="Arial" w:hAnsi="Arial"/>
          <w:sz w:val="15"/>
          <w:szCs w:val="15"/>
          <w:color w:val="auto"/>
        </w:rPr>
        <w:t xml:space="preserve"> nothing contained herein shall prevent or restrict the Purchaser</w:t>
      </w:r>
      <w:r>
        <w:rPr>
          <w:rFonts w:ascii="Arial" w:cs="Arial" w:eastAsia="Arial" w:hAnsi="Arial"/>
          <w:sz w:val="15"/>
          <w:szCs w:val="15"/>
          <w:color w:val="28282A"/>
        </w:rPr>
        <w:t>’</w:t>
      </w:r>
      <w:r>
        <w:rPr>
          <w:rFonts w:ascii="Arial" w:cs="Arial" w:eastAsia="Arial" w:hAnsi="Arial"/>
          <w:sz w:val="15"/>
          <w:szCs w:val="15"/>
          <w:color w:val="auto"/>
        </w:rPr>
        <w:t xml:space="preserve"> s or its Representatives</w:t>
      </w:r>
      <w:r>
        <w:rPr>
          <w:rFonts w:ascii="Arial" w:cs="Arial" w:eastAsia="Arial" w:hAnsi="Arial"/>
          <w:sz w:val="15"/>
          <w:szCs w:val="15"/>
          <w:color w:val="28282A"/>
        </w:rPr>
        <w:t>’</w:t>
      </w:r>
      <w:r>
        <w:rPr>
          <w:rFonts w:ascii="Arial" w:cs="Arial" w:eastAsia="Arial" w:hAnsi="Arial"/>
          <w:sz w:val="15"/>
          <w:szCs w:val="15"/>
          <w:color w:val="auto"/>
        </w:rPr>
        <w:t xml:space="preserve"> use (subject</w:t>
      </w:r>
      <w:r>
        <w:rPr>
          <w:rFonts w:ascii="Arial" w:cs="Arial" w:eastAsia="Arial" w:hAnsi="Arial"/>
          <w:sz w:val="15"/>
          <w:szCs w:val="15"/>
          <w:color w:val="28282A"/>
        </w:rPr>
        <w:t>,</w:t>
      </w:r>
      <w:r>
        <w:rPr>
          <w:rFonts w:ascii="Arial" w:cs="Arial" w:eastAsia="Arial" w:hAnsi="Arial"/>
          <w:sz w:val="15"/>
          <w:szCs w:val="15"/>
          <w:color w:val="auto"/>
        </w:rPr>
        <w:t xml:space="preserve"> to the extent possible</w:t>
      </w:r>
      <w:r>
        <w:rPr>
          <w:rFonts w:ascii="Arial" w:cs="Arial" w:eastAsia="Arial" w:hAnsi="Arial"/>
          <w:sz w:val="15"/>
          <w:szCs w:val="15"/>
          <w:color w:val="28282A"/>
        </w:rPr>
        <w:t>,</w:t>
      </w:r>
      <w:r>
        <w:rPr>
          <w:rFonts w:ascii="Arial" w:cs="Arial" w:eastAsia="Arial" w:hAnsi="Arial"/>
          <w:sz w:val="15"/>
          <w:szCs w:val="15"/>
          <w:color w:val="auto"/>
        </w:rPr>
        <w:t xml:space="preserve"> to a protective order) of Confidential Information in connection with the assertion of any claim against</w:t>
      </w:r>
      <w:r>
        <w:rPr>
          <w:rFonts w:ascii="Arial" w:cs="Arial" w:eastAsia="Arial" w:hAnsi="Arial"/>
          <w:sz w:val="15"/>
          <w:szCs w:val="15"/>
          <w:color w:val="28282A"/>
        </w:rPr>
        <w:t>,</w:t>
      </w:r>
      <w:r>
        <w:rPr>
          <w:rFonts w:ascii="Arial" w:cs="Arial" w:eastAsia="Arial" w:hAnsi="Arial"/>
          <w:sz w:val="15"/>
          <w:szCs w:val="15"/>
          <w:color w:val="auto"/>
        </w:rPr>
        <w:t xml:space="preserve"> or the defense of any claim by</w:t>
      </w:r>
      <w:r>
        <w:rPr>
          <w:rFonts w:ascii="Arial" w:cs="Arial" w:eastAsia="Arial" w:hAnsi="Arial"/>
          <w:sz w:val="15"/>
          <w:szCs w:val="15"/>
          <w:color w:val="28282A"/>
        </w:rPr>
        <w:t>,</w:t>
      </w:r>
      <w:r>
        <w:rPr>
          <w:rFonts w:ascii="Arial" w:cs="Arial" w:eastAsia="Arial" w:hAnsi="Arial"/>
          <w:sz w:val="15"/>
          <w:szCs w:val="15"/>
          <w:color w:val="auto"/>
        </w:rPr>
        <w:t xml:space="preserve"> the Company or any of its Subsidiaries</w:t>
      </w:r>
      <w:r>
        <w:rPr>
          <w:rFonts w:ascii="Arial" w:cs="Arial" w:eastAsia="Arial" w:hAnsi="Arial"/>
          <w:sz w:val="15"/>
          <w:szCs w:val="15"/>
          <w:color w:val="28282A"/>
        </w:rPr>
        <w:t>,</w:t>
      </w:r>
      <w:r>
        <w:rPr>
          <w:rFonts w:ascii="Arial" w:cs="Arial" w:eastAsia="Arial" w:hAnsi="Arial"/>
          <w:sz w:val="15"/>
          <w:szCs w:val="15"/>
          <w:color w:val="auto"/>
        </w:rPr>
        <w:t xml:space="preserve"> or the Purchaser or its Representatives from communicating with their respective investors to the extent reasonably required to fulfill their informational and reporting obligations to such persons</w:t>
      </w:r>
      <w:r>
        <w:rPr>
          <w:rFonts w:ascii="Arial" w:cs="Arial" w:eastAsia="Arial" w:hAnsi="Arial"/>
          <w:sz w:val="15"/>
          <w:szCs w:val="15"/>
          <w:color w:val="28282A"/>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provid</w:t>
      </w:r>
      <w:r>
        <w:rPr>
          <w:rFonts w:ascii="Arial" w:cs="Arial" w:eastAsia="Arial" w:hAnsi="Arial"/>
          <w:sz w:val="15"/>
          <w:szCs w:val="15"/>
          <w:i w:val="1"/>
          <w:iCs w:val="1"/>
          <w:color w:val="28282A"/>
        </w:rPr>
        <w:t>e</w:t>
      </w:r>
      <w:r>
        <w:rPr>
          <w:rFonts w:ascii="Arial" w:cs="Arial" w:eastAsia="Arial" w:hAnsi="Arial"/>
          <w:sz w:val="15"/>
          <w:szCs w:val="15"/>
          <w:i w:val="1"/>
          <w:iCs w:val="1"/>
          <w:color w:val="auto"/>
        </w:rPr>
        <w:t>d</w:t>
      </w:r>
      <w:r>
        <w:rPr>
          <w:rFonts w:ascii="Arial" w:cs="Arial" w:eastAsia="Arial" w:hAnsi="Arial"/>
          <w:sz w:val="15"/>
          <w:szCs w:val="15"/>
          <w:color w:val="auto"/>
        </w:rPr>
        <w:t xml:space="preserve"> that the recipients of such information are subject to a customary obligation to keep such information confidential</w:t>
      </w:r>
      <w:r>
        <w:rPr>
          <w:rFonts w:ascii="Arial" w:cs="Arial" w:eastAsia="Arial" w:hAnsi="Arial"/>
          <w:sz w:val="15"/>
          <w:szCs w:val="15"/>
          <w:color w:val="28282A"/>
        </w:rPr>
        <w:t>,</w:t>
      </w:r>
      <w:r>
        <w:rPr>
          <w:rFonts w:ascii="Arial" w:cs="Arial" w:eastAsia="Arial" w:hAnsi="Arial"/>
          <w:sz w:val="15"/>
          <w:szCs w:val="15"/>
          <w:color w:val="auto"/>
        </w:rPr>
        <w:t xml:space="preserve"> and if the provisions of Section 4.03(a) expire or terminate</w:t>
      </w:r>
      <w:r>
        <w:rPr>
          <w:rFonts w:ascii="Arial" w:cs="Arial" w:eastAsia="Arial" w:hAnsi="Arial"/>
          <w:sz w:val="15"/>
          <w:szCs w:val="15"/>
          <w:color w:val="28282A"/>
        </w:rPr>
        <w:t>,</w:t>
      </w:r>
      <w:r>
        <w:rPr>
          <w:rFonts w:ascii="Arial" w:cs="Arial" w:eastAsia="Arial" w:hAnsi="Arial"/>
          <w:sz w:val="15"/>
          <w:szCs w:val="15"/>
          <w:color w:val="auto"/>
        </w:rPr>
        <w:t xml:space="preserve"> neither this </w:t>
      </w:r>
      <w:r>
        <w:rPr>
          <w:rFonts w:ascii="Arial" w:cs="Arial" w:eastAsia="Arial" w:hAnsi="Arial"/>
          <w:sz w:val="15"/>
          <w:szCs w:val="15"/>
          <w:color w:val="110E13"/>
        </w:rPr>
        <w:t>Section 4.08</w:t>
      </w:r>
      <w:r>
        <w:rPr>
          <w:rFonts w:ascii="Arial" w:cs="Arial" w:eastAsia="Arial" w:hAnsi="Arial"/>
          <w:sz w:val="15"/>
          <w:szCs w:val="15"/>
          <w:color w:val="auto"/>
        </w:rPr>
        <w:t xml:space="preserve"> nor any other provision hereof or of the Confidentiality Agreement shall restrict or prevent the Purchaser or its Affiliates from </w:t>
      </w:r>
      <w:r>
        <w:rPr>
          <w:rFonts w:ascii="Arial" w:cs="Arial" w:eastAsia="Arial" w:hAnsi="Arial"/>
          <w:sz w:val="15"/>
          <w:szCs w:val="15"/>
          <w:color w:val="110E13"/>
        </w:rPr>
        <w:t>with respect to any Confidential Information</w:t>
      </w:r>
      <w:r>
        <w:rPr>
          <w:rFonts w:ascii="Arial" w:cs="Arial" w:eastAsia="Arial" w:hAnsi="Arial"/>
          <w:sz w:val="15"/>
          <w:szCs w:val="15"/>
          <w:color w:val="28282A"/>
        </w:rPr>
        <w:t>,</w:t>
      </w:r>
      <w:r>
        <w:rPr>
          <w:rFonts w:ascii="Arial" w:cs="Arial" w:eastAsia="Arial" w:hAnsi="Arial"/>
          <w:sz w:val="15"/>
          <w:szCs w:val="15"/>
          <w:color w:val="auto"/>
        </w:rPr>
        <w:t xml:space="preserve"> </w:t>
      </w:r>
      <w:r>
        <w:rPr>
          <w:rFonts w:ascii="Arial" w:cs="Arial" w:eastAsia="Arial" w:hAnsi="Arial"/>
          <w:sz w:val="15"/>
          <w:szCs w:val="15"/>
          <w:color w:val="110E13"/>
        </w:rPr>
        <w:t>beginning 180 days after such</w:t>
      </w:r>
      <w:r>
        <w:rPr>
          <w:rFonts w:ascii="Arial" w:cs="Arial" w:eastAsia="Arial" w:hAnsi="Arial"/>
          <w:sz w:val="15"/>
          <w:szCs w:val="15"/>
          <w:color w:val="auto"/>
        </w:rPr>
        <w:t xml:space="preserve"> </w:t>
      </w:r>
      <w:r>
        <w:rPr>
          <w:rFonts w:ascii="Arial" w:cs="Arial" w:eastAsia="Arial" w:hAnsi="Arial"/>
          <w:sz w:val="15"/>
          <w:szCs w:val="15"/>
          <w:color w:val="110E13"/>
        </w:rPr>
        <w:t>information was received</w:t>
      </w:r>
      <w:r>
        <w:rPr>
          <w:rFonts w:ascii="Arial" w:cs="Arial" w:eastAsia="Arial" w:hAnsi="Arial"/>
          <w:sz w:val="15"/>
          <w:szCs w:val="15"/>
          <w:color w:val="28282A"/>
        </w:rPr>
        <w:t>,</w:t>
      </w:r>
      <w:r>
        <w:rPr>
          <w:rFonts w:ascii="Arial" w:cs="Arial" w:eastAsia="Arial" w:hAnsi="Arial"/>
          <w:sz w:val="15"/>
          <w:szCs w:val="15"/>
          <w:color w:val="110E13"/>
        </w:rPr>
        <w:t xml:space="preserve"> using such Confidential Information in connection with acquiring</w:t>
      </w:r>
      <w:r>
        <w:rPr>
          <w:rFonts w:ascii="Arial" w:cs="Arial" w:eastAsia="Arial" w:hAnsi="Arial"/>
          <w:sz w:val="15"/>
          <w:szCs w:val="15"/>
          <w:color w:val="28282A"/>
        </w:rPr>
        <w:t>,</w:t>
      </w:r>
      <w:r>
        <w:rPr>
          <w:rFonts w:ascii="Arial" w:cs="Arial" w:eastAsia="Arial" w:hAnsi="Arial"/>
          <w:sz w:val="15"/>
          <w:szCs w:val="15"/>
          <w:color w:val="110E13"/>
        </w:rPr>
        <w:t xml:space="preserve"> or agreeing</w:t>
      </w:r>
      <w:r>
        <w:rPr>
          <w:rFonts w:ascii="Arial" w:cs="Arial" w:eastAsia="Arial" w:hAnsi="Arial"/>
          <w:sz w:val="15"/>
          <w:szCs w:val="15"/>
          <w:color w:val="28282A"/>
        </w:rPr>
        <w:t>,</w:t>
      </w:r>
      <w:r>
        <w:rPr>
          <w:rFonts w:ascii="Arial" w:cs="Arial" w:eastAsia="Arial" w:hAnsi="Arial"/>
          <w:sz w:val="15"/>
          <w:szCs w:val="15"/>
          <w:color w:val="110E13"/>
        </w:rPr>
        <w:t xml:space="preserve"> proposing</w:t>
      </w:r>
      <w:r>
        <w:rPr>
          <w:rFonts w:ascii="Arial" w:cs="Arial" w:eastAsia="Arial" w:hAnsi="Arial"/>
          <w:sz w:val="15"/>
          <w:szCs w:val="15"/>
          <w:color w:val="28282A"/>
        </w:rPr>
        <w:t>,</w:t>
      </w:r>
      <w:r>
        <w:rPr>
          <w:rFonts w:ascii="Arial" w:cs="Arial" w:eastAsia="Arial" w:hAnsi="Arial"/>
          <w:sz w:val="15"/>
          <w:szCs w:val="15"/>
          <w:color w:val="110E13"/>
        </w:rPr>
        <w:t xml:space="preserve"> seeking or offering to acquire</w:t>
      </w:r>
      <w:r>
        <w:rPr>
          <w:rFonts w:ascii="Arial" w:cs="Arial" w:eastAsia="Arial" w:hAnsi="Arial"/>
          <w:sz w:val="15"/>
          <w:szCs w:val="15"/>
          <w:color w:val="28282A"/>
        </w:rPr>
        <w:t>,</w:t>
      </w:r>
      <w:r>
        <w:rPr>
          <w:rFonts w:ascii="Arial" w:cs="Arial" w:eastAsia="Arial" w:hAnsi="Arial"/>
          <w:sz w:val="15"/>
          <w:szCs w:val="15"/>
          <w:color w:val="110E13"/>
        </w:rPr>
        <w:t xml:space="preserve"> any securities or assets of the Company or any of its Subsidiaries pursuant to a tender offer</w:t>
      </w:r>
      <w:r>
        <w:rPr>
          <w:rFonts w:ascii="Arial" w:cs="Arial" w:eastAsia="Arial" w:hAnsi="Arial"/>
          <w:sz w:val="15"/>
          <w:szCs w:val="15"/>
          <w:color w:val="28282A"/>
        </w:rPr>
        <w:t>,</w:t>
      </w:r>
      <w:r>
        <w:rPr>
          <w:rFonts w:ascii="Arial" w:cs="Arial" w:eastAsia="Arial" w:hAnsi="Arial"/>
          <w:sz w:val="15"/>
          <w:szCs w:val="15"/>
          <w:color w:val="110E13"/>
        </w:rPr>
        <w:t xml:space="preserve"> exchange offer</w:t>
      </w:r>
      <w:r>
        <w:rPr>
          <w:rFonts w:ascii="Arial" w:cs="Arial" w:eastAsia="Arial" w:hAnsi="Arial"/>
          <w:sz w:val="15"/>
          <w:szCs w:val="15"/>
          <w:color w:val="28282A"/>
        </w:rPr>
        <w:t>,</w:t>
      </w:r>
      <w:r>
        <w:rPr>
          <w:rFonts w:ascii="Arial" w:cs="Arial" w:eastAsia="Arial" w:hAnsi="Arial"/>
          <w:sz w:val="15"/>
          <w:szCs w:val="15"/>
          <w:color w:val="110E13"/>
        </w:rPr>
        <w:t xml:space="preserve"> merger or other business combination transaction</w:t>
      </w:r>
      <w:r>
        <w:rPr>
          <w:rFonts w:ascii="Arial" w:cs="Arial" w:eastAsia="Arial" w:hAnsi="Arial"/>
          <w:sz w:val="15"/>
          <w:szCs w:val="15"/>
          <w:color w:val="28282A"/>
        </w:rPr>
        <w:t>,</w:t>
      </w:r>
      <w:r>
        <w:rPr>
          <w:rFonts w:ascii="Arial" w:cs="Arial" w:eastAsia="Arial" w:hAnsi="Arial"/>
          <w:sz w:val="15"/>
          <w:szCs w:val="15"/>
          <w:color w:val="110E13"/>
        </w:rPr>
        <w:t xml:space="preserve"> or in connection with any of the other actions described in Section 4.03(a)</w:t>
      </w:r>
      <w:r>
        <w:rPr>
          <w:rFonts w:ascii="Arial" w:cs="Arial" w:eastAsia="Arial" w:hAnsi="Arial"/>
          <w:sz w:val="15"/>
          <w:szCs w:val="15"/>
          <w:color w:val="28282A"/>
        </w:rPr>
        <w:t>,</w:t>
      </w:r>
      <w:r>
        <w:rPr>
          <w:rFonts w:ascii="Arial" w:cs="Arial" w:eastAsia="Arial" w:hAnsi="Arial"/>
          <w:sz w:val="15"/>
          <w:szCs w:val="15"/>
          <w:color w:val="110E13"/>
        </w:rPr>
        <w:t xml:space="preserve"> or publicly disclosing the history of discussions between the Purchaser and the Company to the extent reasonably necessary to comply with securities law disclosure obligations or other applicable law</w:t>
      </w:r>
      <w:r>
        <w:rPr>
          <w:rFonts w:ascii="Arial" w:cs="Arial" w:eastAsia="Arial" w:hAnsi="Arial"/>
          <w:sz w:val="15"/>
          <w:szCs w:val="15"/>
          <w:color w:val="28282A"/>
        </w:rPr>
        <w:t>,</w:t>
      </w:r>
      <w:r>
        <w:rPr>
          <w:rFonts w:ascii="Arial" w:cs="Arial" w:eastAsia="Arial" w:hAnsi="Arial"/>
          <w:sz w:val="15"/>
          <w:szCs w:val="15"/>
          <w:color w:val="110E13"/>
        </w:rPr>
        <w:t xml:space="preserve"> regulation or securities or securities exchange rules</w:t>
      </w:r>
      <w:r>
        <w:rPr>
          <w:rFonts w:ascii="Arial" w:cs="Arial" w:eastAsia="Arial" w:hAnsi="Arial"/>
          <w:sz w:val="15"/>
          <w:szCs w:val="15"/>
          <w:color w:val="28282A"/>
        </w:rPr>
        <w:t>,</w:t>
      </w:r>
      <w:r>
        <w:rPr>
          <w:rFonts w:ascii="Arial" w:cs="Arial" w:eastAsia="Arial" w:hAnsi="Arial"/>
          <w:sz w:val="15"/>
          <w:szCs w:val="15"/>
          <w:color w:val="110E13"/>
        </w:rPr>
        <w:t xml:space="preserve"> subject</w:t>
      </w:r>
      <w:r>
        <w:rPr>
          <w:rFonts w:ascii="Arial" w:cs="Arial" w:eastAsia="Arial" w:hAnsi="Arial"/>
          <w:sz w:val="15"/>
          <w:szCs w:val="15"/>
          <w:color w:val="28282A"/>
        </w:rPr>
        <w:t>,</w:t>
      </w:r>
      <w:r>
        <w:rPr>
          <w:rFonts w:ascii="Arial" w:cs="Arial" w:eastAsia="Arial" w:hAnsi="Arial"/>
          <w:sz w:val="15"/>
          <w:szCs w:val="15"/>
          <w:color w:val="110E13"/>
        </w:rPr>
        <w:t xml:space="preserve"> solely in the case of disclosures not involving matters referred to in the immediately preceding clause (A)</w:t>
      </w:r>
      <w:r>
        <w:rPr>
          <w:rFonts w:ascii="Arial" w:cs="Arial" w:eastAsia="Arial" w:hAnsi="Arial"/>
          <w:sz w:val="15"/>
          <w:szCs w:val="15"/>
          <w:color w:val="28282A"/>
        </w:rPr>
        <w:t>,</w:t>
      </w:r>
      <w:r>
        <w:rPr>
          <w:rFonts w:ascii="Arial" w:cs="Arial" w:eastAsia="Arial" w:hAnsi="Arial"/>
          <w:sz w:val="15"/>
          <w:szCs w:val="15"/>
          <w:color w:val="110E13"/>
        </w:rPr>
        <w:t xml:space="preserve"> to prior written notice to the Company and consideration in good faith of the Company’s reasonable input on the content of such disclosures.</w:t>
      </w:r>
    </w:p>
    <w:p>
      <w:pPr>
        <w:spacing w:after="0" w:line="130" w:lineRule="exact"/>
        <w:rPr>
          <w:rFonts w:ascii="Arial" w:cs="Arial" w:eastAsia="Arial" w:hAnsi="Arial"/>
          <w:sz w:val="15"/>
          <w:szCs w:val="15"/>
          <w:color w:val="auto"/>
        </w:rPr>
      </w:pPr>
    </w:p>
    <w:p>
      <w:pPr>
        <w:ind w:firstLine="514"/>
        <w:spacing w:after="0" w:line="259" w:lineRule="auto"/>
        <w:tabs>
          <w:tab w:leader="none" w:pos="101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Purchaser and the Company hereby agree that the Confidentiality Agreement shall terminate at the Closing without further force or effect</w:t>
      </w:r>
      <w:r>
        <w:rPr>
          <w:rFonts w:ascii="Arial" w:cs="Arial" w:eastAsia="Arial" w:hAnsi="Arial"/>
          <w:sz w:val="17"/>
          <w:szCs w:val="17"/>
          <w:color w:val="28282A"/>
        </w:rPr>
        <w:t>,</w:t>
      </w:r>
      <w:r>
        <w:rPr>
          <w:rFonts w:ascii="Arial" w:cs="Arial" w:eastAsia="Arial" w:hAnsi="Arial"/>
          <w:sz w:val="17"/>
          <w:szCs w:val="17"/>
          <w:color w:val="auto"/>
        </w:rPr>
        <w:t xml:space="preserve"> it being understood that this Section 4.08 shall apply to all Confidential </w:t>
      </w:r>
      <w:r>
        <w:rPr>
          <w:rFonts w:ascii="Arial" w:cs="Arial" w:eastAsia="Arial" w:hAnsi="Arial"/>
          <w:sz w:val="17"/>
          <w:szCs w:val="17"/>
          <w:color w:val="110F13"/>
        </w:rPr>
        <w:t>Information provided prior to the date hereof</w:t>
      </w:r>
      <w:r>
        <w:rPr>
          <w:rFonts w:ascii="Arial" w:cs="Arial" w:eastAsia="Arial" w:hAnsi="Arial"/>
          <w:sz w:val="17"/>
          <w:szCs w:val="17"/>
          <w:color w:val="2A2A2B"/>
        </w:rPr>
        <w:t>,</w:t>
      </w:r>
      <w:r>
        <w:rPr>
          <w:rFonts w:ascii="Arial" w:cs="Arial" w:eastAsia="Arial" w:hAnsi="Arial"/>
          <w:sz w:val="17"/>
          <w:szCs w:val="17"/>
          <w:color w:val="auto"/>
        </w:rPr>
        <w:t xml:space="preserve"> </w:t>
      </w:r>
      <w:r>
        <w:rPr>
          <w:rFonts w:ascii="Arial" w:cs="Arial" w:eastAsia="Arial" w:hAnsi="Arial"/>
          <w:sz w:val="17"/>
          <w:szCs w:val="17"/>
          <w:color w:val="110F13"/>
        </w:rPr>
        <w:t>including the fact and substance of the discussions and</w:t>
      </w:r>
      <w:r>
        <w:rPr>
          <w:rFonts w:ascii="Arial" w:cs="Arial" w:eastAsia="Arial" w:hAnsi="Arial"/>
          <w:sz w:val="17"/>
          <w:szCs w:val="17"/>
          <w:color w:val="auto"/>
        </w:rPr>
        <w:t xml:space="preserve"> </w:t>
      </w:r>
      <w:r>
        <w:rPr>
          <w:rFonts w:ascii="Arial" w:cs="Arial" w:eastAsia="Arial" w:hAnsi="Arial"/>
          <w:sz w:val="17"/>
          <w:szCs w:val="17"/>
          <w:color w:val="110F13"/>
        </w:rPr>
        <w:t>negotiations between the parties.</w:t>
      </w:r>
    </w:p>
    <w:p>
      <w:pPr>
        <w:spacing w:after="0" w:line="142" w:lineRule="exact"/>
        <w:rPr>
          <w:sz w:val="20"/>
          <w:szCs w:val="20"/>
          <w:color w:val="auto"/>
        </w:rPr>
      </w:pPr>
    </w:p>
    <w:p>
      <w:pPr>
        <w:ind w:right="600" w:firstLine="509"/>
        <w:spacing w:after="0" w:line="271"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i w:val="1"/>
          <w:iCs w:val="1"/>
          <w:color w:val="auto"/>
        </w:rPr>
        <w:t>NASDAQ Approval.</w:t>
      </w:r>
      <w:r>
        <w:rPr>
          <w:rFonts w:ascii="Arial" w:cs="Arial" w:eastAsia="Arial" w:hAnsi="Arial"/>
          <w:sz w:val="17"/>
          <w:szCs w:val="17"/>
          <w:color w:val="auto"/>
        </w:rPr>
        <w:t xml:space="preserve"> The Company shall use its reasonable best efforts to cause the shares of Company Common Stock issuable upon conversion of the Notes to be approved for listing on the NASDAQ</w:t>
      </w:r>
      <w:r>
        <w:rPr>
          <w:rFonts w:ascii="Arial" w:cs="Arial" w:eastAsia="Arial" w:hAnsi="Arial"/>
          <w:sz w:val="17"/>
          <w:szCs w:val="17"/>
          <w:color w:val="28282A"/>
        </w:rPr>
        <w:t>,</w:t>
      </w:r>
      <w:r>
        <w:rPr>
          <w:rFonts w:ascii="Arial" w:cs="Arial" w:eastAsia="Arial" w:hAnsi="Arial"/>
          <w:sz w:val="17"/>
          <w:szCs w:val="17"/>
          <w:color w:val="auto"/>
        </w:rPr>
        <w:t xml:space="preserve"> subject to official notice of issuance.</w:t>
      </w:r>
    </w:p>
    <w:p>
      <w:pPr>
        <w:spacing w:after="0" w:line="131" w:lineRule="exact"/>
        <w:rPr>
          <w:sz w:val="20"/>
          <w:szCs w:val="20"/>
          <w:color w:val="auto"/>
        </w:rPr>
      </w:pPr>
    </w:p>
    <w:p>
      <w:pPr>
        <w:ind w:right="80" w:firstLine="509"/>
        <w:spacing w:after="0" w:line="300"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i w:val="1"/>
          <w:iCs w:val="1"/>
          <w:color w:val="auto"/>
        </w:rPr>
        <w:t>Authorized and Re</w:t>
      </w:r>
      <w:r>
        <w:rPr>
          <w:rFonts w:ascii="Arial" w:cs="Arial" w:eastAsia="Arial" w:hAnsi="Arial"/>
          <w:sz w:val="15"/>
          <w:szCs w:val="15"/>
          <w:i w:val="1"/>
          <w:iCs w:val="1"/>
          <w:color w:val="28282A"/>
        </w:rPr>
        <w:t>s</w:t>
      </w:r>
      <w:r>
        <w:rPr>
          <w:rFonts w:ascii="Arial" w:cs="Arial" w:eastAsia="Arial" w:hAnsi="Arial"/>
          <w:sz w:val="15"/>
          <w:szCs w:val="15"/>
          <w:i w:val="1"/>
          <w:iCs w:val="1"/>
          <w:color w:val="auto"/>
        </w:rPr>
        <w:t>erved Company Common Stock.</w:t>
      </w:r>
      <w:r>
        <w:rPr>
          <w:rFonts w:ascii="Arial" w:cs="Arial" w:eastAsia="Arial" w:hAnsi="Arial"/>
          <w:sz w:val="15"/>
          <w:szCs w:val="15"/>
          <w:color w:val="auto"/>
        </w:rPr>
        <w:t xml:space="preserve"> For so long as any Notes are outstanding</w:t>
      </w:r>
      <w:r>
        <w:rPr>
          <w:rFonts w:ascii="Arial" w:cs="Arial" w:eastAsia="Arial" w:hAnsi="Arial"/>
          <w:sz w:val="15"/>
          <w:szCs w:val="15"/>
          <w:color w:val="28282A"/>
        </w:rPr>
        <w:t>,</w:t>
      </w:r>
      <w:r>
        <w:rPr>
          <w:rFonts w:ascii="Arial" w:cs="Arial" w:eastAsia="Arial" w:hAnsi="Arial"/>
          <w:sz w:val="15"/>
          <w:szCs w:val="15"/>
          <w:color w:val="auto"/>
        </w:rPr>
        <w:t xml:space="preserve"> the Company shall cause the authorized capital stock of the Company to include a sufficient number of authorized but unissued shares of Company Common Stock to satisfy the conversion requirements of all Notes then outstanding (giving effect to any adjustment to the Conversion Rate (as defined in the Notes) pursuant to the Notes)</w:t>
      </w:r>
      <w:r>
        <w:rPr>
          <w:rFonts w:ascii="Arial" w:cs="Arial" w:eastAsia="Arial" w:hAnsi="Arial"/>
          <w:sz w:val="15"/>
          <w:szCs w:val="15"/>
          <w:color w:val="28282A"/>
        </w:rPr>
        <w:t>,</w:t>
      </w:r>
      <w:r>
        <w:rPr>
          <w:rFonts w:ascii="Arial" w:cs="Arial" w:eastAsia="Arial" w:hAnsi="Arial"/>
          <w:sz w:val="15"/>
          <w:szCs w:val="15"/>
          <w:color w:val="auto"/>
        </w:rPr>
        <w:t xml:space="preserve"> and shall reserve and keep available out of its authorized but unissued shares of Company Common Stock such number of shares thereof for issuance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60"/>
          </w:cols>
          <w:pgMar w:left="300" w:top="1152" w:right="339" w:bottom="1440" w:gutter="0" w:footer="0" w:header="0"/>
        </w:sectPr>
      </w:pPr>
    </w:p>
    <w:bookmarkStart w:id="160" w:name="page161"/>
    <w:bookmarkEnd w:id="160"/>
    <w:p>
      <w:pPr>
        <w:jc w:val="both"/>
        <w:ind w:right="20" w:firstLine="509"/>
        <w:spacing w:after="0" w:line="283"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Sole Investor.</w:t>
      </w:r>
      <w:r>
        <w:rPr>
          <w:rFonts w:ascii="Arial" w:cs="Arial" w:eastAsia="Arial" w:hAnsi="Arial"/>
          <w:sz w:val="16"/>
          <w:szCs w:val="16"/>
          <w:color w:val="auto"/>
        </w:rPr>
        <w:t xml:space="preserve"> Purchaser shall be the sole investor and purchaser of the Notes issued under this Agreement unless and until Purchaser transfers one or more Notes as permitted hereby. So long as Purchaser holds at least a majority of the aggregate principal amount of the Notes then outstanding, as determined pursuant to Article 8 of the Indenture, the Notes and the Indenture shall not be modified without the consent of Purchaser.</w:t>
      </w:r>
    </w:p>
    <w:p>
      <w:pPr>
        <w:spacing w:after="0" w:line="134" w:lineRule="exact"/>
        <w:rPr>
          <w:sz w:val="20"/>
          <w:szCs w:val="20"/>
          <w:color w:val="auto"/>
        </w:rPr>
      </w:pPr>
    </w:p>
    <w:p>
      <w:pPr>
        <w:ind w:left="4480"/>
        <w:spacing w:after="0"/>
        <w:tabs>
          <w:tab w:leader="none" w:pos="5480" w:val="left"/>
        </w:tabs>
        <w:rPr>
          <w:sz w:val="20"/>
          <w:szCs w:val="20"/>
          <w:color w:val="auto"/>
        </w:rPr>
      </w:pPr>
      <w:r>
        <w:rPr>
          <w:rFonts w:ascii="Arial" w:cs="Arial" w:eastAsia="Arial" w:hAnsi="Arial"/>
          <w:sz w:val="17"/>
          <w:szCs w:val="17"/>
          <w:color w:val="auto"/>
        </w:rPr>
        <w:t>Article 5.</w:t>
      </w:r>
      <w:r>
        <w:rPr>
          <w:sz w:val="20"/>
          <w:szCs w:val="20"/>
          <w:color w:val="auto"/>
        </w:rPr>
        <w:tab/>
      </w:r>
      <w:r>
        <w:rPr>
          <w:rFonts w:ascii="Arial" w:cs="Arial" w:eastAsia="Arial" w:hAnsi="Arial"/>
          <w:sz w:val="15"/>
          <w:szCs w:val="15"/>
          <w:color w:val="110F13"/>
        </w:rPr>
        <w:t>Registratio</w:t>
      </w:r>
      <w:r>
        <w:rPr>
          <w:rFonts w:ascii="Arial" w:cs="Arial" w:eastAsia="Arial" w:hAnsi="Arial"/>
          <w:sz w:val="15"/>
          <w:szCs w:val="15"/>
          <w:color w:val="28282A"/>
        </w:rPr>
        <w:t>n</w:t>
      </w:r>
      <w:r>
        <w:rPr>
          <w:rFonts w:ascii="Arial" w:cs="Arial" w:eastAsia="Arial" w:hAnsi="Arial"/>
          <w:sz w:val="15"/>
          <w:szCs w:val="15"/>
          <w:color w:val="110F13"/>
        </w:rPr>
        <w:t xml:space="preserve"> Rights</w:t>
      </w:r>
    </w:p>
    <w:p>
      <w:pPr>
        <w:spacing w:after="0" w:line="186"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7"/>
          <w:szCs w:val="17"/>
          <w:color w:val="auto"/>
        </w:rPr>
        <w:t>Section 5.01</w:t>
      </w:r>
      <w:r>
        <w:rPr>
          <w:sz w:val="20"/>
          <w:szCs w:val="20"/>
          <w:color w:val="auto"/>
        </w:rPr>
        <w:tab/>
      </w:r>
      <w:r>
        <w:rPr>
          <w:rFonts w:ascii="Arial" w:cs="Arial" w:eastAsia="Arial" w:hAnsi="Arial"/>
          <w:sz w:val="15"/>
          <w:szCs w:val="15"/>
          <w:i w:val="1"/>
          <w:iCs w:val="1"/>
          <w:color w:val="auto"/>
        </w:rPr>
        <w:t>Registration Statement.</w:t>
      </w:r>
    </w:p>
    <w:p>
      <w:pPr>
        <w:spacing w:after="0" w:line="176" w:lineRule="exact"/>
        <w:rPr>
          <w:sz w:val="20"/>
          <w:szCs w:val="20"/>
          <w:color w:val="auto"/>
        </w:rPr>
      </w:pPr>
    </w:p>
    <w:p>
      <w:pPr>
        <w:ind w:right="40" w:firstLine="514"/>
        <w:spacing w:after="0" w:line="268" w:lineRule="auto"/>
        <w:tabs>
          <w:tab w:leader="none" w:pos="100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will prepare and file and use reasonable efforts to cause to be declared effective or otherwise become effective pursuant to the Securities Act in each case as soon as practicable</w:t>
      </w:r>
      <w:r>
        <w:rPr>
          <w:rFonts w:ascii="Arial" w:cs="Arial" w:eastAsia="Arial" w:hAnsi="Arial"/>
          <w:sz w:val="16"/>
          <w:szCs w:val="16"/>
          <w:color w:val="28282A"/>
        </w:rPr>
        <w:t>,</w:t>
      </w:r>
      <w:r>
        <w:rPr>
          <w:rFonts w:ascii="Arial" w:cs="Arial" w:eastAsia="Arial" w:hAnsi="Arial"/>
          <w:sz w:val="16"/>
          <w:szCs w:val="16"/>
          <w:color w:val="auto"/>
        </w:rPr>
        <w:t xml:space="preserve"> and in any event not later than the date that is one (1) year after the Closing Date (the </w:t>
      </w:r>
      <w:r>
        <w:rPr>
          <w:rFonts w:ascii="Arial" w:cs="Arial" w:eastAsia="Arial" w:hAnsi="Arial"/>
          <w:sz w:val="16"/>
          <w:szCs w:val="16"/>
          <w:color w:val="28282A"/>
        </w:rPr>
        <w:t>“</w:t>
      </w:r>
      <w:r>
        <w:rPr>
          <w:rFonts w:ascii="Arial" w:cs="Arial" w:eastAsia="Arial" w:hAnsi="Arial"/>
          <w:sz w:val="16"/>
          <w:szCs w:val="16"/>
          <w:b w:val="1"/>
          <w:bCs w:val="1"/>
          <w:color w:val="auto"/>
        </w:rPr>
        <w:t>Target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b w:val="1"/>
          <w:bCs w:val="1"/>
          <w:color w:val="28282A"/>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shelf Registration Statement in order to provide for resales of any or all of the Registrable Securities to be made on a delayed or continuous basis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Rule 415 under the Securities Act</w:t>
      </w:r>
      <w:r>
        <w:rPr>
          <w:rFonts w:ascii="Arial" w:cs="Arial" w:eastAsia="Arial" w:hAnsi="Arial"/>
          <w:sz w:val="16"/>
          <w:szCs w:val="16"/>
          <w:color w:val="28282A"/>
        </w:rPr>
        <w:t>,</w:t>
      </w:r>
      <w:r>
        <w:rPr>
          <w:rFonts w:ascii="Arial" w:cs="Arial" w:eastAsia="Arial" w:hAnsi="Arial"/>
          <w:sz w:val="16"/>
          <w:szCs w:val="16"/>
          <w:color w:val="auto"/>
        </w:rPr>
        <w:t xml:space="preserve"> which Registration Statement will (except to the extent the SEC objects in written comments upon the SEC’s review of such Registration Statement) contain a “plan of distribution</w:t>
      </w:r>
      <w:r>
        <w:rPr>
          <w:rFonts w:ascii="Arial" w:cs="Arial" w:eastAsia="Arial" w:hAnsi="Arial"/>
          <w:sz w:val="16"/>
          <w:szCs w:val="16"/>
          <w:color w:val="28282A"/>
        </w:rPr>
        <w:t>”</w:t>
      </w:r>
      <w:r>
        <w:rPr>
          <w:rFonts w:ascii="Arial" w:cs="Arial" w:eastAsia="Arial" w:hAnsi="Arial"/>
          <w:sz w:val="16"/>
          <w:szCs w:val="16"/>
          <w:color w:val="auto"/>
        </w:rPr>
        <w:t xml:space="preserve"> covering the </w:t>
      </w:r>
      <w:r>
        <w:rPr>
          <w:rFonts w:ascii="Arial" w:cs="Arial" w:eastAsia="Arial" w:hAnsi="Arial"/>
          <w:sz w:val="16"/>
          <w:szCs w:val="16"/>
          <w:color w:val="110E13"/>
        </w:rPr>
        <w:t>intended manner of disposition</w:t>
      </w:r>
      <w:r>
        <w:rPr>
          <w:rFonts w:ascii="Arial" w:cs="Arial" w:eastAsia="Arial" w:hAnsi="Arial"/>
          <w:sz w:val="16"/>
          <w:szCs w:val="16"/>
          <w:color w:val="auto"/>
        </w:rPr>
        <w:t>. In addition</w:t>
      </w:r>
      <w:r>
        <w:rPr>
          <w:rFonts w:ascii="Arial" w:cs="Arial" w:eastAsia="Arial" w:hAnsi="Arial"/>
          <w:sz w:val="16"/>
          <w:szCs w:val="16"/>
          <w:color w:val="28282A"/>
        </w:rPr>
        <w:t>,</w:t>
      </w:r>
      <w:r>
        <w:rPr>
          <w:rFonts w:ascii="Arial" w:cs="Arial" w:eastAsia="Arial" w:hAnsi="Arial"/>
          <w:sz w:val="16"/>
          <w:szCs w:val="16"/>
          <w:color w:val="auto"/>
        </w:rPr>
        <w:t xml:space="preserve"> the Company will from time to time use reasonable efforts to file such additional Registration Statements to cover resales of any Registrable Securities. Any Registration Statement filed pursuant to this Article 5 shall cover only Registrable Securities</w:t>
      </w:r>
      <w:r>
        <w:rPr>
          <w:rFonts w:ascii="Arial" w:cs="Arial" w:eastAsia="Arial" w:hAnsi="Arial"/>
          <w:sz w:val="16"/>
          <w:szCs w:val="16"/>
          <w:color w:val="28282A"/>
        </w:rPr>
        <w:t>,</w:t>
      </w:r>
      <w:r>
        <w:rPr>
          <w:rFonts w:ascii="Arial" w:cs="Arial" w:eastAsia="Arial" w:hAnsi="Arial"/>
          <w:sz w:val="16"/>
          <w:szCs w:val="16"/>
          <w:color w:val="auto"/>
        </w:rPr>
        <w:t xml:space="preserve"> shall be on Form S-3 (or a successor form) if the Company is eligible to use such form and shall be an automatically effective Registration Statement if the Company is a WKSI.</w:t>
      </w:r>
    </w:p>
    <w:p>
      <w:pPr>
        <w:spacing w:after="0" w:line="138" w:lineRule="exact"/>
        <w:rPr>
          <w:rFonts w:ascii="Arial" w:cs="Arial" w:eastAsia="Arial" w:hAnsi="Arial"/>
          <w:sz w:val="16"/>
          <w:szCs w:val="16"/>
          <w:color w:val="auto"/>
        </w:rPr>
      </w:pPr>
    </w:p>
    <w:p>
      <w:pPr>
        <w:ind w:right="340" w:firstLine="514"/>
        <w:spacing w:after="0" w:line="295" w:lineRule="auto"/>
        <w:tabs>
          <w:tab w:leader="none" w:pos="101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Subject to the provisions of Section 5.02 and further subject to the availability of a Registration Statement on Form S-3 (or any successor form thereto) to the Company pursuant to the Securities Act and the rules and interpretations of the SEC</w:t>
      </w:r>
      <w:r>
        <w:rPr>
          <w:rFonts w:ascii="Arial" w:cs="Arial" w:eastAsia="Arial" w:hAnsi="Arial"/>
          <w:sz w:val="15"/>
          <w:szCs w:val="15"/>
          <w:color w:val="28282A"/>
        </w:rPr>
        <w:t>,</w:t>
      </w:r>
      <w:r>
        <w:rPr>
          <w:rFonts w:ascii="Arial" w:cs="Arial" w:eastAsia="Arial" w:hAnsi="Arial"/>
          <w:sz w:val="15"/>
          <w:szCs w:val="15"/>
          <w:color w:val="auto"/>
        </w:rPr>
        <w:t xml:space="preserve"> the Company will use its reasonable efforts to keep the Registration Statement (or any replacement Registration Statement) continuously effective until the earlier of (such earlier date</w:t>
      </w:r>
      <w:r>
        <w:rPr>
          <w:rFonts w:ascii="Arial" w:cs="Arial" w:eastAsia="Arial" w:hAnsi="Arial"/>
          <w:sz w:val="15"/>
          <w:szCs w:val="15"/>
          <w:color w:val="28282A"/>
        </w:rPr>
        <w:t>,</w:t>
      </w:r>
      <w:r>
        <w:rPr>
          <w:rFonts w:ascii="Arial" w:cs="Arial" w:eastAsia="Arial" w:hAnsi="Arial"/>
          <w:sz w:val="15"/>
          <w:szCs w:val="15"/>
          <w:color w:val="auto"/>
        </w:rPr>
        <w:t xml:space="preserve"> the “</w:t>
      </w:r>
      <w:r>
        <w:rPr>
          <w:rFonts w:ascii="Arial" w:cs="Arial" w:eastAsia="Arial" w:hAnsi="Arial"/>
          <w:sz w:val="15"/>
          <w:szCs w:val="15"/>
          <w:b w:val="1"/>
          <w:bCs w:val="1"/>
          <w:color w:val="auto"/>
        </w:rPr>
        <w:t>Registration Termination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on which all Registrable Securities covered by the Registration Statement have been sold thereunder in accordance with the plan and method of</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disclosed in the prospectus included in the Registration Statement and there otherwise cease to be any Registrable Securities.</w:t>
      </w:r>
    </w:p>
    <w:p>
      <w:pPr>
        <w:spacing w:after="0" w:line="117" w:lineRule="exact"/>
        <w:rPr>
          <w:rFonts w:ascii="Arial" w:cs="Arial" w:eastAsia="Arial" w:hAnsi="Arial"/>
          <w:sz w:val="15"/>
          <w:szCs w:val="15"/>
          <w:color w:val="auto"/>
        </w:rPr>
      </w:pPr>
    </w:p>
    <w:p>
      <w:pPr>
        <w:ind w:firstLine="514"/>
        <w:spacing w:after="0" w:line="295" w:lineRule="auto"/>
        <w:tabs>
          <w:tab w:leader="none" w:pos="100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Notwithstanding anything herein to the contrary</w:t>
      </w:r>
      <w:r>
        <w:rPr>
          <w:rFonts w:ascii="Arial" w:cs="Arial" w:eastAsia="Arial" w:hAnsi="Arial"/>
          <w:sz w:val="15"/>
          <w:szCs w:val="15"/>
          <w:color w:val="28282A"/>
        </w:rPr>
        <w:t>,</w:t>
      </w:r>
      <w:r>
        <w:rPr>
          <w:rFonts w:ascii="Arial" w:cs="Arial" w:eastAsia="Arial" w:hAnsi="Arial"/>
          <w:sz w:val="15"/>
          <w:szCs w:val="15"/>
          <w:color w:val="auto"/>
        </w:rPr>
        <w:t xml:space="preserve"> during such period of time from and after the Target Registration Date that the Company ceases to be eligible to file or use a Registration Statement on Form S-3 (or any successor form thereto)</w:t>
      </w:r>
      <w:r>
        <w:rPr>
          <w:rFonts w:ascii="Arial" w:cs="Arial" w:eastAsia="Arial" w:hAnsi="Arial"/>
          <w:sz w:val="15"/>
          <w:szCs w:val="15"/>
          <w:color w:val="28282A"/>
        </w:rPr>
        <w:t>,</w:t>
      </w:r>
      <w:r>
        <w:rPr>
          <w:rFonts w:ascii="Arial" w:cs="Arial" w:eastAsia="Arial" w:hAnsi="Arial"/>
          <w:sz w:val="15"/>
          <w:szCs w:val="15"/>
          <w:color w:val="auto"/>
        </w:rPr>
        <w:t xml:space="preserve"> upon the written request of any holder of Registrable Securities</w:t>
      </w:r>
      <w:r>
        <w:rPr>
          <w:rFonts w:ascii="Arial" w:cs="Arial" w:eastAsia="Arial" w:hAnsi="Arial"/>
          <w:sz w:val="15"/>
          <w:szCs w:val="15"/>
          <w:color w:val="28282A"/>
        </w:rPr>
        <w:t>,</w:t>
      </w:r>
      <w:r>
        <w:rPr>
          <w:rFonts w:ascii="Arial" w:cs="Arial" w:eastAsia="Arial" w:hAnsi="Arial"/>
          <w:sz w:val="15"/>
          <w:szCs w:val="15"/>
          <w:color w:val="auto"/>
        </w:rPr>
        <w:t xml:space="preserve"> the Company shall use its reasonable efforts to file a Registration Statement on Form S-1 (or any successor form) under the Securities Act covering the Registrable Securities of the requesting party and use reasonable efforts to cause such Registration Statement to be declared effective pursuant to the Securities Act as soon as reasonably practicable after filing thereof and file and cause to become effective such amendments thereto as are necessary in order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00" w:top="1152" w:right="359" w:bottom="1440" w:gutter="0" w:footer="0" w:header="0"/>
        </w:sectPr>
      </w:pPr>
    </w:p>
    <w:bookmarkStart w:id="161" w:name="page162"/>
    <w:bookmarkEnd w:id="161"/>
    <w:p>
      <w:pPr>
        <w:ind w:right="360"/>
        <w:spacing w:after="0" w:line="303" w:lineRule="auto"/>
        <w:rPr>
          <w:sz w:val="20"/>
          <w:szCs w:val="20"/>
          <w:color w:val="auto"/>
        </w:rPr>
      </w:pPr>
      <w:r>
        <w:rPr>
          <w:rFonts w:ascii="Arial" w:cs="Arial" w:eastAsia="Arial" w:hAnsi="Arial"/>
          <w:sz w:val="16"/>
          <w:szCs w:val="16"/>
          <w:color w:val="auto"/>
        </w:rPr>
        <w:t xml:space="preserve">keep such Registration Statement available for no less than 60 days after its effective date. </w:t>
      </w:r>
      <w:r>
        <w:rPr>
          <w:rFonts w:ascii="Arial" w:cs="Arial" w:eastAsia="Arial" w:hAnsi="Arial"/>
          <w:sz w:val="16"/>
          <w:szCs w:val="16"/>
          <w:color w:val="110E13"/>
        </w:rPr>
        <w:t>When the Company regains ability to file a Registration Statement on</w:t>
      </w:r>
      <w:r>
        <w:rPr>
          <w:rFonts w:ascii="Arial" w:cs="Arial" w:eastAsia="Arial" w:hAnsi="Arial"/>
          <w:sz w:val="16"/>
          <w:szCs w:val="16"/>
          <w:color w:val="auto"/>
        </w:rPr>
        <w:t xml:space="preserve"> </w:t>
      </w:r>
      <w:r>
        <w:rPr>
          <w:rFonts w:ascii="Arial" w:cs="Arial" w:eastAsia="Arial" w:hAnsi="Arial"/>
          <w:sz w:val="16"/>
          <w:szCs w:val="16"/>
          <w:color w:val="110E13"/>
        </w:rPr>
        <w:t>Form S-3 covering the Registrable Securities it shall as promptly as practicably do so in accordance with Section 5.01(a).</w:t>
      </w:r>
    </w:p>
    <w:p>
      <w:pPr>
        <w:spacing w:after="0" w:line="108"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5"/>
          <w:szCs w:val="15"/>
          <w:i w:val="1"/>
          <w:iCs w:val="1"/>
          <w:color w:val="auto"/>
        </w:rPr>
        <w:t>Registration Limitations and Obligations.</w:t>
      </w:r>
    </w:p>
    <w:p>
      <w:pPr>
        <w:spacing w:after="0" w:line="176" w:lineRule="exact"/>
        <w:rPr>
          <w:sz w:val="20"/>
          <w:szCs w:val="20"/>
          <w:color w:val="auto"/>
        </w:rPr>
      </w:pPr>
    </w:p>
    <w:p>
      <w:pPr>
        <w:ind w:right="60" w:firstLine="514"/>
        <w:spacing w:after="0" w:line="284" w:lineRule="auto"/>
        <w:tabs>
          <w:tab w:leader="none" w:pos="1009" w:val="left"/>
        </w:tabs>
        <w:numPr>
          <w:ilvl w:val="1"/>
          <w:numId w:val="117"/>
        </w:numPr>
        <w:rPr>
          <w:rFonts w:ascii="Arial" w:cs="Arial" w:eastAsia="Arial" w:hAnsi="Arial"/>
          <w:sz w:val="15"/>
          <w:szCs w:val="15"/>
          <w:color w:val="auto"/>
        </w:rPr>
      </w:pPr>
      <w:r>
        <w:rPr>
          <w:rFonts w:ascii="Arial" w:cs="Arial" w:eastAsia="Arial" w:hAnsi="Arial"/>
          <w:sz w:val="15"/>
          <w:szCs w:val="15"/>
          <w:color w:val="auto"/>
        </w:rPr>
        <w:t>Subject to Section 5.01</w:t>
      </w:r>
      <w:r>
        <w:rPr>
          <w:rFonts w:ascii="Arial" w:cs="Arial" w:eastAsia="Arial" w:hAnsi="Arial"/>
          <w:sz w:val="15"/>
          <w:szCs w:val="15"/>
          <w:color w:val="2A282A"/>
        </w:rPr>
        <w:t>,</w:t>
      </w:r>
      <w:r>
        <w:rPr>
          <w:rFonts w:ascii="Arial" w:cs="Arial" w:eastAsia="Arial" w:hAnsi="Arial"/>
          <w:sz w:val="15"/>
          <w:szCs w:val="15"/>
          <w:color w:val="auto"/>
        </w:rPr>
        <w:t xml:space="preserve"> the Company will use reasonable efforts to prepare such supplements or amendments (including post-effective amendments)</w:t>
      </w:r>
      <w:r>
        <w:rPr>
          <w:rFonts w:ascii="Arial" w:cs="Arial" w:eastAsia="Arial" w:hAnsi="Arial"/>
          <w:sz w:val="15"/>
          <w:szCs w:val="15"/>
          <w:color w:val="2A282A"/>
        </w:rPr>
        <w:t>,</w:t>
      </w:r>
      <w:r>
        <w:rPr>
          <w:rFonts w:ascii="Arial" w:cs="Arial" w:eastAsia="Arial" w:hAnsi="Arial"/>
          <w:sz w:val="15"/>
          <w:szCs w:val="15"/>
          <w:color w:val="auto"/>
        </w:rPr>
        <w:t xml:space="preserve"> if required by applicable law</w:t>
      </w:r>
      <w:r>
        <w:rPr>
          <w:rFonts w:ascii="Arial" w:cs="Arial" w:eastAsia="Arial" w:hAnsi="Arial"/>
          <w:sz w:val="15"/>
          <w:szCs w:val="15"/>
          <w:color w:val="2A282A"/>
        </w:rPr>
        <w:t>,</w:t>
      </w:r>
      <w:r>
        <w:rPr>
          <w:rFonts w:ascii="Arial" w:cs="Arial" w:eastAsia="Arial" w:hAnsi="Arial"/>
          <w:sz w:val="15"/>
          <w:szCs w:val="15"/>
          <w:color w:val="auto"/>
        </w:rPr>
        <w:t xml:space="preserve"> to each applicable Registration Statement and file any other required document so that such Registration Statement will be Available at all times during the period for which such Registration Statement is</w:t>
      </w:r>
      <w:r>
        <w:rPr>
          <w:rFonts w:ascii="Arial" w:cs="Arial" w:eastAsia="Arial" w:hAnsi="Arial"/>
          <w:sz w:val="15"/>
          <w:szCs w:val="15"/>
          <w:color w:val="2A282A"/>
        </w:rPr>
        <w:t>,</w:t>
      </w:r>
      <w:r>
        <w:rPr>
          <w:rFonts w:ascii="Arial" w:cs="Arial" w:eastAsia="Arial" w:hAnsi="Arial"/>
          <w:sz w:val="15"/>
          <w:szCs w:val="15"/>
          <w:color w:val="auto"/>
        </w:rPr>
        <w:t xml:space="preserve"> or is required pursuant to this Agreement to be</w:t>
      </w:r>
      <w:r>
        <w:rPr>
          <w:rFonts w:ascii="Arial" w:cs="Arial" w:eastAsia="Arial" w:hAnsi="Arial"/>
          <w:sz w:val="15"/>
          <w:szCs w:val="15"/>
          <w:color w:val="2A282A"/>
        </w:rPr>
        <w:t>,</w:t>
      </w:r>
      <w:r>
        <w:rPr>
          <w:rFonts w:ascii="Arial" w:cs="Arial" w:eastAsia="Arial" w:hAnsi="Arial"/>
          <w:sz w:val="15"/>
          <w:szCs w:val="15"/>
          <w:color w:val="auto"/>
        </w:rPr>
        <w:t xml:space="preserve"> effective</w:t>
      </w:r>
      <w:r>
        <w:rPr>
          <w:rFonts w:ascii="Arial" w:cs="Arial" w:eastAsia="Arial" w:hAnsi="Arial"/>
          <w:sz w:val="15"/>
          <w:szCs w:val="15"/>
          <w:color w:val="2A282A"/>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provid</w:t>
      </w:r>
      <w:r>
        <w:rPr>
          <w:rFonts w:ascii="Arial" w:cs="Arial" w:eastAsia="Arial" w:hAnsi="Arial"/>
          <w:sz w:val="15"/>
          <w:szCs w:val="15"/>
          <w:i w:val="1"/>
          <w:iCs w:val="1"/>
          <w:color w:val="2A282A"/>
        </w:rPr>
        <w:t>e</w:t>
      </w:r>
      <w:r>
        <w:rPr>
          <w:rFonts w:ascii="Arial" w:cs="Arial" w:eastAsia="Arial" w:hAnsi="Arial"/>
          <w:sz w:val="15"/>
          <w:szCs w:val="15"/>
          <w:i w:val="1"/>
          <w:iCs w:val="1"/>
          <w:color w:val="auto"/>
        </w:rPr>
        <w:t>d</w:t>
      </w:r>
      <w:r>
        <w:rPr>
          <w:rFonts w:ascii="Arial" w:cs="Arial" w:eastAsia="Arial" w:hAnsi="Arial"/>
          <w:sz w:val="15"/>
          <w:szCs w:val="15"/>
          <w:color w:val="auto"/>
        </w:rPr>
        <w:t xml:space="preserve"> that no such supplement</w:t>
      </w:r>
      <w:r>
        <w:rPr>
          <w:rFonts w:ascii="Arial" w:cs="Arial" w:eastAsia="Arial" w:hAnsi="Arial"/>
          <w:sz w:val="15"/>
          <w:szCs w:val="15"/>
          <w:color w:val="2A282A"/>
        </w:rPr>
        <w:t>,</w:t>
      </w:r>
      <w:r>
        <w:rPr>
          <w:rFonts w:ascii="Arial" w:cs="Arial" w:eastAsia="Arial" w:hAnsi="Arial"/>
          <w:sz w:val="15"/>
          <w:szCs w:val="15"/>
          <w:color w:val="auto"/>
        </w:rPr>
        <w:t xml:space="preserve"> amendment or filing will be required during a Blackout Period. In order to facilitate the Company</w:t>
      </w:r>
      <w:r>
        <w:rPr>
          <w:rFonts w:ascii="Arial" w:cs="Arial" w:eastAsia="Arial" w:hAnsi="Arial"/>
          <w:sz w:val="15"/>
          <w:szCs w:val="15"/>
          <w:color w:val="2A282A"/>
        </w:rPr>
        <w:t>’</w:t>
      </w:r>
      <w:r>
        <w:rPr>
          <w:rFonts w:ascii="Arial" w:cs="Arial" w:eastAsia="Arial" w:hAnsi="Arial"/>
          <w:sz w:val="15"/>
          <w:szCs w:val="15"/>
          <w:color w:val="auto"/>
        </w:rPr>
        <w:t>s determination of whether to initiate a Blackout Period</w:t>
      </w:r>
      <w:r>
        <w:rPr>
          <w:rFonts w:ascii="Arial" w:cs="Arial" w:eastAsia="Arial" w:hAnsi="Arial"/>
          <w:sz w:val="15"/>
          <w:szCs w:val="15"/>
          <w:color w:val="2A282A"/>
        </w:rPr>
        <w:t>,</w:t>
      </w:r>
      <w:r>
        <w:rPr>
          <w:rFonts w:ascii="Arial" w:cs="Arial" w:eastAsia="Arial" w:hAnsi="Arial"/>
          <w:sz w:val="15"/>
          <w:szCs w:val="15"/>
          <w:color w:val="auto"/>
        </w:rPr>
        <w:t xml:space="preserve"> the Purchaser shall give the Company notice of a proposed sale of Registrable Securities pursuant to the Registration Statement at least two (2) Business Days (or</w:t>
      </w:r>
      <w:r>
        <w:rPr>
          <w:rFonts w:ascii="Arial" w:cs="Arial" w:eastAsia="Arial" w:hAnsi="Arial"/>
          <w:sz w:val="15"/>
          <w:szCs w:val="15"/>
          <w:color w:val="2A282A"/>
        </w:rPr>
        <w:t>,</w:t>
      </w:r>
      <w:r>
        <w:rPr>
          <w:rFonts w:ascii="Arial" w:cs="Arial" w:eastAsia="Arial" w:hAnsi="Arial"/>
          <w:sz w:val="15"/>
          <w:szCs w:val="15"/>
          <w:color w:val="auto"/>
        </w:rPr>
        <w:t xml:space="preserve"> if two</w:t>
      </w:r>
    </w:p>
    <w:p>
      <w:pPr>
        <w:spacing w:after="0" w:line="1" w:lineRule="exact"/>
        <w:rPr>
          <w:rFonts w:ascii="Arial" w:cs="Arial" w:eastAsia="Arial" w:hAnsi="Arial"/>
          <w:sz w:val="15"/>
          <w:szCs w:val="15"/>
          <w:color w:val="auto"/>
        </w:rPr>
      </w:pPr>
    </w:p>
    <w:p>
      <w:pPr>
        <w:ind w:left="240" w:hanging="235"/>
        <w:spacing w:after="0"/>
        <w:tabs>
          <w:tab w:leader="none" w:pos="2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Business Days’ notice is not practicable, one (1) Business Day) prior to the proposed date of sale (which notice shall not bind the Purchaser to make any sale).</w:t>
      </w:r>
    </w:p>
    <w:p>
      <w:pPr>
        <w:spacing w:after="0" w:line="185" w:lineRule="exact"/>
        <w:rPr>
          <w:rFonts w:ascii="Arial" w:cs="Arial" w:eastAsia="Arial" w:hAnsi="Arial"/>
          <w:sz w:val="15"/>
          <w:szCs w:val="15"/>
          <w:color w:val="auto"/>
        </w:rPr>
      </w:pPr>
    </w:p>
    <w:p>
      <w:pPr>
        <w:ind w:firstLine="514"/>
        <w:spacing w:after="0" w:line="266" w:lineRule="auto"/>
        <w:tabs>
          <w:tab w:leader="none" w:pos="101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w:t>
      </w:r>
      <w:r>
        <w:rPr>
          <w:rFonts w:ascii="Arial" w:cs="Arial" w:eastAsia="Arial" w:hAnsi="Arial"/>
          <w:sz w:val="16"/>
          <w:szCs w:val="16"/>
          <w:color w:val="2A282A"/>
        </w:rPr>
        <w:t>,</w:t>
      </w:r>
      <w:r>
        <w:rPr>
          <w:rFonts w:ascii="Arial" w:cs="Arial" w:eastAsia="Arial" w:hAnsi="Arial"/>
          <w:sz w:val="16"/>
          <w:szCs w:val="16"/>
          <w:color w:val="auto"/>
        </w:rPr>
        <w:t xml:space="preserve"> the Company shall be entitled</w:t>
      </w:r>
      <w:r>
        <w:rPr>
          <w:rFonts w:ascii="Arial" w:cs="Arial" w:eastAsia="Arial" w:hAnsi="Arial"/>
          <w:sz w:val="16"/>
          <w:szCs w:val="16"/>
          <w:color w:val="2A282A"/>
        </w:rPr>
        <w:t>,</w:t>
      </w:r>
      <w:r>
        <w:rPr>
          <w:rFonts w:ascii="Arial" w:cs="Arial" w:eastAsia="Arial" w:hAnsi="Arial"/>
          <w:sz w:val="16"/>
          <w:szCs w:val="16"/>
          <w:color w:val="auto"/>
        </w:rPr>
        <w:t xml:space="preserve"> from time to time</w:t>
      </w:r>
      <w:r>
        <w:rPr>
          <w:rFonts w:ascii="Arial" w:cs="Arial" w:eastAsia="Arial" w:hAnsi="Arial"/>
          <w:sz w:val="16"/>
          <w:szCs w:val="16"/>
          <w:color w:val="2A282A"/>
        </w:rPr>
        <w:t>,</w:t>
      </w:r>
      <w:r>
        <w:rPr>
          <w:rFonts w:ascii="Arial" w:cs="Arial" w:eastAsia="Arial" w:hAnsi="Arial"/>
          <w:sz w:val="16"/>
          <w:szCs w:val="16"/>
          <w:color w:val="auto"/>
        </w:rPr>
        <w:t xml:space="preserve"> by providing written notice to the holders of Registrable Securities</w:t>
      </w:r>
      <w:r>
        <w:rPr>
          <w:rFonts w:ascii="Arial" w:cs="Arial" w:eastAsia="Arial" w:hAnsi="Arial"/>
          <w:sz w:val="16"/>
          <w:szCs w:val="16"/>
          <w:color w:val="2A282A"/>
        </w:rPr>
        <w:t>,</w:t>
      </w:r>
      <w:r>
        <w:rPr>
          <w:rFonts w:ascii="Arial" w:cs="Arial" w:eastAsia="Arial" w:hAnsi="Arial"/>
          <w:sz w:val="16"/>
          <w:szCs w:val="16"/>
          <w:color w:val="auto"/>
        </w:rPr>
        <w:t xml:space="preserve"> to require such holders of Registrable Securities to defer filing a Registration Statement and suspend the use of the prospectus for sales of Registrable Securities under the Registration Statement during any Blackout Period</w:t>
      </w:r>
      <w:r>
        <w:rPr>
          <w:rFonts w:ascii="Arial" w:cs="Arial" w:eastAsia="Arial" w:hAnsi="Arial"/>
          <w:sz w:val="16"/>
          <w:szCs w:val="16"/>
          <w:color w:val="2A282A"/>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w:t>
      </w:r>
      <w:r>
        <w:rPr>
          <w:rFonts w:ascii="Arial" w:cs="Arial" w:eastAsia="Arial" w:hAnsi="Arial"/>
          <w:sz w:val="16"/>
          <w:szCs w:val="16"/>
          <w:i w:val="1"/>
          <w:iCs w:val="1"/>
          <w:color w:val="2A282A"/>
        </w:rPr>
        <w:t>e</w:t>
      </w:r>
      <w:r>
        <w:rPr>
          <w:rFonts w:ascii="Arial" w:cs="Arial" w:eastAsia="Arial" w:hAnsi="Arial"/>
          <w:sz w:val="16"/>
          <w:szCs w:val="16"/>
          <w:i w:val="1"/>
          <w:iCs w:val="1"/>
          <w:color w:val="auto"/>
        </w:rPr>
        <w:t>d</w:t>
      </w:r>
      <w:r>
        <w:rPr>
          <w:rFonts w:ascii="Arial" w:cs="Arial" w:eastAsia="Arial" w:hAnsi="Arial"/>
          <w:sz w:val="16"/>
          <w:szCs w:val="16"/>
          <w:i w:val="1"/>
          <w:iCs w:val="1"/>
          <w:color w:val="2A282A"/>
        </w:rPr>
        <w:t>,</w:t>
      </w:r>
      <w:r>
        <w:rPr>
          <w:rFonts w:ascii="Arial" w:cs="Arial" w:eastAsia="Arial" w:hAnsi="Arial"/>
          <w:sz w:val="16"/>
          <w:szCs w:val="16"/>
          <w:color w:val="auto"/>
        </w:rPr>
        <w:t xml:space="preserve"> for purposes of this Section 5.02</w:t>
      </w:r>
      <w:r>
        <w:rPr>
          <w:rFonts w:ascii="Arial" w:cs="Arial" w:eastAsia="Arial" w:hAnsi="Arial"/>
          <w:sz w:val="16"/>
          <w:szCs w:val="16"/>
          <w:color w:val="2A282A"/>
        </w:rPr>
        <w:t>,</w:t>
      </w:r>
      <w:r>
        <w:rPr>
          <w:rFonts w:ascii="Arial" w:cs="Arial" w:eastAsia="Arial" w:hAnsi="Arial"/>
          <w:sz w:val="16"/>
          <w:szCs w:val="16"/>
          <w:color w:val="auto"/>
        </w:rPr>
        <w:t xml:space="preserve"> the Company shall only be obligated to provide written notice to any holder or Beneficial Owner of Registrable Securities of any such Blackout Period</w:t>
      </w:r>
      <w:r>
        <w:rPr>
          <w:rFonts w:ascii="Arial" w:cs="Arial" w:eastAsia="Arial" w:hAnsi="Arial"/>
          <w:sz w:val="16"/>
          <w:szCs w:val="16"/>
          <w:color w:val="2A282A"/>
        </w:rPr>
        <w:t>,</w:t>
      </w:r>
      <w:r>
        <w:rPr>
          <w:rFonts w:ascii="Arial" w:cs="Arial" w:eastAsia="Arial" w:hAnsi="Arial"/>
          <w:sz w:val="16"/>
          <w:szCs w:val="16"/>
          <w:color w:val="auto"/>
        </w:rPr>
        <w:t xml:space="preserve"> or the certificate described in the following sentence </w:t>
      </w:r>
      <w:r>
        <w:rPr>
          <w:rFonts w:ascii="Arial" w:cs="Arial" w:eastAsia="Arial" w:hAnsi="Arial"/>
          <w:sz w:val="16"/>
          <w:szCs w:val="16"/>
          <w:color w:val="2A282A"/>
        </w:rPr>
        <w:t>,</w:t>
      </w:r>
      <w:r>
        <w:rPr>
          <w:rFonts w:ascii="Arial" w:cs="Arial" w:eastAsia="Arial" w:hAnsi="Arial"/>
          <w:sz w:val="16"/>
          <w:szCs w:val="16"/>
          <w:color w:val="auto"/>
        </w:rPr>
        <w:t xml:space="preserve"> if such holder or Beneficial Owner has specified in writing to the Company for purposes of receiving such notice such holder’s or Beneficial Owner</w:t>
      </w:r>
      <w:r>
        <w:rPr>
          <w:rFonts w:ascii="Arial" w:cs="Arial" w:eastAsia="Arial" w:hAnsi="Arial"/>
          <w:sz w:val="16"/>
          <w:szCs w:val="16"/>
          <w:color w:val="2A282A"/>
        </w:rPr>
        <w:t>’</w:t>
      </w:r>
      <w:r>
        <w:rPr>
          <w:rFonts w:ascii="Arial" w:cs="Arial" w:eastAsia="Arial" w:hAnsi="Arial"/>
          <w:sz w:val="16"/>
          <w:szCs w:val="16"/>
          <w:color w:val="auto"/>
        </w:rPr>
        <w:t xml:space="preserve"> s address and contact information. No sales may be made under the applicable Registration Statement during any Blackout Period. In the event of a Blackout Period</w:t>
      </w:r>
      <w:r>
        <w:rPr>
          <w:rFonts w:ascii="Arial" w:cs="Arial" w:eastAsia="Arial" w:hAnsi="Arial"/>
          <w:sz w:val="16"/>
          <w:szCs w:val="16"/>
          <w:color w:val="2A282A"/>
        </w:rPr>
        <w:t>,</w:t>
      </w:r>
      <w:r>
        <w:rPr>
          <w:rFonts w:ascii="Arial" w:cs="Arial" w:eastAsia="Arial" w:hAnsi="Arial"/>
          <w:sz w:val="16"/>
          <w:szCs w:val="16"/>
          <w:color w:val="auto"/>
        </w:rPr>
        <w:t xml:space="preserve"> the Company shall notify each holder of Registrable Securities promptly upon each of the commencement and the termination of each Blackout Period</w:t>
      </w:r>
      <w:r>
        <w:rPr>
          <w:rFonts w:ascii="Arial" w:cs="Arial" w:eastAsia="Arial" w:hAnsi="Arial"/>
          <w:sz w:val="16"/>
          <w:szCs w:val="16"/>
          <w:color w:val="2A282A"/>
        </w:rPr>
        <w:t>,</w:t>
      </w:r>
      <w:r>
        <w:rPr>
          <w:rFonts w:ascii="Arial" w:cs="Arial" w:eastAsia="Arial" w:hAnsi="Arial"/>
          <w:sz w:val="16"/>
          <w:szCs w:val="16"/>
          <w:color w:val="auto"/>
        </w:rPr>
        <w:t xml:space="preserve"> which notice of termination shall be delivered to each holder of Registrable Securities no later than the close of business of the last day of the Blackout Period. In connection with the expiration of any Blackout Period and without any further request from a holder of Registrable Securities</w:t>
      </w:r>
      <w:r>
        <w:rPr>
          <w:rFonts w:ascii="Arial" w:cs="Arial" w:eastAsia="Arial" w:hAnsi="Arial"/>
          <w:sz w:val="16"/>
          <w:szCs w:val="16"/>
          <w:color w:val="2A282A"/>
        </w:rPr>
        <w:t>,</w:t>
      </w:r>
      <w:r>
        <w:rPr>
          <w:rFonts w:ascii="Arial" w:cs="Arial" w:eastAsia="Arial" w:hAnsi="Arial"/>
          <w:sz w:val="16"/>
          <w:szCs w:val="16"/>
          <w:color w:val="auto"/>
        </w:rPr>
        <w:t xml:space="preserve"> the Company to the extent necessary and as required by applicable law shall as promptly as reasonably practicable prepare supplements or amendments</w:t>
      </w:r>
      <w:r>
        <w:rPr>
          <w:rFonts w:ascii="Arial" w:cs="Arial" w:eastAsia="Arial" w:hAnsi="Arial"/>
          <w:sz w:val="16"/>
          <w:szCs w:val="16"/>
          <w:color w:val="2A282A"/>
        </w:rPr>
        <w:t>,</w:t>
      </w:r>
      <w:r>
        <w:rPr>
          <w:rFonts w:ascii="Arial" w:cs="Arial" w:eastAsia="Arial" w:hAnsi="Arial"/>
          <w:sz w:val="16"/>
          <w:szCs w:val="16"/>
          <w:color w:val="auto"/>
        </w:rPr>
        <w:t xml:space="preserve"> including post-effective amendments</w:t>
      </w:r>
      <w:r>
        <w:rPr>
          <w:rFonts w:ascii="Arial" w:cs="Arial" w:eastAsia="Arial" w:hAnsi="Arial"/>
          <w:sz w:val="16"/>
          <w:szCs w:val="16"/>
          <w:color w:val="2A282A"/>
        </w:rPr>
        <w:t>,</w:t>
      </w:r>
      <w:r>
        <w:rPr>
          <w:rFonts w:ascii="Arial" w:cs="Arial" w:eastAsia="Arial" w:hAnsi="Arial"/>
          <w:sz w:val="16"/>
          <w:szCs w:val="16"/>
          <w:color w:val="auto"/>
        </w:rPr>
        <w:t xml:space="preserve"> to the Registration Statement or the prospectus</w:t>
      </w:r>
      <w:r>
        <w:rPr>
          <w:rFonts w:ascii="Arial" w:cs="Arial" w:eastAsia="Arial" w:hAnsi="Arial"/>
          <w:sz w:val="16"/>
          <w:szCs w:val="16"/>
          <w:color w:val="2A282A"/>
        </w:rPr>
        <w:t>,</w:t>
      </w:r>
      <w:r>
        <w:rPr>
          <w:rFonts w:ascii="Arial" w:cs="Arial" w:eastAsia="Arial" w:hAnsi="Arial"/>
          <w:sz w:val="16"/>
          <w:szCs w:val="16"/>
          <w:color w:val="auto"/>
        </w:rPr>
        <w:t xml:space="preserve"> or any document incorporated therein by reference</w:t>
      </w:r>
      <w:r>
        <w:rPr>
          <w:rFonts w:ascii="Arial" w:cs="Arial" w:eastAsia="Arial" w:hAnsi="Arial"/>
          <w:sz w:val="16"/>
          <w:szCs w:val="16"/>
          <w:color w:val="2A282A"/>
        </w:rPr>
        <w:t>,</w:t>
      </w:r>
      <w:r>
        <w:rPr>
          <w:rFonts w:ascii="Arial" w:cs="Arial" w:eastAsia="Arial" w:hAnsi="Arial"/>
          <w:sz w:val="16"/>
          <w:szCs w:val="16"/>
          <w:color w:val="auto"/>
        </w:rPr>
        <w:t xml:space="preserve"> or file </w:t>
      </w:r>
      <w:r>
        <w:rPr>
          <w:rFonts w:ascii="Arial" w:cs="Arial" w:eastAsia="Arial" w:hAnsi="Arial"/>
          <w:sz w:val="16"/>
          <w:szCs w:val="16"/>
          <w:color w:val="110E13"/>
        </w:rPr>
        <w:t>any other required document so that the Registration Statement</w:t>
      </w:r>
      <w:r>
        <w:rPr>
          <w:rFonts w:ascii="Arial" w:cs="Arial" w:eastAsia="Arial" w:hAnsi="Arial"/>
          <w:sz w:val="16"/>
          <w:szCs w:val="16"/>
          <w:color w:val="auto"/>
        </w:rPr>
        <w:t xml:space="preserve"> </w:t>
      </w:r>
      <w:r>
        <w:rPr>
          <w:rFonts w:ascii="Arial" w:cs="Arial" w:eastAsia="Arial" w:hAnsi="Arial"/>
          <w:sz w:val="16"/>
          <w:szCs w:val="16"/>
          <w:color w:val="110E13"/>
        </w:rPr>
        <w:t>will be Available</w:t>
      </w:r>
      <w:r>
        <w:rPr>
          <w:rFonts w:ascii="Arial" w:cs="Arial" w:eastAsia="Arial" w:hAnsi="Arial"/>
          <w:sz w:val="16"/>
          <w:szCs w:val="16"/>
          <w:color w:val="2A2A2D"/>
        </w:rPr>
        <w:t>.</w:t>
      </w:r>
      <w:r>
        <w:rPr>
          <w:rFonts w:ascii="Arial" w:cs="Arial" w:eastAsia="Arial" w:hAnsi="Arial"/>
          <w:sz w:val="16"/>
          <w:szCs w:val="16"/>
          <w:color w:val="110E13"/>
        </w:rPr>
        <w:t xml:space="preserve"> A Blackout Period shall be deemed to have expired when the Company has notified the holders of Registrable Securities that the Blackout Period is over and the Registration Statement is Available. Notwithstanding anything in this Agreement to the contrary</w:t>
      </w:r>
      <w:r>
        <w:rPr>
          <w:rFonts w:ascii="Arial" w:cs="Arial" w:eastAsia="Arial" w:hAnsi="Arial"/>
          <w:sz w:val="16"/>
          <w:szCs w:val="16"/>
          <w:color w:val="2A2A2D"/>
        </w:rPr>
        <w:t>,</w:t>
      </w:r>
      <w:r>
        <w:rPr>
          <w:rFonts w:ascii="Arial" w:cs="Arial" w:eastAsia="Arial" w:hAnsi="Arial"/>
          <w:sz w:val="16"/>
          <w:szCs w:val="16"/>
          <w:color w:val="110E13"/>
        </w:rPr>
        <w:t xml:space="preserve"> the absence of an Available Registration Statement at any time from and after the Target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80"/>
          </w:cols>
          <w:pgMar w:left="300" w:top="1152" w:right="31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110E13"/>
        </w:rPr>
        <w:t>Registration Date shall be considered a Blackout Period and subject to the limitations therein.</w:t>
      </w:r>
    </w:p>
    <w:p>
      <w:pPr>
        <w:spacing w:after="0" w:line="176" w:lineRule="exact"/>
        <w:rPr>
          <w:sz w:val="20"/>
          <w:szCs w:val="20"/>
          <w:color w:val="auto"/>
        </w:rPr>
      </w:pPr>
    </w:p>
    <w:p>
      <w:pPr>
        <w:ind w:firstLine="514"/>
        <w:spacing w:after="0" w:line="255" w:lineRule="auto"/>
        <w:tabs>
          <w:tab w:leader="none" w:pos="100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the Company shall not have any obligation to prepare any prospectus supplement, participate in any due diligence, execute any agreements or certificates or deliver legal opinions (other than customary de-legending certificates and opinions or any customary Exhibit 5 opinion required in connection with the initial filing of the Registration Statement) or obtain comfort letters in connection with any sales of the Company Common Stock under the Registration Statement.</w:t>
      </w:r>
    </w:p>
    <w:p>
      <w:pPr>
        <w:spacing w:after="0" w:line="145"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5.03.</w:t>
      </w:r>
      <w:r>
        <w:rPr>
          <w:sz w:val="20"/>
          <w:szCs w:val="20"/>
          <w:color w:val="auto"/>
        </w:rPr>
        <w:tab/>
      </w:r>
      <w:r>
        <w:rPr>
          <w:rFonts w:ascii="Arial" w:cs="Arial" w:eastAsia="Arial" w:hAnsi="Arial"/>
          <w:sz w:val="15"/>
          <w:szCs w:val="15"/>
          <w:i w:val="1"/>
          <w:iCs w:val="1"/>
          <w:color w:val="auto"/>
        </w:rPr>
        <w:t>Registration Procedures.</w:t>
      </w:r>
    </w:p>
    <w:p>
      <w:pPr>
        <w:spacing w:after="0" w:line="176" w:lineRule="exact"/>
        <w:rPr>
          <w:sz w:val="20"/>
          <w:szCs w:val="20"/>
          <w:color w:val="auto"/>
        </w:rPr>
      </w:pPr>
    </w:p>
    <w:p>
      <w:pPr>
        <w:ind w:right="320" w:firstLine="514"/>
        <w:spacing w:after="0" w:line="259" w:lineRule="auto"/>
        <w:tabs>
          <w:tab w:leader="none" w:pos="100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connection with the registration of any Registrable Securities under the Securities Act and in connection with any distribution of Registered Securities pursuant thereto as contemplated by this Agreement</w:t>
      </w:r>
      <w:r>
        <w:rPr>
          <w:rFonts w:ascii="Arial" w:cs="Arial" w:eastAsia="Arial" w:hAnsi="Arial"/>
          <w:sz w:val="17"/>
          <w:szCs w:val="17"/>
          <w:color w:val="2A2A2B"/>
        </w:rPr>
        <w:t>,</w:t>
      </w:r>
      <w:r>
        <w:rPr>
          <w:rFonts w:ascii="Arial" w:cs="Arial" w:eastAsia="Arial" w:hAnsi="Arial"/>
          <w:sz w:val="17"/>
          <w:szCs w:val="17"/>
          <w:color w:val="auto"/>
        </w:rPr>
        <w:t xml:space="preserve"> the Company shall as promptly as reasonably practicable</w:t>
      </w:r>
      <w:r>
        <w:rPr>
          <w:rFonts w:ascii="Arial" w:cs="Arial" w:eastAsia="Arial" w:hAnsi="Arial"/>
          <w:sz w:val="17"/>
          <w:szCs w:val="17"/>
          <w:color w:val="2A2A2B"/>
        </w:rPr>
        <w:t>,</w:t>
      </w:r>
      <w:r>
        <w:rPr>
          <w:rFonts w:ascii="Arial" w:cs="Arial" w:eastAsia="Arial" w:hAnsi="Arial"/>
          <w:sz w:val="17"/>
          <w:szCs w:val="17"/>
          <w:color w:val="auto"/>
        </w:rPr>
        <w:t xml:space="preserve"> subject to the other provisions of this Agreement:</w:t>
      </w:r>
    </w:p>
    <w:p>
      <w:pPr>
        <w:spacing w:after="0" w:line="141" w:lineRule="exact"/>
        <w:rPr>
          <w:rFonts w:ascii="Arial" w:cs="Arial" w:eastAsia="Arial" w:hAnsi="Arial"/>
          <w:sz w:val="17"/>
          <w:szCs w:val="17"/>
          <w:color w:val="auto"/>
        </w:rPr>
      </w:pPr>
    </w:p>
    <w:p>
      <w:pPr>
        <w:ind w:left="520" w:right="40" w:firstLine="504"/>
        <w:spacing w:after="0" w:line="287" w:lineRule="auto"/>
        <w:tabs>
          <w:tab w:leader="none" w:pos="1533" w:val="left"/>
        </w:tabs>
        <w:numPr>
          <w:ilvl w:val="1"/>
          <w:numId w:val="120"/>
        </w:numPr>
        <w:rPr>
          <w:rFonts w:ascii="Arial" w:cs="Arial" w:eastAsia="Arial" w:hAnsi="Arial"/>
          <w:sz w:val="15"/>
          <w:szCs w:val="15"/>
          <w:color w:val="auto"/>
        </w:rPr>
      </w:pPr>
      <w:r>
        <w:rPr>
          <w:rFonts w:ascii="Arial" w:cs="Arial" w:eastAsia="Arial" w:hAnsi="Arial"/>
          <w:sz w:val="15"/>
          <w:szCs w:val="15"/>
          <w:color w:val="110E13"/>
        </w:rPr>
        <w:t>subject to the provisions of Section 5.01(a)</w:t>
      </w:r>
      <w:r>
        <w:rPr>
          <w:rFonts w:ascii="Arial" w:cs="Arial" w:eastAsia="Arial" w:hAnsi="Arial"/>
          <w:sz w:val="15"/>
          <w:szCs w:val="15"/>
          <w:color w:val="2A2A2B"/>
        </w:rPr>
        <w:t>,</w:t>
      </w:r>
      <w:r>
        <w:rPr>
          <w:rFonts w:ascii="Arial" w:cs="Arial" w:eastAsia="Arial" w:hAnsi="Arial"/>
          <w:sz w:val="15"/>
          <w:szCs w:val="15"/>
          <w:color w:val="110E13"/>
        </w:rPr>
        <w:t xml:space="preserve"> use reasonable efforts to prepare and file with the SEC a Registration Statement to effect such registration in accordance with the intended method or methods of distribution of such securities and thereafter use reasonable efforts to cause such Registration Statement to become and remain effective and Available pursuant to the terms of this Article 5</w:t>
      </w:r>
      <w:r>
        <w:rPr>
          <w:rFonts w:ascii="Arial" w:cs="Arial" w:eastAsia="Arial" w:hAnsi="Arial"/>
          <w:sz w:val="15"/>
          <w:szCs w:val="15"/>
          <w:color w:val="2A2A2B"/>
        </w:rPr>
        <w:t>;</w:t>
      </w:r>
      <w:r>
        <w:rPr>
          <w:rFonts w:ascii="Arial" w:cs="Arial" w:eastAsia="Arial" w:hAnsi="Arial"/>
          <w:sz w:val="15"/>
          <w:szCs w:val="15"/>
          <w:color w:val="110E13"/>
        </w:rPr>
        <w:t xml:space="preserve"> </w:t>
      </w:r>
      <w:r>
        <w:rPr>
          <w:rFonts w:ascii="Arial" w:cs="Arial" w:eastAsia="Arial" w:hAnsi="Arial"/>
          <w:sz w:val="15"/>
          <w:szCs w:val="15"/>
          <w:i w:val="1"/>
          <w:iCs w:val="1"/>
          <w:color w:val="110E13"/>
        </w:rPr>
        <w:t>provided, however</w:t>
      </w:r>
      <w:r>
        <w:rPr>
          <w:rFonts w:ascii="Arial" w:cs="Arial" w:eastAsia="Arial" w:hAnsi="Arial"/>
          <w:sz w:val="15"/>
          <w:szCs w:val="15"/>
          <w:i w:val="1"/>
          <w:iCs w:val="1"/>
          <w:color w:val="2A2A2B"/>
        </w:rPr>
        <w:t>,</w:t>
      </w:r>
      <w:r>
        <w:rPr>
          <w:rFonts w:ascii="Arial" w:cs="Arial" w:eastAsia="Arial" w:hAnsi="Arial"/>
          <w:sz w:val="15"/>
          <w:szCs w:val="15"/>
          <w:color w:val="110E13"/>
        </w:rPr>
        <w:t xml:space="preserve"> that the Company may discontinue any registration of its securities which are not Registrable Securities at any time prior to the effective date of the Registration Statement relating thereto</w:t>
      </w:r>
      <w:r>
        <w:rPr>
          <w:rFonts w:ascii="Arial" w:cs="Arial" w:eastAsia="Arial" w:hAnsi="Arial"/>
          <w:sz w:val="15"/>
          <w:szCs w:val="15"/>
          <w:color w:val="2A2A2B"/>
        </w:rPr>
        <w:t>;</w:t>
      </w:r>
      <w:r>
        <w:rPr>
          <w:rFonts w:ascii="Arial" w:cs="Arial" w:eastAsia="Arial" w:hAnsi="Arial"/>
          <w:sz w:val="15"/>
          <w:szCs w:val="15"/>
          <w:color w:val="110E13"/>
        </w:rPr>
        <w:t xml:space="preserve"> </w:t>
      </w:r>
      <w:r>
        <w:rPr>
          <w:rFonts w:ascii="Arial" w:cs="Arial" w:eastAsia="Arial" w:hAnsi="Arial"/>
          <w:sz w:val="15"/>
          <w:szCs w:val="15"/>
          <w:i w:val="1"/>
          <w:iCs w:val="1"/>
          <w:color w:val="110E13"/>
        </w:rPr>
        <w:t>provided</w:t>
      </w:r>
      <w:r>
        <w:rPr>
          <w:rFonts w:ascii="Arial" w:cs="Arial" w:eastAsia="Arial" w:hAnsi="Arial"/>
          <w:sz w:val="15"/>
          <w:szCs w:val="15"/>
          <w:i w:val="1"/>
          <w:iCs w:val="1"/>
          <w:color w:val="2A2A2B"/>
        </w:rPr>
        <w:t>,</w:t>
      </w:r>
      <w:r>
        <w:rPr>
          <w:rFonts w:ascii="Arial" w:cs="Arial" w:eastAsia="Arial" w:hAnsi="Arial"/>
          <w:sz w:val="15"/>
          <w:szCs w:val="15"/>
          <w:color w:val="110E13"/>
        </w:rPr>
        <w:t xml:space="preserve"> </w:t>
      </w:r>
      <w:r>
        <w:rPr>
          <w:rFonts w:ascii="Arial" w:cs="Arial" w:eastAsia="Arial" w:hAnsi="Arial"/>
          <w:sz w:val="15"/>
          <w:szCs w:val="15"/>
          <w:i w:val="1"/>
          <w:iCs w:val="1"/>
          <w:color w:val="110E13"/>
        </w:rPr>
        <w:t>further</w:t>
      </w:r>
      <w:r>
        <w:rPr>
          <w:rFonts w:ascii="Arial" w:cs="Arial" w:eastAsia="Arial" w:hAnsi="Arial"/>
          <w:sz w:val="15"/>
          <w:szCs w:val="15"/>
          <w:i w:val="1"/>
          <w:iCs w:val="1"/>
          <w:color w:val="2A2A2B"/>
        </w:rPr>
        <w:t>,</w:t>
      </w:r>
      <w:r>
        <w:rPr>
          <w:rFonts w:ascii="Arial" w:cs="Arial" w:eastAsia="Arial" w:hAnsi="Arial"/>
          <w:sz w:val="15"/>
          <w:szCs w:val="15"/>
          <w:color w:val="110E13"/>
        </w:rPr>
        <w:t xml:space="preserve"> that before filing such registration statement or any amendments or supplements thereto (but excluding amendments and supplements that do nothing more than name Selling Holders (as defined below) and provide information with respect thereto)</w:t>
      </w:r>
      <w:r>
        <w:rPr>
          <w:rFonts w:ascii="Arial" w:cs="Arial" w:eastAsia="Arial" w:hAnsi="Arial"/>
          <w:sz w:val="15"/>
          <w:szCs w:val="15"/>
          <w:color w:val="2A2A2B"/>
        </w:rPr>
        <w:t>,</w:t>
      </w:r>
      <w:r>
        <w:rPr>
          <w:rFonts w:ascii="Arial" w:cs="Arial" w:eastAsia="Arial" w:hAnsi="Arial"/>
          <w:sz w:val="15"/>
          <w:szCs w:val="15"/>
          <w:color w:val="110E13"/>
        </w:rPr>
        <w:t xml:space="preserve"> the Company will furnish to the holders which are including Registrable Securities in such registration (“</w:t>
      </w:r>
      <w:r>
        <w:rPr>
          <w:rFonts w:ascii="Arial" w:cs="Arial" w:eastAsia="Arial" w:hAnsi="Arial"/>
          <w:sz w:val="15"/>
          <w:szCs w:val="15"/>
          <w:b w:val="1"/>
          <w:bCs w:val="1"/>
          <w:color w:val="110E13"/>
        </w:rPr>
        <w:t>Selling Holders</w:t>
      </w:r>
      <w:r>
        <w:rPr>
          <w:rFonts w:ascii="Arial" w:cs="Arial" w:eastAsia="Arial" w:hAnsi="Arial"/>
          <w:sz w:val="15"/>
          <w:szCs w:val="15"/>
          <w:color w:val="110E13"/>
        </w:rPr>
        <w:t>”)</w:t>
      </w:r>
      <w:r>
        <w:rPr>
          <w:rFonts w:ascii="Arial" w:cs="Arial" w:eastAsia="Arial" w:hAnsi="Arial"/>
          <w:sz w:val="15"/>
          <w:szCs w:val="15"/>
          <w:color w:val="2A2A2B"/>
        </w:rPr>
        <w:t>,</w:t>
      </w:r>
      <w:r>
        <w:rPr>
          <w:rFonts w:ascii="Arial" w:cs="Arial" w:eastAsia="Arial" w:hAnsi="Arial"/>
          <w:sz w:val="15"/>
          <w:szCs w:val="15"/>
          <w:color w:val="110E13"/>
        </w:rPr>
        <w:t xml:space="preserve"> if any</w:t>
      </w:r>
      <w:r>
        <w:rPr>
          <w:rFonts w:ascii="Arial" w:cs="Arial" w:eastAsia="Arial" w:hAnsi="Arial"/>
          <w:sz w:val="15"/>
          <w:szCs w:val="15"/>
          <w:color w:val="2A2A2B"/>
        </w:rPr>
        <w:t>,</w:t>
      </w:r>
      <w:r>
        <w:rPr>
          <w:rFonts w:ascii="Arial" w:cs="Arial" w:eastAsia="Arial" w:hAnsi="Arial"/>
          <w:sz w:val="15"/>
          <w:szCs w:val="15"/>
          <w:color w:val="110E13"/>
        </w:rPr>
        <w:t xml:space="preserve"> copies of all such documents proposed to be filed</w:t>
      </w:r>
      <w:r>
        <w:rPr>
          <w:rFonts w:ascii="Arial" w:cs="Arial" w:eastAsia="Arial" w:hAnsi="Arial"/>
          <w:sz w:val="15"/>
          <w:szCs w:val="15"/>
          <w:color w:val="2A2A2B"/>
        </w:rPr>
        <w:t>,</w:t>
      </w:r>
      <w:r>
        <w:rPr>
          <w:rFonts w:ascii="Arial" w:cs="Arial" w:eastAsia="Arial" w:hAnsi="Arial"/>
          <w:sz w:val="15"/>
          <w:szCs w:val="15"/>
          <w:color w:val="110E13"/>
        </w:rPr>
        <w:t xml:space="preserve"> which documents will be subject to the review and reasonable comment (which comments will be considered in good faith by the Company) of the counsel (if any) to such holders</w:t>
      </w:r>
      <w:r>
        <w:rPr>
          <w:rFonts w:ascii="Arial" w:cs="Arial" w:eastAsia="Arial" w:hAnsi="Arial"/>
          <w:sz w:val="15"/>
          <w:szCs w:val="15"/>
          <w:color w:val="2A2A2B"/>
        </w:rPr>
        <w:t>,</w:t>
      </w:r>
      <w:r>
        <w:rPr>
          <w:rFonts w:ascii="Arial" w:cs="Arial" w:eastAsia="Arial" w:hAnsi="Arial"/>
          <w:sz w:val="15"/>
          <w:szCs w:val="15"/>
          <w:color w:val="110E13"/>
        </w:rPr>
        <w:t xml:space="preserve"> and other documents reasonably requested by any such counsel</w:t>
      </w:r>
      <w:r>
        <w:rPr>
          <w:rFonts w:ascii="Arial" w:cs="Arial" w:eastAsia="Arial" w:hAnsi="Arial"/>
          <w:sz w:val="15"/>
          <w:szCs w:val="15"/>
          <w:color w:val="2A2A2B"/>
        </w:rPr>
        <w:t>,</w:t>
      </w:r>
      <w:r>
        <w:rPr>
          <w:rFonts w:ascii="Arial" w:cs="Arial" w:eastAsia="Arial" w:hAnsi="Arial"/>
          <w:sz w:val="15"/>
          <w:szCs w:val="15"/>
          <w:color w:val="110E13"/>
        </w:rPr>
        <w:t xml:space="preserve"> including any comment letters from the SEC</w:t>
      </w:r>
      <w:r>
        <w:rPr>
          <w:rFonts w:ascii="Arial" w:cs="Arial" w:eastAsia="Arial" w:hAnsi="Arial"/>
          <w:sz w:val="15"/>
          <w:szCs w:val="15"/>
          <w:color w:val="2A282B"/>
        </w:rPr>
        <w:t>;</w:t>
      </w:r>
    </w:p>
    <w:p>
      <w:pPr>
        <w:spacing w:after="0" w:line="138" w:lineRule="exact"/>
        <w:rPr>
          <w:rFonts w:ascii="Arial" w:cs="Arial" w:eastAsia="Arial" w:hAnsi="Arial"/>
          <w:sz w:val="15"/>
          <w:szCs w:val="15"/>
          <w:color w:val="auto"/>
        </w:rPr>
      </w:pPr>
    </w:p>
    <w:p>
      <w:pPr>
        <w:ind w:left="520" w:right="260" w:firstLine="504"/>
        <w:spacing w:after="0" w:line="303" w:lineRule="auto"/>
        <w:tabs>
          <w:tab w:leader="none" w:pos="1538" w:val="left"/>
        </w:tabs>
        <w:numPr>
          <w:ilvl w:val="1"/>
          <w:numId w:val="120"/>
        </w:numPr>
        <w:rPr>
          <w:rFonts w:ascii="Arial" w:cs="Arial" w:eastAsia="Arial" w:hAnsi="Arial"/>
          <w:sz w:val="16"/>
          <w:szCs w:val="16"/>
          <w:color w:val="auto"/>
        </w:rPr>
      </w:pPr>
      <w:r>
        <w:rPr>
          <w:rFonts w:ascii="Arial" w:cs="Arial" w:eastAsia="Arial" w:hAnsi="Arial"/>
          <w:sz w:val="16"/>
          <w:szCs w:val="16"/>
          <w:color w:val="110E13"/>
        </w:rPr>
        <w:t>at or before any Registration Statement is declared or otherwise becomes effective</w:t>
      </w:r>
      <w:r>
        <w:rPr>
          <w:rFonts w:ascii="Arial" w:cs="Arial" w:eastAsia="Arial" w:hAnsi="Arial"/>
          <w:sz w:val="16"/>
          <w:szCs w:val="16"/>
          <w:color w:val="2A282B"/>
        </w:rPr>
        <w:t>,</w:t>
      </w:r>
      <w:r>
        <w:rPr>
          <w:rFonts w:ascii="Arial" w:cs="Arial" w:eastAsia="Arial" w:hAnsi="Arial"/>
          <w:sz w:val="16"/>
          <w:szCs w:val="16"/>
          <w:color w:val="110E13"/>
        </w:rPr>
        <w:t xml:space="preserve"> qualify the Indenture under the Trust Indenture Act of 1939</w:t>
      </w:r>
      <w:r>
        <w:rPr>
          <w:rFonts w:ascii="Arial" w:cs="Arial" w:eastAsia="Arial" w:hAnsi="Arial"/>
          <w:sz w:val="16"/>
          <w:szCs w:val="16"/>
          <w:color w:val="2A282B"/>
        </w:rPr>
        <w:t>,</w:t>
      </w:r>
      <w:r>
        <w:rPr>
          <w:rFonts w:ascii="Arial" w:cs="Arial" w:eastAsia="Arial" w:hAnsi="Arial"/>
          <w:sz w:val="16"/>
          <w:szCs w:val="16"/>
          <w:color w:val="110E13"/>
        </w:rPr>
        <w:t xml:space="preserve"> and appoint a new trustee under the Indenture to the extent such qualification requires the appointment of a new trustee thereunder</w:t>
      </w:r>
      <w:r>
        <w:rPr>
          <w:rFonts w:ascii="Arial" w:cs="Arial" w:eastAsia="Arial" w:hAnsi="Arial"/>
          <w:sz w:val="16"/>
          <w:szCs w:val="16"/>
          <w:color w:val="2A282B"/>
        </w:rPr>
        <w:t>;</w:t>
      </w:r>
    </w:p>
    <w:p>
      <w:pPr>
        <w:spacing w:after="0" w:line="108" w:lineRule="exact"/>
        <w:rPr>
          <w:rFonts w:ascii="Arial" w:cs="Arial" w:eastAsia="Arial" w:hAnsi="Arial"/>
          <w:sz w:val="16"/>
          <w:szCs w:val="16"/>
          <w:color w:val="auto"/>
        </w:rPr>
      </w:pPr>
    </w:p>
    <w:p>
      <w:pPr>
        <w:ind w:left="520" w:right="100" w:firstLine="504"/>
        <w:spacing w:after="0" w:line="271" w:lineRule="auto"/>
        <w:tabs>
          <w:tab w:leader="none" w:pos="1532" w:val="left"/>
        </w:tabs>
        <w:numPr>
          <w:ilvl w:val="1"/>
          <w:numId w:val="120"/>
        </w:numPr>
        <w:rPr>
          <w:rFonts w:ascii="Arial" w:cs="Arial" w:eastAsia="Arial" w:hAnsi="Arial"/>
          <w:sz w:val="17"/>
          <w:szCs w:val="17"/>
          <w:color w:val="auto"/>
        </w:rPr>
      </w:pPr>
      <w:r>
        <w:rPr>
          <w:rFonts w:ascii="Arial" w:cs="Arial" w:eastAsia="Arial" w:hAnsi="Arial"/>
          <w:sz w:val="17"/>
          <w:szCs w:val="17"/>
          <w:color w:val="110E13"/>
        </w:rPr>
        <w:t>subject to Section 5.02</w:t>
      </w:r>
      <w:r>
        <w:rPr>
          <w:rFonts w:ascii="Arial" w:cs="Arial" w:eastAsia="Arial" w:hAnsi="Arial"/>
          <w:sz w:val="17"/>
          <w:szCs w:val="17"/>
          <w:color w:val="2A282B"/>
        </w:rPr>
        <w:t>,</w:t>
      </w:r>
      <w:r>
        <w:rPr>
          <w:rFonts w:ascii="Arial" w:cs="Arial" w:eastAsia="Arial" w:hAnsi="Arial"/>
          <w:sz w:val="17"/>
          <w:szCs w:val="17"/>
          <w:color w:val="110E13"/>
        </w:rPr>
        <w:t xml:space="preserve"> prepare and file with the SEC such amendments and supplements to such Registration Statement and the prospectus used in connection therewith as may be necessary and to the extent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140"/>
          </w:cols>
          <w:pgMar w:left="300" w:top="1152" w:right="45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color w:val="110E13"/>
        </w:rPr>
        <w:t>required by applicable law to keep such Registration Statement effective and Available pursuant to the terms of this Article 5</w:t>
      </w:r>
      <w:r>
        <w:rPr>
          <w:rFonts w:ascii="Arial" w:cs="Arial" w:eastAsia="Arial" w:hAnsi="Arial"/>
          <w:sz w:val="17"/>
          <w:szCs w:val="17"/>
          <w:color w:val="2A282B"/>
        </w:rPr>
        <w:t>;</w:t>
      </w:r>
    </w:p>
    <w:p>
      <w:pPr>
        <w:spacing w:after="0" w:line="186" w:lineRule="exact"/>
        <w:rPr>
          <w:sz w:val="20"/>
          <w:szCs w:val="20"/>
          <w:color w:val="auto"/>
        </w:rPr>
      </w:pPr>
    </w:p>
    <w:p>
      <w:pPr>
        <w:ind w:right="60" w:firstLine="504"/>
        <w:spacing w:after="0" w:line="252" w:lineRule="auto"/>
        <w:tabs>
          <w:tab w:leader="none" w:pos="1002" w:val="left"/>
        </w:tabs>
        <w:numPr>
          <w:ilvl w:val="0"/>
          <w:numId w:val="121"/>
        </w:numPr>
        <w:rPr>
          <w:rFonts w:ascii="Arial" w:cs="Arial" w:eastAsia="Arial" w:hAnsi="Arial"/>
          <w:sz w:val="17"/>
          <w:szCs w:val="17"/>
          <w:color w:val="auto"/>
        </w:rPr>
      </w:pPr>
      <w:r>
        <w:rPr>
          <w:rFonts w:ascii="Arial" w:cs="Arial" w:eastAsia="Arial" w:hAnsi="Arial"/>
          <w:sz w:val="17"/>
          <w:szCs w:val="17"/>
          <w:color w:val="110E13"/>
        </w:rPr>
        <w:t>furnish to the Selling Holders, if any</w:t>
      </w:r>
      <w:r>
        <w:rPr>
          <w:rFonts w:ascii="Arial" w:cs="Arial" w:eastAsia="Arial" w:hAnsi="Arial"/>
          <w:sz w:val="17"/>
          <w:szCs w:val="17"/>
          <w:color w:val="2A282B"/>
        </w:rPr>
        <w:t>,</w:t>
      </w:r>
      <w:r>
        <w:rPr>
          <w:rFonts w:ascii="Arial" w:cs="Arial" w:eastAsia="Arial" w:hAnsi="Arial"/>
          <w:sz w:val="17"/>
          <w:szCs w:val="17"/>
          <w:color w:val="110E13"/>
        </w:rPr>
        <w:t xml:space="preserve"> of the securities being sold by such Selling Holders such number of conformed copies of such Registration Statement and of each amendment and supplement thereto</w:t>
      </w:r>
      <w:r>
        <w:rPr>
          <w:rFonts w:ascii="Arial" w:cs="Arial" w:eastAsia="Arial" w:hAnsi="Arial"/>
          <w:sz w:val="17"/>
          <w:szCs w:val="17"/>
          <w:color w:val="2A282B"/>
        </w:rPr>
        <w:t>,</w:t>
      </w:r>
      <w:r>
        <w:rPr>
          <w:rFonts w:ascii="Arial" w:cs="Arial" w:eastAsia="Arial" w:hAnsi="Arial"/>
          <w:sz w:val="17"/>
          <w:szCs w:val="17"/>
          <w:color w:val="110E13"/>
        </w:rPr>
        <w:t xml:space="preserve"> such number of copies of the prospectus and any prospectus supplement contained in or deemed part of such Registration Statement (including each preliminary prospectus supplement) utilized in connection therewith and any other prospectus filed under Rule 424 under the Securities Act</w:t>
      </w:r>
      <w:r>
        <w:rPr>
          <w:rFonts w:ascii="Arial" w:cs="Arial" w:eastAsia="Arial" w:hAnsi="Arial"/>
          <w:sz w:val="17"/>
          <w:szCs w:val="17"/>
          <w:color w:val="2A282B"/>
        </w:rPr>
        <w:t>,</w:t>
      </w:r>
      <w:r>
        <w:rPr>
          <w:rFonts w:ascii="Arial" w:cs="Arial" w:eastAsia="Arial" w:hAnsi="Arial"/>
          <w:sz w:val="17"/>
          <w:szCs w:val="17"/>
          <w:color w:val="110E13"/>
        </w:rPr>
        <w:t xml:space="preserve"> in conformity with the requirements of the Securities Act</w:t>
      </w:r>
      <w:r>
        <w:rPr>
          <w:rFonts w:ascii="Arial" w:cs="Arial" w:eastAsia="Arial" w:hAnsi="Arial"/>
          <w:sz w:val="17"/>
          <w:szCs w:val="17"/>
          <w:color w:val="2A282B"/>
        </w:rPr>
        <w:t>,</w:t>
      </w:r>
      <w:r>
        <w:rPr>
          <w:rFonts w:ascii="Arial" w:cs="Arial" w:eastAsia="Arial" w:hAnsi="Arial"/>
          <w:sz w:val="17"/>
          <w:szCs w:val="17"/>
          <w:color w:val="110E13"/>
        </w:rPr>
        <w:t xml:space="preserve"> and such other documents as such Selling Holders may reasonably request in order to facilitate the public sale or other disposition of the Registrable Securities owned by such Selling Holders</w:t>
      </w:r>
      <w:r>
        <w:rPr>
          <w:rFonts w:ascii="Arial" w:cs="Arial" w:eastAsia="Arial" w:hAnsi="Arial"/>
          <w:sz w:val="17"/>
          <w:szCs w:val="17"/>
          <w:color w:val="2A282A"/>
        </w:rPr>
        <w:t>;</w:t>
      </w:r>
    </w:p>
    <w:p>
      <w:pPr>
        <w:spacing w:after="0" w:line="147" w:lineRule="exact"/>
        <w:rPr>
          <w:rFonts w:ascii="Arial" w:cs="Arial" w:eastAsia="Arial" w:hAnsi="Arial"/>
          <w:sz w:val="17"/>
          <w:szCs w:val="17"/>
          <w:color w:val="auto"/>
        </w:rPr>
      </w:pPr>
    </w:p>
    <w:p>
      <w:pPr>
        <w:ind w:right="120" w:firstLine="504"/>
        <w:spacing w:after="0" w:line="271" w:lineRule="auto"/>
        <w:tabs>
          <w:tab w:leader="none" w:pos="997" w:val="left"/>
        </w:tabs>
        <w:numPr>
          <w:ilvl w:val="0"/>
          <w:numId w:val="121"/>
        </w:numPr>
        <w:rPr>
          <w:rFonts w:ascii="Arial" w:cs="Arial" w:eastAsia="Arial" w:hAnsi="Arial"/>
          <w:sz w:val="17"/>
          <w:szCs w:val="17"/>
          <w:color w:val="auto"/>
        </w:rPr>
      </w:pPr>
      <w:r>
        <w:rPr>
          <w:rFonts w:ascii="Arial" w:cs="Arial" w:eastAsia="Arial" w:hAnsi="Arial"/>
          <w:sz w:val="17"/>
          <w:szCs w:val="17"/>
          <w:color w:val="110E13"/>
        </w:rPr>
        <w:t>use reasonable efforts to cause such Registrable Securities to be listed on each securities exchange on which similar securities issued by the Company are then listed</w:t>
      </w:r>
      <w:r>
        <w:rPr>
          <w:rFonts w:ascii="Arial" w:cs="Arial" w:eastAsia="Arial" w:hAnsi="Arial"/>
          <w:sz w:val="17"/>
          <w:szCs w:val="17"/>
          <w:color w:val="2A282A"/>
        </w:rPr>
        <w:t>;</w:t>
      </w:r>
    </w:p>
    <w:p>
      <w:pPr>
        <w:spacing w:after="0" w:line="142" w:lineRule="exact"/>
        <w:rPr>
          <w:rFonts w:ascii="Arial" w:cs="Arial" w:eastAsia="Arial" w:hAnsi="Arial"/>
          <w:sz w:val="17"/>
          <w:szCs w:val="17"/>
          <w:color w:val="auto"/>
        </w:rPr>
      </w:pPr>
    </w:p>
    <w:p>
      <w:pPr>
        <w:ind w:right="40" w:firstLine="504"/>
        <w:spacing w:after="0" w:line="259" w:lineRule="auto"/>
        <w:tabs>
          <w:tab w:leader="none" w:pos="1013" w:val="left"/>
        </w:tabs>
        <w:numPr>
          <w:ilvl w:val="0"/>
          <w:numId w:val="121"/>
        </w:numPr>
        <w:rPr>
          <w:rFonts w:ascii="Arial" w:cs="Arial" w:eastAsia="Arial" w:hAnsi="Arial"/>
          <w:sz w:val="17"/>
          <w:szCs w:val="17"/>
          <w:color w:val="auto"/>
        </w:rPr>
      </w:pPr>
      <w:r>
        <w:rPr>
          <w:rFonts w:ascii="Arial" w:cs="Arial" w:eastAsia="Arial" w:hAnsi="Arial"/>
          <w:sz w:val="17"/>
          <w:szCs w:val="17"/>
          <w:color w:val="110E13"/>
        </w:rPr>
        <w:t>use reasonable efforts to provide and cause to be maintained a transfer agent and registrar for all Registrable Securities</w:t>
      </w:r>
      <w:r>
        <w:rPr>
          <w:rFonts w:ascii="Arial" w:cs="Arial" w:eastAsia="Arial" w:hAnsi="Arial"/>
          <w:sz w:val="17"/>
          <w:szCs w:val="17"/>
          <w:color w:val="2A282A"/>
        </w:rPr>
        <w:t>,</w:t>
      </w:r>
      <w:r>
        <w:rPr>
          <w:rFonts w:ascii="Arial" w:cs="Arial" w:eastAsia="Arial" w:hAnsi="Arial"/>
          <w:sz w:val="17"/>
          <w:szCs w:val="17"/>
          <w:color w:val="110E13"/>
        </w:rPr>
        <w:t xml:space="preserve"> and a trustee for any Registrable Securities issued under an indenture</w:t>
      </w:r>
      <w:r>
        <w:rPr>
          <w:rFonts w:ascii="Arial" w:cs="Arial" w:eastAsia="Arial" w:hAnsi="Arial"/>
          <w:sz w:val="17"/>
          <w:szCs w:val="17"/>
          <w:color w:val="2A282A"/>
        </w:rPr>
        <w:t>,</w:t>
      </w:r>
      <w:r>
        <w:rPr>
          <w:rFonts w:ascii="Arial" w:cs="Arial" w:eastAsia="Arial" w:hAnsi="Arial"/>
          <w:sz w:val="17"/>
          <w:szCs w:val="17"/>
          <w:color w:val="110E13"/>
        </w:rPr>
        <w:t xml:space="preserve"> covered by such Registration Statement from and after a date not later than the effective date of such Registration Statement</w:t>
      </w:r>
      <w:r>
        <w:rPr>
          <w:rFonts w:ascii="Arial" w:cs="Arial" w:eastAsia="Arial" w:hAnsi="Arial"/>
          <w:sz w:val="17"/>
          <w:szCs w:val="17"/>
          <w:color w:val="2A282A"/>
        </w:rPr>
        <w:t>;</w:t>
      </w:r>
    </w:p>
    <w:p>
      <w:pPr>
        <w:spacing w:after="0" w:line="141" w:lineRule="exact"/>
        <w:rPr>
          <w:rFonts w:ascii="Arial" w:cs="Arial" w:eastAsia="Arial" w:hAnsi="Arial"/>
          <w:sz w:val="17"/>
          <w:szCs w:val="17"/>
          <w:color w:val="auto"/>
        </w:rPr>
      </w:pPr>
    </w:p>
    <w:p>
      <w:pPr>
        <w:ind w:firstLine="504"/>
        <w:spacing w:after="0" w:line="286" w:lineRule="auto"/>
        <w:tabs>
          <w:tab w:leader="none" w:pos="1018" w:val="left"/>
        </w:tabs>
        <w:numPr>
          <w:ilvl w:val="0"/>
          <w:numId w:val="121"/>
        </w:numPr>
        <w:rPr>
          <w:rFonts w:ascii="Arial" w:cs="Arial" w:eastAsia="Arial" w:hAnsi="Arial"/>
          <w:sz w:val="15"/>
          <w:szCs w:val="15"/>
          <w:color w:val="auto"/>
        </w:rPr>
      </w:pPr>
      <w:r>
        <w:rPr>
          <w:rFonts w:ascii="Arial" w:cs="Arial" w:eastAsia="Arial" w:hAnsi="Arial"/>
          <w:sz w:val="15"/>
          <w:szCs w:val="15"/>
          <w:color w:val="110E13"/>
        </w:rPr>
        <w:t>as promptly as practicable notify in writing the holders of Registrable Securities and the underwriters</w:t>
      </w:r>
      <w:r>
        <w:rPr>
          <w:rFonts w:ascii="Arial" w:cs="Arial" w:eastAsia="Arial" w:hAnsi="Arial"/>
          <w:sz w:val="15"/>
          <w:szCs w:val="15"/>
          <w:color w:val="2A282A"/>
        </w:rPr>
        <w:t>,</w:t>
      </w:r>
      <w:r>
        <w:rPr>
          <w:rFonts w:ascii="Arial" w:cs="Arial" w:eastAsia="Arial" w:hAnsi="Arial"/>
          <w:sz w:val="15"/>
          <w:szCs w:val="15"/>
          <w:color w:val="110E13"/>
        </w:rPr>
        <w:t xml:space="preserve"> if any</w:t>
      </w:r>
      <w:r>
        <w:rPr>
          <w:rFonts w:ascii="Arial" w:cs="Arial" w:eastAsia="Arial" w:hAnsi="Arial"/>
          <w:sz w:val="15"/>
          <w:szCs w:val="15"/>
          <w:color w:val="2A282A"/>
        </w:rPr>
        <w:t>,</w:t>
      </w:r>
      <w:r>
        <w:rPr>
          <w:rFonts w:ascii="Arial" w:cs="Arial" w:eastAsia="Arial" w:hAnsi="Arial"/>
          <w:sz w:val="15"/>
          <w:szCs w:val="15"/>
          <w:color w:val="110E13"/>
        </w:rPr>
        <w:t xml:space="preserve"> of the following events: the filing of the Registration Statement</w:t>
      </w:r>
      <w:r>
        <w:rPr>
          <w:rFonts w:ascii="Arial" w:cs="Arial" w:eastAsia="Arial" w:hAnsi="Arial"/>
          <w:sz w:val="15"/>
          <w:szCs w:val="15"/>
          <w:color w:val="2A282A"/>
        </w:rPr>
        <w:t>,</w:t>
      </w:r>
      <w:r>
        <w:rPr>
          <w:rFonts w:ascii="Arial" w:cs="Arial" w:eastAsia="Arial" w:hAnsi="Arial"/>
          <w:sz w:val="15"/>
          <w:szCs w:val="15"/>
          <w:color w:val="110E13"/>
        </w:rPr>
        <w:t xml:space="preserve"> any amendment thereto</w:t>
      </w:r>
      <w:r>
        <w:rPr>
          <w:rFonts w:ascii="Arial" w:cs="Arial" w:eastAsia="Arial" w:hAnsi="Arial"/>
          <w:sz w:val="15"/>
          <w:szCs w:val="15"/>
          <w:color w:val="2A282A"/>
        </w:rPr>
        <w:t>,</w:t>
      </w:r>
      <w:r>
        <w:rPr>
          <w:rFonts w:ascii="Arial" w:cs="Arial" w:eastAsia="Arial" w:hAnsi="Arial"/>
          <w:sz w:val="15"/>
          <w:szCs w:val="15"/>
          <w:color w:val="110E13"/>
        </w:rPr>
        <w:t xml:space="preserve"> the prospectus or any prospectus supplement related thereto or post-effective amendment to such Registration Statement utilized in connection therewith</w:t>
      </w:r>
      <w:r>
        <w:rPr>
          <w:rFonts w:ascii="Arial" w:cs="Arial" w:eastAsia="Arial" w:hAnsi="Arial"/>
          <w:sz w:val="15"/>
          <w:szCs w:val="15"/>
          <w:color w:val="2A282A"/>
        </w:rPr>
        <w:t>,</w:t>
      </w:r>
      <w:r>
        <w:rPr>
          <w:rFonts w:ascii="Arial" w:cs="Arial" w:eastAsia="Arial" w:hAnsi="Arial"/>
          <w:sz w:val="15"/>
          <w:szCs w:val="15"/>
          <w:color w:val="110E13"/>
        </w:rPr>
        <w:t xml:space="preserve"> and</w:t>
      </w:r>
      <w:r>
        <w:rPr>
          <w:rFonts w:ascii="Arial" w:cs="Arial" w:eastAsia="Arial" w:hAnsi="Arial"/>
          <w:sz w:val="15"/>
          <w:szCs w:val="15"/>
          <w:color w:val="2A282A"/>
        </w:rPr>
        <w:t>,</w:t>
      </w:r>
      <w:r>
        <w:rPr>
          <w:rFonts w:ascii="Arial" w:cs="Arial" w:eastAsia="Arial" w:hAnsi="Arial"/>
          <w:sz w:val="15"/>
          <w:szCs w:val="15"/>
          <w:color w:val="110E13"/>
        </w:rPr>
        <w:t xml:space="preserve"> with respect to such Registration Statement or any post-effective amendment thereto</w:t>
      </w:r>
      <w:r>
        <w:rPr>
          <w:rFonts w:ascii="Arial" w:cs="Arial" w:eastAsia="Arial" w:hAnsi="Arial"/>
          <w:sz w:val="15"/>
          <w:szCs w:val="15"/>
          <w:color w:val="2A282A"/>
        </w:rPr>
        <w:t>,</w:t>
      </w:r>
      <w:r>
        <w:rPr>
          <w:rFonts w:ascii="Arial" w:cs="Arial" w:eastAsia="Arial" w:hAnsi="Arial"/>
          <w:sz w:val="15"/>
          <w:szCs w:val="15"/>
          <w:color w:val="110E13"/>
        </w:rPr>
        <w:t xml:space="preserve"> when the same has become effective</w:t>
      </w:r>
      <w:r>
        <w:rPr>
          <w:rFonts w:ascii="Arial" w:cs="Arial" w:eastAsia="Arial" w:hAnsi="Arial"/>
          <w:sz w:val="15"/>
          <w:szCs w:val="15"/>
          <w:color w:val="2A282A"/>
        </w:rPr>
        <w:t>;</w:t>
      </w:r>
      <w:r>
        <w:rPr>
          <w:rFonts w:ascii="Arial" w:cs="Arial" w:eastAsia="Arial" w:hAnsi="Arial"/>
          <w:sz w:val="15"/>
          <w:szCs w:val="15"/>
          <w:color w:val="110E13"/>
        </w:rPr>
        <w:t xml:space="preserve"> any request by the SEC or any other U.S. or state Governmental Entity for amendments or supplements to such Registration Statement or the prospectus</w:t>
      </w:r>
      <w:r>
        <w:rPr>
          <w:rFonts w:ascii="Arial" w:cs="Arial" w:eastAsia="Arial" w:hAnsi="Arial"/>
          <w:sz w:val="15"/>
          <w:szCs w:val="15"/>
          <w:color w:val="2A282A"/>
        </w:rPr>
        <w:t>;</w:t>
      </w:r>
      <w:r>
        <w:rPr>
          <w:rFonts w:ascii="Arial" w:cs="Arial" w:eastAsia="Arial" w:hAnsi="Arial"/>
          <w:sz w:val="15"/>
          <w:szCs w:val="15"/>
          <w:color w:val="110E13"/>
        </w:rPr>
        <w:t xml:space="preserve"> the issuance by the SEC of any stop order suspending the effectiveness of such Registration Statement or the initiation of any proceedings by any person for that purpose</w:t>
      </w:r>
      <w:r>
        <w:rPr>
          <w:rFonts w:ascii="Arial" w:cs="Arial" w:eastAsia="Arial" w:hAnsi="Arial"/>
          <w:sz w:val="15"/>
          <w:szCs w:val="15"/>
          <w:color w:val="2A282A"/>
        </w:rPr>
        <w:t>;</w:t>
      </w:r>
      <w:r>
        <w:rPr>
          <w:rFonts w:ascii="Arial" w:cs="Arial" w:eastAsia="Arial" w:hAnsi="Arial"/>
          <w:sz w:val="15"/>
          <w:szCs w:val="15"/>
          <w:color w:val="110E13"/>
        </w:rPr>
        <w:t xml:space="preserve"> the receipt by the Company of any notification with respect to the suspension of the qualification of any Registrable Securities for sale under the securities or “blue sky</w:t>
      </w:r>
      <w:r>
        <w:rPr>
          <w:rFonts w:ascii="Arial" w:cs="Arial" w:eastAsia="Arial" w:hAnsi="Arial"/>
          <w:sz w:val="15"/>
          <w:szCs w:val="15"/>
          <w:color w:val="2A282A"/>
        </w:rPr>
        <w:t>”</w:t>
      </w:r>
      <w:r>
        <w:rPr>
          <w:rFonts w:ascii="Arial" w:cs="Arial" w:eastAsia="Arial" w:hAnsi="Arial"/>
          <w:sz w:val="15"/>
          <w:szCs w:val="15"/>
          <w:color w:val="110E13"/>
        </w:rPr>
        <w:t xml:space="preserve"> laws of any jurisdiction or the initiation or threat of any proceeding for such purpose; if at any time the representations and warranties of the Company contained in any agreement (including any underwriting agreement) related to such registration cease to be true and correct in any material respect</w:t>
      </w:r>
      <w:r>
        <w:rPr>
          <w:rFonts w:ascii="Arial" w:cs="Arial" w:eastAsia="Arial" w:hAnsi="Arial"/>
          <w:sz w:val="15"/>
          <w:szCs w:val="15"/>
          <w:color w:val="2A282A"/>
        </w:rPr>
        <w:t>;</w:t>
      </w:r>
      <w:r>
        <w:rPr>
          <w:rFonts w:ascii="Arial" w:cs="Arial" w:eastAsia="Arial" w:hAnsi="Arial"/>
          <w:sz w:val="15"/>
          <w:szCs w:val="15"/>
          <w:color w:val="110E13"/>
        </w:rPr>
        <w:t xml:space="preserve"> and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w:t>
      </w:r>
      <w:r>
        <w:rPr>
          <w:rFonts w:ascii="Arial" w:cs="Arial" w:eastAsia="Arial" w:hAnsi="Arial"/>
          <w:sz w:val="15"/>
          <w:szCs w:val="15"/>
          <w:color w:val="2A282A"/>
        </w:rPr>
        <w:t>,</w:t>
      </w:r>
      <w:r>
        <w:rPr>
          <w:rFonts w:ascii="Arial" w:cs="Arial" w:eastAsia="Arial" w:hAnsi="Arial"/>
          <w:sz w:val="15"/>
          <w:szCs w:val="15"/>
          <w:color w:val="110E13"/>
        </w:rPr>
        <w:t xml:space="preserve"> prospectus or documents so that</w:t>
      </w:r>
      <w:r>
        <w:rPr>
          <w:rFonts w:ascii="Arial" w:cs="Arial" w:eastAsia="Arial" w:hAnsi="Arial"/>
          <w:sz w:val="15"/>
          <w:szCs w:val="15"/>
          <w:color w:val="2A282A"/>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80"/>
          </w:cols>
          <w:pgMar w:left="820" w:top="1162" w:right="499" w:bottom="1440" w:gutter="0" w:footer="0" w:header="0"/>
        </w:sectPr>
      </w:pPr>
    </w:p>
    <w:bookmarkStart w:id="164" w:name="page165"/>
    <w:bookmarkEnd w:id="164"/>
    <w:p>
      <w:pPr>
        <w:ind w:right="140"/>
        <w:spacing w:after="0" w:line="300" w:lineRule="auto"/>
        <w:rPr>
          <w:sz w:val="20"/>
          <w:szCs w:val="20"/>
          <w:color w:val="auto"/>
        </w:rPr>
      </w:pPr>
      <w:r>
        <w:rPr>
          <w:rFonts w:ascii="Arial" w:cs="Arial" w:eastAsia="Arial" w:hAnsi="Arial"/>
          <w:sz w:val="15"/>
          <w:szCs w:val="15"/>
          <w:color w:val="110E13"/>
        </w:rPr>
        <w:t>in the case of such Registration Statement</w:t>
      </w:r>
      <w:r>
        <w:rPr>
          <w:rFonts w:ascii="Arial" w:cs="Arial" w:eastAsia="Arial" w:hAnsi="Arial"/>
          <w:sz w:val="15"/>
          <w:szCs w:val="15"/>
          <w:color w:val="2A282A"/>
        </w:rPr>
        <w:t>,</w:t>
      </w:r>
      <w:r>
        <w:rPr>
          <w:rFonts w:ascii="Arial" w:cs="Arial" w:eastAsia="Arial" w:hAnsi="Arial"/>
          <w:sz w:val="15"/>
          <w:szCs w:val="15"/>
          <w:color w:val="110E13"/>
        </w:rPr>
        <w:t xml:space="preserve"> it will not contain any untrue statement of a material fact or omit to state any material fact required to be stated therein or necessary to make the statements therein not misleading</w:t>
      </w:r>
      <w:r>
        <w:rPr>
          <w:rFonts w:ascii="Arial" w:cs="Arial" w:eastAsia="Arial" w:hAnsi="Arial"/>
          <w:sz w:val="15"/>
          <w:szCs w:val="15"/>
          <w:color w:val="2A282A"/>
        </w:rPr>
        <w:t>,</w:t>
      </w:r>
      <w:r>
        <w:rPr>
          <w:rFonts w:ascii="Arial" w:cs="Arial" w:eastAsia="Arial" w:hAnsi="Arial"/>
          <w:sz w:val="15"/>
          <w:szCs w:val="15"/>
          <w:color w:val="110E13"/>
        </w:rPr>
        <w:t xml:space="preserve"> and that in the case of the prospectus</w:t>
      </w:r>
      <w:r>
        <w:rPr>
          <w:rFonts w:ascii="Arial" w:cs="Arial" w:eastAsia="Arial" w:hAnsi="Arial"/>
          <w:sz w:val="15"/>
          <w:szCs w:val="15"/>
          <w:color w:val="2A282A"/>
        </w:rPr>
        <w:t>,</w:t>
      </w:r>
      <w:r>
        <w:rPr>
          <w:rFonts w:ascii="Arial" w:cs="Arial" w:eastAsia="Arial" w:hAnsi="Arial"/>
          <w:sz w:val="15"/>
          <w:szCs w:val="15"/>
          <w:color w:val="110E13"/>
        </w:rPr>
        <w:t xml:space="preserve"> it will not contain any untrue statement of a material fact or omit to state any material fact necessary in order to make the statements therein</w:t>
      </w:r>
      <w:r>
        <w:rPr>
          <w:rFonts w:ascii="Arial" w:cs="Arial" w:eastAsia="Arial" w:hAnsi="Arial"/>
          <w:sz w:val="15"/>
          <w:szCs w:val="15"/>
          <w:color w:val="2A282A"/>
        </w:rPr>
        <w:t>,</w:t>
      </w:r>
      <w:r>
        <w:rPr>
          <w:rFonts w:ascii="Arial" w:cs="Arial" w:eastAsia="Arial" w:hAnsi="Arial"/>
          <w:sz w:val="15"/>
          <w:szCs w:val="15"/>
          <w:color w:val="110E13"/>
        </w:rPr>
        <w:t xml:space="preserve"> in the light of the circumstances under which they were made</w:t>
      </w:r>
      <w:r>
        <w:rPr>
          <w:rFonts w:ascii="Arial" w:cs="Arial" w:eastAsia="Arial" w:hAnsi="Arial"/>
          <w:sz w:val="15"/>
          <w:szCs w:val="15"/>
          <w:color w:val="2A282A"/>
        </w:rPr>
        <w:t>,</w:t>
      </w:r>
      <w:r>
        <w:rPr>
          <w:rFonts w:ascii="Arial" w:cs="Arial" w:eastAsia="Arial" w:hAnsi="Arial"/>
          <w:sz w:val="15"/>
          <w:szCs w:val="15"/>
          <w:color w:val="110E13"/>
        </w:rPr>
        <w:t xml:space="preserve"> not misleading</w:t>
      </w:r>
      <w:r>
        <w:rPr>
          <w:rFonts w:ascii="Arial" w:cs="Arial" w:eastAsia="Arial" w:hAnsi="Arial"/>
          <w:sz w:val="15"/>
          <w:szCs w:val="15"/>
          <w:color w:val="2A282A"/>
        </w:rPr>
        <w:t>;</w:t>
      </w:r>
      <w:r>
        <w:rPr>
          <w:rFonts w:ascii="Arial" w:cs="Arial" w:eastAsia="Arial" w:hAnsi="Arial"/>
          <w:sz w:val="15"/>
          <w:szCs w:val="15"/>
          <w:color w:val="110E13"/>
        </w:rPr>
        <w:t xml:space="preserve"> </w:t>
      </w:r>
      <w:r>
        <w:rPr>
          <w:rFonts w:ascii="Arial" w:cs="Arial" w:eastAsia="Arial" w:hAnsi="Arial"/>
          <w:sz w:val="15"/>
          <w:szCs w:val="15"/>
          <w:i w:val="1"/>
          <w:iCs w:val="1"/>
          <w:color w:val="110E13"/>
        </w:rPr>
        <w:t>provid</w:t>
      </w:r>
      <w:r>
        <w:rPr>
          <w:rFonts w:ascii="Arial" w:cs="Arial" w:eastAsia="Arial" w:hAnsi="Arial"/>
          <w:sz w:val="15"/>
          <w:szCs w:val="15"/>
          <w:i w:val="1"/>
          <w:iCs w:val="1"/>
          <w:color w:val="2A282A"/>
        </w:rPr>
        <w:t>e</w:t>
      </w:r>
      <w:r>
        <w:rPr>
          <w:rFonts w:ascii="Arial" w:cs="Arial" w:eastAsia="Arial" w:hAnsi="Arial"/>
          <w:sz w:val="15"/>
          <w:szCs w:val="15"/>
          <w:i w:val="1"/>
          <w:iCs w:val="1"/>
          <w:color w:val="110E13"/>
        </w:rPr>
        <w:t>d</w:t>
      </w:r>
      <w:r>
        <w:rPr>
          <w:rFonts w:ascii="Arial" w:cs="Arial" w:eastAsia="Arial" w:hAnsi="Arial"/>
          <w:sz w:val="15"/>
          <w:szCs w:val="15"/>
          <w:color w:val="110E13"/>
        </w:rPr>
        <w:t xml:space="preserve"> </w:t>
      </w:r>
      <w:r>
        <w:rPr>
          <w:rFonts w:ascii="Arial" w:cs="Arial" w:eastAsia="Arial" w:hAnsi="Arial"/>
          <w:sz w:val="15"/>
          <w:szCs w:val="15"/>
          <w:i w:val="1"/>
          <w:iCs w:val="1"/>
          <w:color w:val="2A282A"/>
        </w:rPr>
        <w:t>,</w:t>
      </w:r>
      <w:r>
        <w:rPr>
          <w:rFonts w:ascii="Arial" w:cs="Arial" w:eastAsia="Arial" w:hAnsi="Arial"/>
          <w:sz w:val="15"/>
          <w:szCs w:val="15"/>
          <w:color w:val="110E13"/>
        </w:rPr>
        <w:t xml:space="preserve"> in the case of clause (F)</w:t>
      </w:r>
      <w:r>
        <w:rPr>
          <w:rFonts w:ascii="Arial" w:cs="Arial" w:eastAsia="Arial" w:hAnsi="Arial"/>
          <w:sz w:val="15"/>
          <w:szCs w:val="15"/>
          <w:color w:val="2A282A"/>
        </w:rPr>
        <w:t>,</w:t>
      </w:r>
      <w:r>
        <w:rPr>
          <w:rFonts w:ascii="Arial" w:cs="Arial" w:eastAsia="Arial" w:hAnsi="Arial"/>
          <w:sz w:val="15"/>
          <w:szCs w:val="15"/>
          <w:color w:val="110E13"/>
        </w:rPr>
        <w:t xml:space="preserve"> that such notice need not include the nature or details concerning such event</w:t>
      </w:r>
      <w:r>
        <w:rPr>
          <w:rFonts w:ascii="Arial" w:cs="Arial" w:eastAsia="Arial" w:hAnsi="Arial"/>
          <w:sz w:val="15"/>
          <w:szCs w:val="15"/>
          <w:color w:val="2A282A"/>
        </w:rPr>
        <w:t>;</w:t>
      </w:r>
    </w:p>
    <w:p>
      <w:pPr>
        <w:spacing w:after="0" w:line="124" w:lineRule="exact"/>
        <w:rPr>
          <w:sz w:val="20"/>
          <w:szCs w:val="20"/>
          <w:color w:val="auto"/>
        </w:rPr>
      </w:pPr>
    </w:p>
    <w:p>
      <w:pPr>
        <w:ind w:right="20" w:firstLine="504"/>
        <w:spacing w:after="0" w:line="273" w:lineRule="auto"/>
        <w:tabs>
          <w:tab w:leader="none" w:pos="1012" w:val="left"/>
        </w:tabs>
        <w:numPr>
          <w:ilvl w:val="0"/>
          <w:numId w:val="122"/>
        </w:numPr>
        <w:rPr>
          <w:rFonts w:ascii="Arial" w:cs="Arial" w:eastAsia="Arial" w:hAnsi="Arial"/>
          <w:sz w:val="16"/>
          <w:szCs w:val="16"/>
          <w:color w:val="auto"/>
        </w:rPr>
      </w:pPr>
      <w:r>
        <w:rPr>
          <w:rFonts w:ascii="Arial" w:cs="Arial" w:eastAsia="Arial" w:hAnsi="Arial"/>
          <w:sz w:val="16"/>
          <w:szCs w:val="16"/>
          <w:color w:val="110E13"/>
        </w:rPr>
        <w:t>use reasonable efforts to obtain the withdrawal of any order suspending the effectiveness of such Registration Statement</w:t>
      </w:r>
      <w:r>
        <w:rPr>
          <w:rFonts w:ascii="Arial" w:cs="Arial" w:eastAsia="Arial" w:hAnsi="Arial"/>
          <w:sz w:val="16"/>
          <w:szCs w:val="16"/>
          <w:color w:val="2A282A"/>
        </w:rPr>
        <w:t>,</w:t>
      </w:r>
      <w:r>
        <w:rPr>
          <w:rFonts w:ascii="Arial" w:cs="Arial" w:eastAsia="Arial" w:hAnsi="Arial"/>
          <w:sz w:val="16"/>
          <w:szCs w:val="16"/>
          <w:color w:val="110E13"/>
        </w:rPr>
        <w:t xml:space="preserve"> or the lifting of any suspension of the qualification (or exemption from qualification) of any of the Registrable Securities for sale in any jurisdiction at the earliest reasonable </w:t>
      </w:r>
      <w:r>
        <w:rPr>
          <w:rFonts w:ascii="Arial" w:cs="Arial" w:eastAsia="Arial" w:hAnsi="Arial"/>
          <w:sz w:val="16"/>
          <w:szCs w:val="16"/>
          <w:color w:val="110F13"/>
        </w:rPr>
        <w:t>practicable date</w:t>
      </w:r>
      <w:r>
        <w:rPr>
          <w:rFonts w:ascii="Arial" w:cs="Arial" w:eastAsia="Arial" w:hAnsi="Arial"/>
          <w:sz w:val="16"/>
          <w:szCs w:val="16"/>
          <w:color w:val="28282A"/>
        </w:rPr>
        <w:t>,</w:t>
      </w:r>
      <w:r>
        <w:rPr>
          <w:rFonts w:ascii="Arial" w:cs="Arial" w:eastAsia="Arial" w:hAnsi="Arial"/>
          <w:sz w:val="16"/>
          <w:szCs w:val="16"/>
          <w:color w:val="110F13"/>
        </w:rPr>
        <w:t xml:space="preserve"> except that the Company shall not for any such purpose be required to qualify generally to do business as a foreign corporation or as a dealer in securities in any jurisdiction wherein it would not but for the requirements of this clause (viii) be obligated to be so qualified</w:t>
      </w:r>
      <w:r>
        <w:rPr>
          <w:rFonts w:ascii="Arial" w:cs="Arial" w:eastAsia="Arial" w:hAnsi="Arial"/>
          <w:sz w:val="16"/>
          <w:szCs w:val="16"/>
          <w:color w:val="28282A"/>
        </w:rPr>
        <w:t>,</w:t>
      </w:r>
      <w:r>
        <w:rPr>
          <w:rFonts w:ascii="Arial" w:cs="Arial" w:eastAsia="Arial" w:hAnsi="Arial"/>
          <w:sz w:val="16"/>
          <w:szCs w:val="16"/>
          <w:color w:val="110F13"/>
        </w:rPr>
        <w:t xml:space="preserve"> subject itself to taxation in any such jurisdiction or file a general consent to service of process in any such jurisdiction</w:t>
      </w:r>
      <w:r>
        <w:rPr>
          <w:rFonts w:ascii="Arial" w:cs="Arial" w:eastAsia="Arial" w:hAnsi="Arial"/>
          <w:sz w:val="16"/>
          <w:szCs w:val="16"/>
          <w:color w:val="28282A"/>
        </w:rPr>
        <w:t>;</w:t>
      </w:r>
    </w:p>
    <w:p>
      <w:pPr>
        <w:spacing w:after="0" w:line="131" w:lineRule="exact"/>
        <w:rPr>
          <w:rFonts w:ascii="Arial" w:cs="Arial" w:eastAsia="Arial" w:hAnsi="Arial"/>
          <w:sz w:val="16"/>
          <w:szCs w:val="16"/>
          <w:color w:val="auto"/>
        </w:rPr>
      </w:pPr>
    </w:p>
    <w:p>
      <w:pPr>
        <w:ind w:right="180" w:firstLine="504"/>
        <w:spacing w:after="0" w:line="251" w:lineRule="auto"/>
        <w:tabs>
          <w:tab w:leader="none" w:pos="1013" w:val="left"/>
        </w:tabs>
        <w:numPr>
          <w:ilvl w:val="0"/>
          <w:numId w:val="122"/>
        </w:numPr>
        <w:rPr>
          <w:rFonts w:ascii="Arial" w:cs="Arial" w:eastAsia="Arial" w:hAnsi="Arial"/>
          <w:sz w:val="17"/>
          <w:szCs w:val="17"/>
          <w:color w:val="auto"/>
        </w:rPr>
      </w:pPr>
      <w:r>
        <w:rPr>
          <w:rFonts w:ascii="Arial" w:cs="Arial" w:eastAsia="Arial" w:hAnsi="Arial"/>
          <w:sz w:val="17"/>
          <w:szCs w:val="17"/>
          <w:color w:val="110E13"/>
        </w:rPr>
        <w:t>prior to any public offering of Registrable Securities</w:t>
      </w:r>
      <w:r>
        <w:rPr>
          <w:rFonts w:ascii="Arial" w:cs="Arial" w:eastAsia="Arial" w:hAnsi="Arial"/>
          <w:sz w:val="17"/>
          <w:szCs w:val="17"/>
          <w:color w:val="28282A"/>
        </w:rPr>
        <w:t>,</w:t>
      </w:r>
      <w:r>
        <w:rPr>
          <w:rFonts w:ascii="Arial" w:cs="Arial" w:eastAsia="Arial" w:hAnsi="Arial"/>
          <w:sz w:val="17"/>
          <w:szCs w:val="17"/>
          <w:color w:val="110E13"/>
        </w:rPr>
        <w:t xml:space="preserve"> use reasonable efforts to register or qualify or cooperate with the Selling Holders in connection with the registration or qualification (or exemption from such registration or qualification) of such Registrable Securities for offer and sale under the applicable state securities or “blue sky” laws of those jurisdictions within the United States as any holder reasonably requests in writing to keep each such registration or qualification (or exemption therefrom) effective until the Registration Termination Date</w:t>
      </w:r>
      <w:r>
        <w:rPr>
          <w:rFonts w:ascii="Arial" w:cs="Arial" w:eastAsia="Arial" w:hAnsi="Arial"/>
          <w:sz w:val="17"/>
          <w:szCs w:val="17"/>
          <w:color w:val="28282A"/>
        </w:rPr>
        <w:t>;</w:t>
      </w:r>
      <w:r>
        <w:rPr>
          <w:rFonts w:ascii="Arial" w:cs="Arial" w:eastAsia="Arial" w:hAnsi="Arial"/>
          <w:sz w:val="17"/>
          <w:szCs w:val="17"/>
          <w:color w:val="110E13"/>
        </w:rPr>
        <w:t xml:space="preserve"> </w:t>
      </w:r>
      <w:r>
        <w:rPr>
          <w:rFonts w:ascii="Arial" w:cs="Arial" w:eastAsia="Arial" w:hAnsi="Arial"/>
          <w:sz w:val="17"/>
          <w:szCs w:val="17"/>
          <w:i w:val="1"/>
          <w:iCs w:val="1"/>
          <w:color w:val="110E13"/>
        </w:rPr>
        <w:t>provid</w:t>
      </w:r>
      <w:r>
        <w:rPr>
          <w:rFonts w:ascii="Arial" w:cs="Arial" w:eastAsia="Arial" w:hAnsi="Arial"/>
          <w:sz w:val="17"/>
          <w:szCs w:val="17"/>
          <w:i w:val="1"/>
          <w:iCs w:val="1"/>
          <w:color w:val="28282A"/>
        </w:rPr>
        <w:t>e</w:t>
      </w:r>
      <w:r>
        <w:rPr>
          <w:rFonts w:ascii="Arial" w:cs="Arial" w:eastAsia="Arial" w:hAnsi="Arial"/>
          <w:sz w:val="17"/>
          <w:szCs w:val="17"/>
          <w:i w:val="1"/>
          <w:iCs w:val="1"/>
          <w:color w:val="110E13"/>
        </w:rPr>
        <w:t>d</w:t>
      </w:r>
      <w:r>
        <w:rPr>
          <w:rFonts w:ascii="Arial" w:cs="Arial" w:eastAsia="Arial" w:hAnsi="Arial"/>
          <w:sz w:val="17"/>
          <w:szCs w:val="17"/>
          <w:color w:val="110E13"/>
        </w:rPr>
        <w:t xml:space="preserve"> that the Company will not be required to </w:t>
      </w:r>
      <w:r>
        <w:rPr>
          <w:rFonts w:ascii="Arial" w:cs="Arial" w:eastAsia="Arial" w:hAnsi="Arial"/>
          <w:sz w:val="17"/>
          <w:szCs w:val="17"/>
          <w:color w:val="110F13"/>
        </w:rPr>
        <w:t>qualify generally to do business as a foreign corporation or as a dealer in securities in any jurisdiction wherein it would not but for the</w:t>
      </w:r>
      <w:r>
        <w:rPr>
          <w:rFonts w:ascii="Arial" w:cs="Arial" w:eastAsia="Arial" w:hAnsi="Arial"/>
          <w:sz w:val="17"/>
          <w:szCs w:val="17"/>
          <w:color w:val="110E13"/>
        </w:rPr>
        <w:t xml:space="preserve"> </w:t>
      </w:r>
      <w:r>
        <w:rPr>
          <w:rFonts w:ascii="Arial" w:cs="Arial" w:eastAsia="Arial" w:hAnsi="Arial"/>
          <w:sz w:val="17"/>
          <w:szCs w:val="17"/>
          <w:color w:val="110F13"/>
        </w:rPr>
        <w:t>requirements of this clause (xi) be obligated to be so qualified</w:t>
      </w:r>
      <w:r>
        <w:rPr>
          <w:rFonts w:ascii="Arial" w:cs="Arial" w:eastAsia="Arial" w:hAnsi="Arial"/>
          <w:sz w:val="17"/>
          <w:szCs w:val="17"/>
          <w:color w:val="28282A"/>
        </w:rPr>
        <w:t>,</w:t>
      </w:r>
      <w:r>
        <w:rPr>
          <w:rFonts w:ascii="Arial" w:cs="Arial" w:eastAsia="Arial" w:hAnsi="Arial"/>
          <w:sz w:val="17"/>
          <w:szCs w:val="17"/>
          <w:color w:val="110F13"/>
        </w:rPr>
        <w:t xml:space="preserve"> subject itself to taxation in any such jurisdiction or file a general consent to service of process in any such jurisdiction</w:t>
      </w:r>
      <w:r>
        <w:rPr>
          <w:rFonts w:ascii="Arial" w:cs="Arial" w:eastAsia="Arial" w:hAnsi="Arial"/>
          <w:sz w:val="17"/>
          <w:szCs w:val="17"/>
          <w:color w:val="28282A"/>
        </w:rPr>
        <w:t>; and</w:t>
      </w:r>
    </w:p>
    <w:p>
      <w:pPr>
        <w:spacing w:after="0" w:line="160" w:lineRule="exact"/>
        <w:rPr>
          <w:rFonts w:ascii="Arial" w:cs="Arial" w:eastAsia="Arial" w:hAnsi="Arial"/>
          <w:sz w:val="17"/>
          <w:szCs w:val="17"/>
          <w:color w:val="auto"/>
        </w:rPr>
      </w:pPr>
    </w:p>
    <w:p>
      <w:pPr>
        <w:ind w:firstLine="504"/>
        <w:spacing w:after="0" w:line="271" w:lineRule="auto"/>
        <w:tabs>
          <w:tab w:leader="none" w:pos="1009" w:val="left"/>
        </w:tabs>
        <w:numPr>
          <w:ilvl w:val="0"/>
          <w:numId w:val="122"/>
        </w:numPr>
        <w:rPr>
          <w:rFonts w:ascii="Arial" w:cs="Arial" w:eastAsia="Arial" w:hAnsi="Arial"/>
          <w:sz w:val="16"/>
          <w:szCs w:val="16"/>
          <w:color w:val="auto"/>
        </w:rPr>
      </w:pPr>
      <w:r>
        <w:rPr>
          <w:rFonts w:ascii="Arial" w:cs="Arial" w:eastAsia="Arial" w:hAnsi="Arial"/>
          <w:sz w:val="16"/>
          <w:szCs w:val="16"/>
          <w:color w:val="110E13"/>
        </w:rPr>
        <w:t>use reasonable efforts to cooperate with the holders to facilitate the timely preparation and delivery of certificates or book-entry securities representing Registrable Securities to be delivered to a transferee pursuant to the Registration Statements</w:t>
      </w:r>
      <w:r>
        <w:rPr>
          <w:rFonts w:ascii="Arial" w:cs="Arial" w:eastAsia="Arial" w:hAnsi="Arial"/>
          <w:sz w:val="16"/>
          <w:szCs w:val="16"/>
          <w:color w:val="28282A"/>
        </w:rPr>
        <w:t>,</w:t>
      </w:r>
      <w:r>
        <w:rPr>
          <w:rFonts w:ascii="Arial" w:cs="Arial" w:eastAsia="Arial" w:hAnsi="Arial"/>
          <w:sz w:val="16"/>
          <w:szCs w:val="16"/>
          <w:color w:val="110E13"/>
        </w:rPr>
        <w:t xml:space="preserve"> which certificates or book-entry securities shall be free</w:t>
      </w:r>
      <w:r>
        <w:rPr>
          <w:rFonts w:ascii="Arial" w:cs="Arial" w:eastAsia="Arial" w:hAnsi="Arial"/>
          <w:sz w:val="16"/>
          <w:szCs w:val="16"/>
          <w:color w:val="28282A"/>
        </w:rPr>
        <w:t>,</w:t>
      </w:r>
      <w:r>
        <w:rPr>
          <w:rFonts w:ascii="Arial" w:cs="Arial" w:eastAsia="Arial" w:hAnsi="Arial"/>
          <w:sz w:val="16"/>
          <w:szCs w:val="16"/>
          <w:color w:val="110E13"/>
        </w:rPr>
        <w:t xml:space="preserve"> to the extent permitted by the Indenture and applicable law</w:t>
      </w:r>
      <w:r>
        <w:rPr>
          <w:rFonts w:ascii="Arial" w:cs="Arial" w:eastAsia="Arial" w:hAnsi="Arial"/>
          <w:sz w:val="16"/>
          <w:szCs w:val="16"/>
          <w:color w:val="28282A"/>
        </w:rPr>
        <w:t>,</w:t>
      </w:r>
      <w:r>
        <w:rPr>
          <w:rFonts w:ascii="Arial" w:cs="Arial" w:eastAsia="Arial" w:hAnsi="Arial"/>
          <w:sz w:val="16"/>
          <w:szCs w:val="16"/>
          <w:color w:val="110E13"/>
        </w:rPr>
        <w:t xml:space="preserve"> of all restrictive legends</w:t>
      </w:r>
      <w:r>
        <w:rPr>
          <w:rFonts w:ascii="Arial" w:cs="Arial" w:eastAsia="Arial" w:hAnsi="Arial"/>
          <w:sz w:val="16"/>
          <w:szCs w:val="16"/>
          <w:color w:val="28282A"/>
        </w:rPr>
        <w:t>,</w:t>
      </w:r>
      <w:r>
        <w:rPr>
          <w:rFonts w:ascii="Arial" w:cs="Arial" w:eastAsia="Arial" w:hAnsi="Arial"/>
          <w:sz w:val="16"/>
          <w:szCs w:val="16"/>
          <w:color w:val="110E13"/>
        </w:rPr>
        <w:t xml:space="preserve"> and to enable such Registrable Securities to be in such denominations and registered in such names as any such holders may request in writing</w:t>
      </w:r>
      <w:r>
        <w:rPr>
          <w:rFonts w:ascii="Arial" w:cs="Arial" w:eastAsia="Arial" w:hAnsi="Arial"/>
          <w:sz w:val="16"/>
          <w:szCs w:val="16"/>
          <w:color w:val="28282A"/>
        </w:rPr>
        <w:t>;</w:t>
      </w:r>
      <w:r>
        <w:rPr>
          <w:rFonts w:ascii="Arial" w:cs="Arial" w:eastAsia="Arial" w:hAnsi="Arial"/>
          <w:sz w:val="16"/>
          <w:szCs w:val="16"/>
          <w:color w:val="110E13"/>
        </w:rPr>
        <w:t xml:space="preserve"> and in connection therewith</w:t>
      </w:r>
      <w:r>
        <w:rPr>
          <w:rFonts w:ascii="Arial" w:cs="Arial" w:eastAsia="Arial" w:hAnsi="Arial"/>
          <w:sz w:val="16"/>
          <w:szCs w:val="16"/>
          <w:color w:val="28282A"/>
        </w:rPr>
        <w:t>,</w:t>
      </w:r>
      <w:r>
        <w:rPr>
          <w:rFonts w:ascii="Arial" w:cs="Arial" w:eastAsia="Arial" w:hAnsi="Arial"/>
          <w:sz w:val="16"/>
          <w:szCs w:val="16"/>
          <w:color w:val="110E13"/>
        </w:rPr>
        <w:t xml:space="preserve"> if required by the Company</w:t>
      </w:r>
      <w:r>
        <w:rPr>
          <w:rFonts w:ascii="Arial" w:cs="Arial" w:eastAsia="Arial" w:hAnsi="Arial"/>
          <w:sz w:val="16"/>
          <w:szCs w:val="16"/>
          <w:color w:val="28282A"/>
        </w:rPr>
        <w:t>’</w:t>
      </w:r>
      <w:r>
        <w:rPr>
          <w:rFonts w:ascii="Arial" w:cs="Arial" w:eastAsia="Arial" w:hAnsi="Arial"/>
          <w:sz w:val="16"/>
          <w:szCs w:val="16"/>
          <w:color w:val="110E13"/>
        </w:rPr>
        <w:t xml:space="preserve"> s transfer agent</w:t>
      </w:r>
      <w:r>
        <w:rPr>
          <w:rFonts w:ascii="Arial" w:cs="Arial" w:eastAsia="Arial" w:hAnsi="Arial"/>
          <w:sz w:val="16"/>
          <w:szCs w:val="16"/>
          <w:color w:val="28282A"/>
        </w:rPr>
        <w:t>,</w:t>
      </w:r>
      <w:r>
        <w:rPr>
          <w:rFonts w:ascii="Arial" w:cs="Arial" w:eastAsia="Arial" w:hAnsi="Arial"/>
          <w:sz w:val="16"/>
          <w:szCs w:val="16"/>
          <w:color w:val="110E13"/>
        </w:rPr>
        <w:t xml:space="preserve"> the Company will promptly after the effectiveness of the Registration Statement cause to be delivered to its transfer agent when and as required by such transfer agent from time to time</w:t>
      </w:r>
      <w:r>
        <w:rPr>
          <w:rFonts w:ascii="Arial" w:cs="Arial" w:eastAsia="Arial" w:hAnsi="Arial"/>
          <w:sz w:val="16"/>
          <w:szCs w:val="16"/>
          <w:color w:val="28282A"/>
        </w:rPr>
        <w:t>,</w:t>
      </w:r>
      <w:r>
        <w:rPr>
          <w:rFonts w:ascii="Arial" w:cs="Arial" w:eastAsia="Arial" w:hAnsi="Arial"/>
          <w:sz w:val="16"/>
          <w:szCs w:val="16"/>
          <w:color w:val="110E13"/>
        </w:rPr>
        <w:t xml:space="preserve"> any authorizations</w:t>
      </w:r>
      <w:r>
        <w:rPr>
          <w:rFonts w:ascii="Arial" w:cs="Arial" w:eastAsia="Arial" w:hAnsi="Arial"/>
          <w:sz w:val="16"/>
          <w:szCs w:val="16"/>
          <w:color w:val="28282A"/>
        </w:rPr>
        <w:t>,</w:t>
      </w:r>
      <w:r>
        <w:rPr>
          <w:rFonts w:ascii="Arial" w:cs="Arial" w:eastAsia="Arial" w:hAnsi="Arial"/>
          <w:sz w:val="16"/>
          <w:szCs w:val="16"/>
          <w:color w:val="110E13"/>
        </w:rPr>
        <w:t xml:space="preserve"> certificates, directions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00"/>
          </w:cols>
          <w:pgMar w:left="820" w:top="1163" w:right="479" w:bottom="1440" w:gutter="0" w:footer="0" w:header="0"/>
        </w:sectPr>
      </w:pPr>
    </w:p>
    <w:bookmarkStart w:id="165" w:name="page166"/>
    <w:bookmarkEnd w:id="165"/>
    <w:p>
      <w:pPr>
        <w:ind w:left="520" w:right="200"/>
        <w:spacing w:after="0" w:line="271" w:lineRule="auto"/>
        <w:rPr>
          <w:sz w:val="20"/>
          <w:szCs w:val="20"/>
          <w:color w:val="auto"/>
        </w:rPr>
      </w:pPr>
      <w:r>
        <w:rPr>
          <w:rFonts w:ascii="Arial" w:cs="Arial" w:eastAsia="Arial" w:hAnsi="Arial"/>
          <w:sz w:val="17"/>
          <w:szCs w:val="17"/>
          <w:color w:val="110E13"/>
        </w:rPr>
        <w:t>and other evidence required by the transfer agent which authorize and direct the transfer agent to issue such Registrable Securities without legend upon sale by the holder of such shares of Registrable Securities under the Registration Statement.</w:t>
      </w:r>
    </w:p>
    <w:p>
      <w:pPr>
        <w:spacing w:after="0" w:line="142" w:lineRule="exact"/>
        <w:rPr>
          <w:sz w:val="20"/>
          <w:szCs w:val="20"/>
          <w:color w:val="auto"/>
        </w:rPr>
      </w:pPr>
    </w:p>
    <w:p>
      <w:pPr>
        <w:ind w:right="40" w:firstLine="514"/>
        <w:spacing w:after="0" w:line="292" w:lineRule="auto"/>
        <w:tabs>
          <w:tab w:leader="none" w:pos="101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Company may require each Selling Holder to furnish the Company in writing such information regarding each Selling Holder and the distribution of such Registrable Securities as the Company may from time to time reasonably request in writing to complete or amend the information required by such Registration Statement and</w:t>
      </w:r>
      <w:r>
        <w:rPr>
          <w:rFonts w:ascii="Arial" w:cs="Arial" w:eastAsia="Arial" w:hAnsi="Arial"/>
          <w:sz w:val="15"/>
          <w:szCs w:val="15"/>
          <w:color w:val="3B3D44"/>
        </w:rPr>
        <w:t>/</w:t>
      </w:r>
      <w:r>
        <w:rPr>
          <w:rFonts w:ascii="Arial" w:cs="Arial" w:eastAsia="Arial" w:hAnsi="Arial"/>
          <w:sz w:val="15"/>
          <w:szCs w:val="15"/>
          <w:color w:val="auto"/>
        </w:rPr>
        <w:t>or any other documents relating to such registered offering</w:t>
      </w:r>
      <w:r>
        <w:rPr>
          <w:rFonts w:ascii="Arial" w:cs="Arial" w:eastAsia="Arial" w:hAnsi="Arial"/>
          <w:sz w:val="15"/>
          <w:szCs w:val="15"/>
          <w:color w:val="2A2A2B"/>
        </w:rPr>
        <w:t>,</w:t>
      </w:r>
      <w:r>
        <w:rPr>
          <w:rFonts w:ascii="Arial" w:cs="Arial" w:eastAsia="Arial" w:hAnsi="Arial"/>
          <w:sz w:val="15"/>
          <w:szCs w:val="15"/>
          <w:color w:val="auto"/>
        </w:rPr>
        <w:t xml:space="preserve"> and execute and deliver</w:t>
      </w:r>
      <w:r>
        <w:rPr>
          <w:rFonts w:ascii="Arial" w:cs="Arial" w:eastAsia="Arial" w:hAnsi="Arial"/>
          <w:sz w:val="15"/>
          <w:szCs w:val="15"/>
          <w:color w:val="2A2A2B"/>
        </w:rPr>
        <w:t>,</w:t>
      </w:r>
      <w:r>
        <w:rPr>
          <w:rFonts w:ascii="Arial" w:cs="Arial" w:eastAsia="Arial" w:hAnsi="Arial"/>
          <w:sz w:val="15"/>
          <w:szCs w:val="15"/>
          <w:color w:val="auto"/>
        </w:rPr>
        <w:t xml:space="preserve"> or cause the execution or delivery of</w:t>
      </w:r>
      <w:r>
        <w:rPr>
          <w:rFonts w:ascii="Arial" w:cs="Arial" w:eastAsia="Arial" w:hAnsi="Arial"/>
          <w:sz w:val="15"/>
          <w:szCs w:val="15"/>
          <w:color w:val="2A2A2B"/>
        </w:rPr>
        <w:t>,</w:t>
      </w:r>
      <w:r>
        <w:rPr>
          <w:rFonts w:ascii="Arial" w:cs="Arial" w:eastAsia="Arial" w:hAnsi="Arial"/>
          <w:sz w:val="15"/>
          <w:szCs w:val="15"/>
          <w:color w:val="auto"/>
        </w:rPr>
        <w:t xml:space="preserve"> and to perform under</w:t>
      </w:r>
      <w:r>
        <w:rPr>
          <w:rFonts w:ascii="Arial" w:cs="Arial" w:eastAsia="Arial" w:hAnsi="Arial"/>
          <w:sz w:val="15"/>
          <w:szCs w:val="15"/>
          <w:color w:val="2A2A2B"/>
        </w:rPr>
        <w:t>,</w:t>
      </w:r>
      <w:r>
        <w:rPr>
          <w:rFonts w:ascii="Arial" w:cs="Arial" w:eastAsia="Arial" w:hAnsi="Arial"/>
          <w:sz w:val="15"/>
          <w:szCs w:val="15"/>
          <w:color w:val="auto"/>
        </w:rPr>
        <w:t xml:space="preserve"> or cause the performance under</w:t>
      </w:r>
      <w:r>
        <w:rPr>
          <w:rFonts w:ascii="Arial" w:cs="Arial" w:eastAsia="Arial" w:hAnsi="Arial"/>
          <w:sz w:val="15"/>
          <w:szCs w:val="15"/>
          <w:color w:val="2A2A2B"/>
        </w:rPr>
        <w:t>,</w:t>
      </w:r>
      <w:r>
        <w:rPr>
          <w:rFonts w:ascii="Arial" w:cs="Arial" w:eastAsia="Arial" w:hAnsi="Arial"/>
          <w:sz w:val="15"/>
          <w:szCs w:val="15"/>
          <w:color w:val="auto"/>
        </w:rPr>
        <w:t xml:space="preserve"> any agreements and instruments reasonably requested by the Company to effectuate such registered offering</w:t>
      </w:r>
      <w:r>
        <w:rPr>
          <w:rFonts w:ascii="Arial" w:cs="Arial" w:eastAsia="Arial" w:hAnsi="Arial"/>
          <w:sz w:val="15"/>
          <w:szCs w:val="15"/>
          <w:color w:val="2A2A2B"/>
        </w:rPr>
        <w:t>,</w:t>
      </w:r>
      <w:r>
        <w:rPr>
          <w:rFonts w:ascii="Arial" w:cs="Arial" w:eastAsia="Arial" w:hAnsi="Arial"/>
          <w:sz w:val="15"/>
          <w:szCs w:val="15"/>
          <w:color w:val="auto"/>
        </w:rPr>
        <w:t xml:space="preserve"> including</w:t>
      </w:r>
      <w:r>
        <w:rPr>
          <w:rFonts w:ascii="Arial" w:cs="Arial" w:eastAsia="Arial" w:hAnsi="Arial"/>
          <w:sz w:val="15"/>
          <w:szCs w:val="15"/>
          <w:color w:val="2A2A2B"/>
        </w:rPr>
        <w:t>,</w:t>
      </w:r>
      <w:r>
        <w:rPr>
          <w:rFonts w:ascii="Arial" w:cs="Arial" w:eastAsia="Arial" w:hAnsi="Arial"/>
          <w:sz w:val="15"/>
          <w:szCs w:val="15"/>
          <w:color w:val="auto"/>
        </w:rPr>
        <w:t xml:space="preserve"> without limitation</w:t>
      </w:r>
      <w:r>
        <w:rPr>
          <w:rFonts w:ascii="Arial" w:cs="Arial" w:eastAsia="Arial" w:hAnsi="Arial"/>
          <w:sz w:val="15"/>
          <w:szCs w:val="15"/>
          <w:color w:val="2A2A2B"/>
        </w:rPr>
        <w:t>,</w:t>
      </w:r>
      <w:r>
        <w:rPr>
          <w:rFonts w:ascii="Arial" w:cs="Arial" w:eastAsia="Arial" w:hAnsi="Arial"/>
          <w:sz w:val="15"/>
          <w:szCs w:val="15"/>
          <w:color w:val="auto"/>
        </w:rPr>
        <w:t xml:space="preserve"> opinions of counsel and questionnaires. If the Company requests that the holders of Registrable Securities take any of the actions referred to in this Section 5.03(b)</w:t>
      </w:r>
      <w:r>
        <w:rPr>
          <w:rFonts w:ascii="Arial" w:cs="Arial" w:eastAsia="Arial" w:hAnsi="Arial"/>
          <w:sz w:val="15"/>
          <w:szCs w:val="15"/>
          <w:color w:val="2A2A2B"/>
        </w:rPr>
        <w:t>,</w:t>
      </w:r>
      <w:r>
        <w:rPr>
          <w:rFonts w:ascii="Arial" w:cs="Arial" w:eastAsia="Arial" w:hAnsi="Arial"/>
          <w:sz w:val="15"/>
          <w:szCs w:val="15"/>
          <w:color w:val="auto"/>
        </w:rPr>
        <w:t xml:space="preserve"> such holders shall take such action promptly and as soon as reasonably practicable following the date of such request.</w:t>
      </w:r>
    </w:p>
    <w:p>
      <w:pPr>
        <w:spacing w:after="0" w:line="120" w:lineRule="exact"/>
        <w:rPr>
          <w:rFonts w:ascii="Arial" w:cs="Arial" w:eastAsia="Arial" w:hAnsi="Arial"/>
          <w:sz w:val="15"/>
          <w:szCs w:val="15"/>
          <w:color w:val="auto"/>
        </w:rPr>
      </w:pPr>
    </w:p>
    <w:p>
      <w:pPr>
        <w:ind w:left="1020" w:hanging="506"/>
        <w:spacing w:after="0"/>
        <w:tabs>
          <w:tab w:leader="none" w:pos="10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Each Selling Holder agrees that upon receipt of any notice from the Company of the happening of any event of the kind described in clauses (B)</w:t>
      </w:r>
      <w:r>
        <w:rPr>
          <w:rFonts w:ascii="Arial" w:cs="Arial" w:eastAsia="Arial" w:hAnsi="Arial"/>
          <w:sz w:val="15"/>
          <w:szCs w:val="15"/>
          <w:color w:val="2A2A2B"/>
        </w:rPr>
        <w:t>, (C),</w:t>
      </w:r>
    </w:p>
    <w:p>
      <w:pPr>
        <w:spacing w:after="0" w:line="42" w:lineRule="exact"/>
        <w:rPr>
          <w:rFonts w:ascii="Arial" w:cs="Arial" w:eastAsia="Arial" w:hAnsi="Arial"/>
          <w:sz w:val="15"/>
          <w:szCs w:val="15"/>
          <w:color w:val="auto"/>
        </w:rPr>
      </w:pPr>
    </w:p>
    <w:p>
      <w:pPr>
        <w:spacing w:after="0" w:line="288" w:lineRule="auto"/>
        <w:rPr>
          <w:rFonts w:ascii="Arial" w:cs="Arial" w:eastAsia="Arial" w:hAnsi="Arial"/>
          <w:sz w:val="15"/>
          <w:szCs w:val="15"/>
          <w:color w:val="auto"/>
        </w:rPr>
      </w:pPr>
      <w:r>
        <w:rPr>
          <w:rFonts w:ascii="Arial" w:cs="Arial" w:eastAsia="Arial" w:hAnsi="Arial"/>
          <w:sz w:val="15"/>
          <w:szCs w:val="15"/>
          <w:color w:val="2A2A2B"/>
        </w:rPr>
        <w:t>(D)</w:t>
      </w:r>
      <w:r>
        <w:rPr>
          <w:rFonts w:ascii="Arial" w:cs="Arial" w:eastAsia="Arial" w:hAnsi="Arial"/>
          <w:sz w:val="15"/>
          <w:szCs w:val="15"/>
          <w:color w:val="000000"/>
        </w:rPr>
        <w:t>, (E) and (F) of Section 5.03(a)(vii)</w:t>
      </w:r>
      <w:r>
        <w:rPr>
          <w:rFonts w:ascii="Arial" w:cs="Arial" w:eastAsia="Arial" w:hAnsi="Arial"/>
          <w:sz w:val="15"/>
          <w:szCs w:val="15"/>
          <w:color w:val="2A2A2B"/>
        </w:rPr>
        <w:t xml:space="preserve">, </w:t>
      </w:r>
      <w:r>
        <w:rPr>
          <w:rFonts w:ascii="Arial" w:cs="Arial" w:eastAsia="Arial" w:hAnsi="Arial"/>
          <w:sz w:val="15"/>
          <w:szCs w:val="15"/>
          <w:color w:val="000000"/>
        </w:rPr>
        <w:t>such Selling Holder shall forthwith discontinue such Selling Holder</w:t>
      </w:r>
      <w:r>
        <w:rPr>
          <w:rFonts w:ascii="Arial" w:cs="Arial" w:eastAsia="Arial" w:hAnsi="Arial"/>
          <w:sz w:val="15"/>
          <w:szCs w:val="15"/>
          <w:color w:val="2A2A2B"/>
        </w:rPr>
        <w:t xml:space="preserve">’ </w:t>
      </w:r>
      <w:r>
        <w:rPr>
          <w:rFonts w:ascii="Arial" w:cs="Arial" w:eastAsia="Arial" w:hAnsi="Arial"/>
          <w:sz w:val="15"/>
          <w:szCs w:val="15"/>
          <w:color w:val="000000"/>
        </w:rPr>
        <w:t>s disposition of Registrable Securities pursuant to the</w:t>
      </w:r>
      <w:r>
        <w:rPr>
          <w:rFonts w:ascii="Arial" w:cs="Arial" w:eastAsia="Arial" w:hAnsi="Arial"/>
          <w:sz w:val="15"/>
          <w:szCs w:val="15"/>
          <w:color w:val="2A2A2B"/>
        </w:rPr>
        <w:t xml:space="preserve"> </w:t>
      </w:r>
      <w:r>
        <w:rPr>
          <w:rFonts w:ascii="Arial" w:cs="Arial" w:eastAsia="Arial" w:hAnsi="Arial"/>
          <w:sz w:val="15"/>
          <w:szCs w:val="15"/>
          <w:color w:val="000000"/>
        </w:rPr>
        <w:t>applicable Registration Statement and prospectus relating thereto until such Selling Holder is advised in writing by the Company that the use of the applicable prospectus may be resumed</w:t>
      </w:r>
      <w:r>
        <w:rPr>
          <w:rFonts w:ascii="Arial" w:cs="Arial" w:eastAsia="Arial" w:hAnsi="Arial"/>
          <w:sz w:val="15"/>
          <w:szCs w:val="15"/>
          <w:color w:val="2A2A2B"/>
        </w:rPr>
        <w:t>,</w:t>
      </w:r>
      <w:r>
        <w:rPr>
          <w:rFonts w:ascii="Arial" w:cs="Arial" w:eastAsia="Arial" w:hAnsi="Arial"/>
          <w:sz w:val="15"/>
          <w:szCs w:val="15"/>
          <w:color w:val="000000"/>
        </w:rPr>
        <w:t xml:space="preserve"> and has received copies of any additional or supplemental filings that are incorporated or deemed to be incorporated by reference in such prospectus. The Company shall use reasonable efforts to cure the events described in </w:t>
      </w:r>
      <w:r>
        <w:rPr>
          <w:rFonts w:ascii="Arial" w:cs="Arial" w:eastAsia="Arial" w:hAnsi="Arial"/>
          <w:sz w:val="15"/>
          <w:szCs w:val="15"/>
          <w:color w:val="110F13"/>
        </w:rPr>
        <w:t>clauses</w:t>
      </w:r>
      <w:r>
        <w:rPr>
          <w:rFonts w:ascii="Arial" w:cs="Arial" w:eastAsia="Arial" w:hAnsi="Arial"/>
          <w:sz w:val="15"/>
          <w:szCs w:val="15"/>
          <w:color w:val="000000"/>
        </w:rPr>
        <w:t xml:space="preserve"> (B)</w:t>
      </w:r>
      <w:r>
        <w:rPr>
          <w:rFonts w:ascii="Arial" w:cs="Arial" w:eastAsia="Arial" w:hAnsi="Arial"/>
          <w:sz w:val="15"/>
          <w:szCs w:val="15"/>
          <w:color w:val="2A2A2B"/>
        </w:rPr>
        <w:t>, (C), (D)</w:t>
      </w:r>
      <w:r>
        <w:rPr>
          <w:rFonts w:ascii="Arial" w:cs="Arial" w:eastAsia="Arial" w:hAnsi="Arial"/>
          <w:sz w:val="15"/>
          <w:szCs w:val="15"/>
          <w:color w:val="000000"/>
        </w:rPr>
        <w:t xml:space="preserve">, (E) and (F) of Section 5.03(a)(vii) </w:t>
      </w:r>
      <w:r>
        <w:rPr>
          <w:rFonts w:ascii="Arial" w:cs="Arial" w:eastAsia="Arial" w:hAnsi="Arial"/>
          <w:sz w:val="15"/>
          <w:szCs w:val="15"/>
          <w:color w:val="110F13"/>
        </w:rPr>
        <w:t>so that the use of the</w:t>
      </w:r>
      <w:r>
        <w:rPr>
          <w:rFonts w:ascii="Arial" w:cs="Arial" w:eastAsia="Arial" w:hAnsi="Arial"/>
          <w:sz w:val="15"/>
          <w:szCs w:val="15"/>
          <w:color w:val="000000"/>
        </w:rPr>
        <w:t xml:space="preserve"> </w:t>
      </w:r>
      <w:r>
        <w:rPr>
          <w:rFonts w:ascii="Arial" w:cs="Arial" w:eastAsia="Arial" w:hAnsi="Arial"/>
          <w:sz w:val="15"/>
          <w:szCs w:val="15"/>
          <w:color w:val="110F13"/>
        </w:rPr>
        <w:t>applicable prospectus may be resumed at the earliest reasonably practicable moment. For the avoidance of doubt</w:t>
      </w:r>
      <w:r>
        <w:rPr>
          <w:rFonts w:ascii="Arial" w:cs="Arial" w:eastAsia="Arial" w:hAnsi="Arial"/>
          <w:sz w:val="15"/>
          <w:szCs w:val="15"/>
          <w:color w:val="2A2A2B"/>
        </w:rPr>
        <w:t>,</w:t>
      </w:r>
      <w:r>
        <w:rPr>
          <w:rFonts w:ascii="Arial" w:cs="Arial" w:eastAsia="Arial" w:hAnsi="Arial"/>
          <w:sz w:val="15"/>
          <w:szCs w:val="15"/>
          <w:color w:val="110F13"/>
        </w:rPr>
        <w:t xml:space="preserve"> and as set forth in Section 5.02(b)</w:t>
      </w:r>
      <w:r>
        <w:rPr>
          <w:rFonts w:ascii="Arial" w:cs="Arial" w:eastAsia="Arial" w:hAnsi="Arial"/>
          <w:sz w:val="15"/>
          <w:szCs w:val="15"/>
          <w:color w:val="2A2A2B"/>
        </w:rPr>
        <w:t>,</w:t>
      </w:r>
      <w:r>
        <w:rPr>
          <w:rFonts w:ascii="Arial" w:cs="Arial" w:eastAsia="Arial" w:hAnsi="Arial"/>
          <w:sz w:val="15"/>
          <w:szCs w:val="15"/>
          <w:color w:val="110F13"/>
        </w:rPr>
        <w:t xml:space="preserve"> if any such event makes the Registration Statement not Available</w:t>
      </w:r>
      <w:r>
        <w:rPr>
          <w:rFonts w:ascii="Arial" w:cs="Arial" w:eastAsia="Arial" w:hAnsi="Arial"/>
          <w:sz w:val="15"/>
          <w:szCs w:val="15"/>
          <w:color w:val="2A2A2B"/>
        </w:rPr>
        <w:t>,</w:t>
      </w:r>
      <w:r>
        <w:rPr>
          <w:rFonts w:ascii="Arial" w:cs="Arial" w:eastAsia="Arial" w:hAnsi="Arial"/>
          <w:sz w:val="15"/>
          <w:szCs w:val="15"/>
          <w:color w:val="110F13"/>
        </w:rPr>
        <w:t xml:space="preserve"> such an event shall be deemed to start a Blackout Period and be subject to the limitations therein.</w:t>
      </w:r>
    </w:p>
    <w:p>
      <w:pPr>
        <w:spacing w:after="0" w:line="124"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Expenses.</w:t>
      </w:r>
      <w:r>
        <w:rPr>
          <w:rFonts w:ascii="Arial" w:cs="Arial" w:eastAsia="Arial" w:hAnsi="Arial"/>
          <w:sz w:val="17"/>
          <w:szCs w:val="17"/>
          <w:color w:val="auto"/>
        </w:rPr>
        <w:t xml:space="preserve"> The Company shall pay all Registration Expenses in connection with any registration pursuant to this Article 5</w:t>
      </w:r>
      <w:r>
        <w:rPr>
          <w:rFonts w:ascii="Arial" w:cs="Arial" w:eastAsia="Arial" w:hAnsi="Arial"/>
          <w:sz w:val="17"/>
          <w:szCs w:val="17"/>
          <w:color w:val="2A2A2B"/>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holder of Registrable Securities participating in an offering shall pay all applicable underwriting discounts and commissions</w:t>
      </w:r>
      <w:r>
        <w:rPr>
          <w:rFonts w:ascii="Arial" w:cs="Arial" w:eastAsia="Arial" w:hAnsi="Arial"/>
          <w:sz w:val="17"/>
          <w:szCs w:val="17"/>
          <w:color w:val="2A2A2B"/>
        </w:rPr>
        <w:t>,</w:t>
      </w:r>
      <w:r>
        <w:rPr>
          <w:rFonts w:ascii="Arial" w:cs="Arial" w:eastAsia="Arial" w:hAnsi="Arial"/>
          <w:sz w:val="17"/>
          <w:szCs w:val="17"/>
          <w:color w:val="auto"/>
        </w:rPr>
        <w:t xml:space="preserve"> agency fees</w:t>
      </w:r>
      <w:r>
        <w:rPr>
          <w:rFonts w:ascii="Arial" w:cs="Arial" w:eastAsia="Arial" w:hAnsi="Arial"/>
          <w:sz w:val="17"/>
          <w:szCs w:val="17"/>
          <w:color w:val="2A2A2B"/>
        </w:rPr>
        <w:t>,</w:t>
      </w:r>
      <w:r>
        <w:rPr>
          <w:rFonts w:ascii="Arial" w:cs="Arial" w:eastAsia="Arial" w:hAnsi="Arial"/>
          <w:sz w:val="17"/>
          <w:szCs w:val="17"/>
          <w:color w:val="auto"/>
        </w:rPr>
        <w:t xml:space="preserve"> brokers</w:t>
      </w:r>
      <w:r>
        <w:rPr>
          <w:rFonts w:ascii="Arial" w:cs="Arial" w:eastAsia="Arial" w:hAnsi="Arial"/>
          <w:sz w:val="17"/>
          <w:szCs w:val="17"/>
          <w:color w:val="2A2A2B"/>
        </w:rPr>
        <w:t>’</w:t>
      </w:r>
      <w:r>
        <w:rPr>
          <w:rFonts w:ascii="Arial" w:cs="Arial" w:eastAsia="Arial" w:hAnsi="Arial"/>
          <w:sz w:val="17"/>
          <w:szCs w:val="17"/>
          <w:color w:val="auto"/>
        </w:rPr>
        <w:t xml:space="preserve"> commissions and transfer taxes</w:t>
      </w:r>
      <w:r>
        <w:rPr>
          <w:rFonts w:ascii="Arial" w:cs="Arial" w:eastAsia="Arial" w:hAnsi="Arial"/>
          <w:sz w:val="17"/>
          <w:szCs w:val="17"/>
          <w:color w:val="2A2A2B"/>
        </w:rPr>
        <w:t>,</w:t>
      </w:r>
      <w:r>
        <w:rPr>
          <w:rFonts w:ascii="Arial" w:cs="Arial" w:eastAsia="Arial" w:hAnsi="Arial"/>
          <w:sz w:val="17"/>
          <w:szCs w:val="17"/>
          <w:color w:val="auto"/>
        </w:rPr>
        <w:t xml:space="preserve"> if any</w:t>
      </w:r>
      <w:r>
        <w:rPr>
          <w:rFonts w:ascii="Arial" w:cs="Arial" w:eastAsia="Arial" w:hAnsi="Arial"/>
          <w:sz w:val="17"/>
          <w:szCs w:val="17"/>
          <w:color w:val="2A2A2B"/>
        </w:rPr>
        <w:t>,</w:t>
      </w:r>
      <w:r>
        <w:rPr>
          <w:rFonts w:ascii="Arial" w:cs="Arial" w:eastAsia="Arial" w:hAnsi="Arial"/>
          <w:sz w:val="17"/>
          <w:szCs w:val="17"/>
          <w:color w:val="auto"/>
        </w:rPr>
        <w:t xml:space="preserve"> on the Registrable Securities sold by such holder</w:t>
      </w:r>
      <w:r>
        <w:rPr>
          <w:rFonts w:ascii="Arial" w:cs="Arial" w:eastAsia="Arial" w:hAnsi="Arial"/>
          <w:sz w:val="17"/>
          <w:szCs w:val="17"/>
          <w:color w:val="2A2A2B"/>
        </w:rPr>
        <w:t>,</w:t>
      </w:r>
      <w:r>
        <w:rPr>
          <w:rFonts w:ascii="Arial" w:cs="Arial" w:eastAsia="Arial" w:hAnsi="Arial"/>
          <w:sz w:val="17"/>
          <w:szCs w:val="17"/>
          <w:color w:val="auto"/>
        </w:rPr>
        <w:t xml:space="preserve"> and similar charges.</w:t>
      </w:r>
    </w:p>
    <w:p>
      <w:pPr>
        <w:spacing w:after="0" w:line="142"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7"/>
          <w:szCs w:val="17"/>
          <w:color w:val="auto"/>
        </w:rPr>
        <w:t>Section 5.05.</w:t>
      </w:r>
      <w:r>
        <w:rPr>
          <w:sz w:val="20"/>
          <w:szCs w:val="20"/>
          <w:color w:val="auto"/>
        </w:rPr>
        <w:tab/>
      </w:r>
      <w:r>
        <w:rPr>
          <w:rFonts w:ascii="Arial" w:cs="Arial" w:eastAsia="Arial" w:hAnsi="Arial"/>
          <w:sz w:val="15"/>
          <w:szCs w:val="15"/>
          <w:i w:val="1"/>
          <w:iCs w:val="1"/>
          <w:color w:val="auto"/>
        </w:rPr>
        <w:t>Registration Indemnification.</w:t>
      </w:r>
    </w:p>
    <w:p>
      <w:pPr>
        <w:spacing w:after="0" w:line="176" w:lineRule="exact"/>
        <w:rPr>
          <w:sz w:val="20"/>
          <w:szCs w:val="20"/>
          <w:color w:val="auto"/>
        </w:rPr>
      </w:pPr>
    </w:p>
    <w:p>
      <w:pPr>
        <w:jc w:val="both"/>
        <w:ind w:right="40" w:firstLine="514"/>
        <w:spacing w:after="0" w:line="255" w:lineRule="auto"/>
        <w:tabs>
          <w:tab w:leader="none" w:pos="100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agrees</w:t>
      </w:r>
      <w:r>
        <w:rPr>
          <w:rFonts w:ascii="Arial" w:cs="Arial" w:eastAsia="Arial" w:hAnsi="Arial"/>
          <w:sz w:val="17"/>
          <w:szCs w:val="17"/>
          <w:color w:val="2A2A2B"/>
        </w:rPr>
        <w:t>,</w:t>
      </w:r>
      <w:r>
        <w:rPr>
          <w:rFonts w:ascii="Arial" w:cs="Arial" w:eastAsia="Arial" w:hAnsi="Arial"/>
          <w:sz w:val="17"/>
          <w:szCs w:val="17"/>
          <w:color w:val="auto"/>
        </w:rPr>
        <w:t xml:space="preserve"> without limitation as to time</w:t>
      </w:r>
      <w:r>
        <w:rPr>
          <w:rFonts w:ascii="Arial" w:cs="Arial" w:eastAsia="Arial" w:hAnsi="Arial"/>
          <w:sz w:val="17"/>
          <w:szCs w:val="17"/>
          <w:color w:val="2A2A2B"/>
        </w:rPr>
        <w:t>,</w:t>
      </w:r>
      <w:r>
        <w:rPr>
          <w:rFonts w:ascii="Arial" w:cs="Arial" w:eastAsia="Arial" w:hAnsi="Arial"/>
          <w:sz w:val="17"/>
          <w:szCs w:val="17"/>
          <w:color w:val="auto"/>
        </w:rPr>
        <w:t xml:space="preserve"> to indemnify and hold harmless</w:t>
      </w:r>
      <w:r>
        <w:rPr>
          <w:rFonts w:ascii="Arial" w:cs="Arial" w:eastAsia="Arial" w:hAnsi="Arial"/>
          <w:sz w:val="17"/>
          <w:szCs w:val="17"/>
          <w:color w:val="2A2A2B"/>
        </w:rPr>
        <w:t>,</w:t>
      </w:r>
      <w:r>
        <w:rPr>
          <w:rFonts w:ascii="Arial" w:cs="Arial" w:eastAsia="Arial" w:hAnsi="Arial"/>
          <w:sz w:val="17"/>
          <w:szCs w:val="17"/>
          <w:color w:val="auto"/>
        </w:rPr>
        <w:t xml:space="preserve"> to the fullest extent permitted by law</w:t>
      </w:r>
      <w:r>
        <w:rPr>
          <w:rFonts w:ascii="Arial" w:cs="Arial" w:eastAsia="Arial" w:hAnsi="Arial"/>
          <w:sz w:val="17"/>
          <w:szCs w:val="17"/>
          <w:color w:val="2A2A2B"/>
        </w:rPr>
        <w:t>,</w:t>
      </w:r>
      <w:r>
        <w:rPr>
          <w:rFonts w:ascii="Arial" w:cs="Arial" w:eastAsia="Arial" w:hAnsi="Arial"/>
          <w:sz w:val="17"/>
          <w:szCs w:val="17"/>
          <w:color w:val="auto"/>
        </w:rPr>
        <w:t xml:space="preserve"> each Selling Holder and its Affiliates and their respective officers</w:t>
      </w:r>
      <w:r>
        <w:rPr>
          <w:rFonts w:ascii="Arial" w:cs="Arial" w:eastAsia="Arial" w:hAnsi="Arial"/>
          <w:sz w:val="17"/>
          <w:szCs w:val="17"/>
          <w:color w:val="2A2A2B"/>
        </w:rPr>
        <w:t>,</w:t>
      </w:r>
      <w:r>
        <w:rPr>
          <w:rFonts w:ascii="Arial" w:cs="Arial" w:eastAsia="Arial" w:hAnsi="Arial"/>
          <w:sz w:val="17"/>
          <w:szCs w:val="17"/>
          <w:color w:val="auto"/>
        </w:rPr>
        <w:t xml:space="preserve"> directors</w:t>
      </w:r>
      <w:r>
        <w:rPr>
          <w:rFonts w:ascii="Arial" w:cs="Arial" w:eastAsia="Arial" w:hAnsi="Arial"/>
          <w:sz w:val="17"/>
          <w:szCs w:val="17"/>
          <w:color w:val="2A2A2B"/>
        </w:rPr>
        <w:t>,</w:t>
      </w:r>
      <w:r>
        <w:rPr>
          <w:rFonts w:ascii="Arial" w:cs="Arial" w:eastAsia="Arial" w:hAnsi="Arial"/>
          <w:sz w:val="17"/>
          <w:szCs w:val="17"/>
          <w:color w:val="auto"/>
        </w:rPr>
        <w:t xml:space="preserve"> members</w:t>
      </w:r>
      <w:r>
        <w:rPr>
          <w:rFonts w:ascii="Arial" w:cs="Arial" w:eastAsia="Arial" w:hAnsi="Arial"/>
          <w:sz w:val="17"/>
          <w:szCs w:val="17"/>
          <w:color w:val="2A2A2B"/>
        </w:rPr>
        <w:t>,</w:t>
      </w:r>
      <w:r>
        <w:rPr>
          <w:rFonts w:ascii="Arial" w:cs="Arial" w:eastAsia="Arial" w:hAnsi="Arial"/>
          <w:sz w:val="17"/>
          <w:szCs w:val="17"/>
          <w:color w:val="auto"/>
        </w:rPr>
        <w:t xml:space="preserve"> shareholders</w:t>
      </w:r>
      <w:r>
        <w:rPr>
          <w:rFonts w:ascii="Arial" w:cs="Arial" w:eastAsia="Arial" w:hAnsi="Arial"/>
          <w:sz w:val="17"/>
          <w:szCs w:val="17"/>
          <w:color w:val="2A2A2B"/>
        </w:rPr>
        <w:t>,</w:t>
      </w:r>
      <w:r>
        <w:rPr>
          <w:rFonts w:ascii="Arial" w:cs="Arial" w:eastAsia="Arial" w:hAnsi="Arial"/>
          <w:sz w:val="17"/>
          <w:szCs w:val="17"/>
          <w:color w:val="auto"/>
        </w:rPr>
        <w:t xml:space="preserve"> employees, managers</w:t>
      </w:r>
      <w:r>
        <w:rPr>
          <w:rFonts w:ascii="Arial" w:cs="Arial" w:eastAsia="Arial" w:hAnsi="Arial"/>
          <w:sz w:val="17"/>
          <w:szCs w:val="17"/>
          <w:color w:val="2A2A2B"/>
        </w:rPr>
        <w:t>,</w:t>
      </w:r>
      <w:r>
        <w:rPr>
          <w:rFonts w:ascii="Arial" w:cs="Arial" w:eastAsia="Arial" w:hAnsi="Arial"/>
          <w:sz w:val="17"/>
          <w:szCs w:val="17"/>
          <w:color w:val="auto"/>
        </w:rPr>
        <w:t xml:space="preserve"> partners</w:t>
      </w:r>
      <w:r>
        <w:rPr>
          <w:rFonts w:ascii="Arial" w:cs="Arial" w:eastAsia="Arial" w:hAnsi="Arial"/>
          <w:sz w:val="17"/>
          <w:szCs w:val="17"/>
          <w:color w:val="2A2A2B"/>
        </w:rPr>
        <w:t>,</w:t>
      </w:r>
      <w:r>
        <w:rPr>
          <w:rFonts w:ascii="Arial" w:cs="Arial" w:eastAsia="Arial" w:hAnsi="Arial"/>
          <w:sz w:val="17"/>
          <w:szCs w:val="17"/>
          <w:color w:val="auto"/>
        </w:rPr>
        <w:t xml:space="preserve"> accountants</w:t>
      </w:r>
      <w:r>
        <w:rPr>
          <w:rFonts w:ascii="Arial" w:cs="Arial" w:eastAsia="Arial" w:hAnsi="Arial"/>
          <w:sz w:val="17"/>
          <w:szCs w:val="17"/>
          <w:color w:val="2A2A2B"/>
        </w:rPr>
        <w:t>,</w:t>
      </w:r>
      <w:r>
        <w:rPr>
          <w:rFonts w:ascii="Arial" w:cs="Arial" w:eastAsia="Arial" w:hAnsi="Arial"/>
          <w:sz w:val="17"/>
          <w:szCs w:val="17"/>
          <w:color w:val="auto"/>
        </w:rPr>
        <w:t xml:space="preserve"> attorneys</w:t>
      </w:r>
      <w:r>
        <w:rPr>
          <w:rFonts w:ascii="Arial" w:cs="Arial" w:eastAsia="Arial" w:hAnsi="Arial"/>
          <w:sz w:val="17"/>
          <w:szCs w:val="17"/>
          <w:color w:val="2A2A2B"/>
        </w:rPr>
        <w:t>,</w:t>
      </w:r>
      <w:r>
        <w:rPr>
          <w:rFonts w:ascii="Arial" w:cs="Arial" w:eastAsia="Arial" w:hAnsi="Arial"/>
          <w:sz w:val="17"/>
          <w:szCs w:val="17"/>
          <w:color w:val="auto"/>
        </w:rPr>
        <w:t xml:space="preserve"> advisors and agents and each Person who controls (within the meaning of Section 15 of the Securities Act and Section 20 of the Exchange Act) such Selling Holder or such other indemnified Person and the officers</w:t>
      </w:r>
      <w:r>
        <w:rPr>
          <w:rFonts w:ascii="Arial" w:cs="Arial" w:eastAsia="Arial" w:hAnsi="Arial"/>
          <w:sz w:val="17"/>
          <w:szCs w:val="17"/>
          <w:color w:val="2A2A2B"/>
        </w:rPr>
        <w:t>,</w:t>
      </w:r>
      <w:r>
        <w:rPr>
          <w:rFonts w:ascii="Arial" w:cs="Arial" w:eastAsia="Arial" w:hAnsi="Arial"/>
          <w:sz w:val="17"/>
          <w:szCs w:val="17"/>
          <w:color w:val="auto"/>
        </w:rPr>
        <w:t xml:space="preserve"> directors</w:t>
      </w:r>
      <w:r>
        <w:rPr>
          <w:rFonts w:ascii="Arial" w:cs="Arial" w:eastAsia="Arial" w:hAnsi="Arial"/>
          <w:sz w:val="17"/>
          <w:szCs w:val="17"/>
          <w:color w:val="2A2A2B"/>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80"/>
          </w:cols>
          <w:pgMar w:left="300" w:top="1163" w:right="319" w:bottom="1440" w:gutter="0" w:footer="0" w:header="0"/>
        </w:sectPr>
      </w:pPr>
    </w:p>
    <w:bookmarkStart w:id="166" w:name="page167"/>
    <w:bookmarkEnd w:id="166"/>
    <w:p>
      <w:pPr>
        <w:ind w:right="40"/>
        <w:spacing w:after="0" w:line="284" w:lineRule="auto"/>
        <w:rPr>
          <w:sz w:val="20"/>
          <w:szCs w:val="20"/>
          <w:color w:val="auto"/>
        </w:rPr>
      </w:pPr>
      <w:r>
        <w:rPr>
          <w:rFonts w:ascii="Arial" w:cs="Arial" w:eastAsia="Arial" w:hAnsi="Arial"/>
          <w:sz w:val="15"/>
          <w:szCs w:val="15"/>
          <w:color w:val="auto"/>
        </w:rPr>
        <w:t>members</w:t>
      </w:r>
      <w:r>
        <w:rPr>
          <w:rFonts w:ascii="Arial" w:cs="Arial" w:eastAsia="Arial" w:hAnsi="Arial"/>
          <w:sz w:val="15"/>
          <w:szCs w:val="15"/>
          <w:color w:val="2A2A2B"/>
        </w:rPr>
        <w:t>,</w:t>
      </w:r>
      <w:r>
        <w:rPr>
          <w:rFonts w:ascii="Arial" w:cs="Arial" w:eastAsia="Arial" w:hAnsi="Arial"/>
          <w:sz w:val="15"/>
          <w:szCs w:val="15"/>
          <w:color w:val="auto"/>
        </w:rPr>
        <w:t xml:space="preserve"> shareholders</w:t>
      </w:r>
      <w:r>
        <w:rPr>
          <w:rFonts w:ascii="Arial" w:cs="Arial" w:eastAsia="Arial" w:hAnsi="Arial"/>
          <w:sz w:val="15"/>
          <w:szCs w:val="15"/>
          <w:color w:val="2A2A2B"/>
        </w:rPr>
        <w:t>,</w:t>
      </w:r>
      <w:r>
        <w:rPr>
          <w:rFonts w:ascii="Arial" w:cs="Arial" w:eastAsia="Arial" w:hAnsi="Arial"/>
          <w:sz w:val="15"/>
          <w:szCs w:val="15"/>
          <w:color w:val="auto"/>
        </w:rPr>
        <w:t xml:space="preserve"> employees</w:t>
      </w:r>
      <w:r>
        <w:rPr>
          <w:rFonts w:ascii="Arial" w:cs="Arial" w:eastAsia="Arial" w:hAnsi="Arial"/>
          <w:sz w:val="15"/>
          <w:szCs w:val="15"/>
          <w:color w:val="2A2A2B"/>
        </w:rPr>
        <w:t>,</w:t>
      </w:r>
      <w:r>
        <w:rPr>
          <w:rFonts w:ascii="Arial" w:cs="Arial" w:eastAsia="Arial" w:hAnsi="Arial"/>
          <w:sz w:val="15"/>
          <w:szCs w:val="15"/>
          <w:color w:val="auto"/>
        </w:rPr>
        <w:t xml:space="preserve"> managers</w:t>
      </w:r>
      <w:r>
        <w:rPr>
          <w:rFonts w:ascii="Arial" w:cs="Arial" w:eastAsia="Arial" w:hAnsi="Arial"/>
          <w:sz w:val="15"/>
          <w:szCs w:val="15"/>
          <w:color w:val="2A2A2B"/>
        </w:rPr>
        <w:t>,</w:t>
      </w:r>
      <w:r>
        <w:rPr>
          <w:rFonts w:ascii="Arial" w:cs="Arial" w:eastAsia="Arial" w:hAnsi="Arial"/>
          <w:sz w:val="15"/>
          <w:szCs w:val="15"/>
          <w:color w:val="auto"/>
        </w:rPr>
        <w:t xml:space="preserve"> partners</w:t>
      </w:r>
      <w:r>
        <w:rPr>
          <w:rFonts w:ascii="Arial" w:cs="Arial" w:eastAsia="Arial" w:hAnsi="Arial"/>
          <w:sz w:val="15"/>
          <w:szCs w:val="15"/>
          <w:color w:val="2A2A2B"/>
        </w:rPr>
        <w:t>,</w:t>
      </w:r>
      <w:r>
        <w:rPr>
          <w:rFonts w:ascii="Arial" w:cs="Arial" w:eastAsia="Arial" w:hAnsi="Arial"/>
          <w:sz w:val="15"/>
          <w:szCs w:val="15"/>
          <w:color w:val="auto"/>
        </w:rPr>
        <w:t xml:space="preserve"> accountants</w:t>
      </w:r>
      <w:r>
        <w:rPr>
          <w:rFonts w:ascii="Arial" w:cs="Arial" w:eastAsia="Arial" w:hAnsi="Arial"/>
          <w:sz w:val="15"/>
          <w:szCs w:val="15"/>
          <w:color w:val="2A2A2B"/>
        </w:rPr>
        <w:t>,</w:t>
      </w:r>
      <w:r>
        <w:rPr>
          <w:rFonts w:ascii="Arial" w:cs="Arial" w:eastAsia="Arial" w:hAnsi="Arial"/>
          <w:sz w:val="15"/>
          <w:szCs w:val="15"/>
          <w:color w:val="auto"/>
        </w:rPr>
        <w:t xml:space="preserve"> attorneys</w:t>
      </w:r>
      <w:r>
        <w:rPr>
          <w:rFonts w:ascii="Arial" w:cs="Arial" w:eastAsia="Arial" w:hAnsi="Arial"/>
          <w:sz w:val="15"/>
          <w:szCs w:val="15"/>
          <w:color w:val="2A2A2B"/>
        </w:rPr>
        <w:t>,</w:t>
      </w:r>
      <w:r>
        <w:rPr>
          <w:rFonts w:ascii="Arial" w:cs="Arial" w:eastAsia="Arial" w:hAnsi="Arial"/>
          <w:sz w:val="15"/>
          <w:szCs w:val="15"/>
          <w:color w:val="auto"/>
        </w:rPr>
        <w:t xml:space="preserve"> advisors and agents of each such controlling Person</w:t>
      </w:r>
      <w:r>
        <w:rPr>
          <w:rFonts w:ascii="Arial" w:cs="Arial" w:eastAsia="Arial" w:hAnsi="Arial"/>
          <w:sz w:val="15"/>
          <w:szCs w:val="15"/>
          <w:color w:val="2A2A2B"/>
        </w:rPr>
        <w:t>,</w:t>
      </w:r>
      <w:r>
        <w:rPr>
          <w:rFonts w:ascii="Arial" w:cs="Arial" w:eastAsia="Arial" w:hAnsi="Arial"/>
          <w:sz w:val="15"/>
          <w:szCs w:val="15"/>
          <w:color w:val="auto"/>
        </w:rPr>
        <w:t xml:space="preserve"> and each Person </w:t>
      </w:r>
      <w:r>
        <w:rPr>
          <w:rFonts w:ascii="Arial" w:cs="Arial" w:eastAsia="Arial" w:hAnsi="Arial"/>
          <w:sz w:val="15"/>
          <w:szCs w:val="15"/>
          <w:color w:val="110F13"/>
        </w:rPr>
        <w:t>who controls</w:t>
      </w:r>
      <w:r>
        <w:rPr>
          <w:rFonts w:ascii="Arial" w:cs="Arial" w:eastAsia="Arial" w:hAnsi="Arial"/>
          <w:sz w:val="15"/>
          <w:szCs w:val="15"/>
          <w:color w:val="auto"/>
        </w:rPr>
        <w:t xml:space="preserve"> </w:t>
      </w:r>
      <w:r>
        <w:rPr>
          <w:rFonts w:ascii="Arial" w:cs="Arial" w:eastAsia="Arial" w:hAnsi="Arial"/>
          <w:sz w:val="15"/>
          <w:szCs w:val="15"/>
          <w:color w:val="110F13"/>
        </w:rPr>
        <w:t>(within the meaning of Section 15 of the Securities Act and Section 20 of the Exchange Act) such underwriter (collectively</w:t>
      </w:r>
      <w:r>
        <w:rPr>
          <w:rFonts w:ascii="Arial" w:cs="Arial" w:eastAsia="Arial" w:hAnsi="Arial"/>
          <w:sz w:val="15"/>
          <w:szCs w:val="15"/>
          <w:color w:val="2A2A2D"/>
        </w:rPr>
        <w:t>,</w:t>
      </w:r>
      <w:r>
        <w:rPr>
          <w:rFonts w:ascii="Arial" w:cs="Arial" w:eastAsia="Arial" w:hAnsi="Arial"/>
          <w:sz w:val="15"/>
          <w:szCs w:val="15"/>
          <w:color w:val="110F13"/>
        </w:rPr>
        <w:t xml:space="preserve"> the </w:t>
      </w:r>
      <w:r>
        <w:rPr>
          <w:rFonts w:ascii="Arial" w:cs="Arial" w:eastAsia="Arial" w:hAnsi="Arial"/>
          <w:sz w:val="15"/>
          <w:szCs w:val="15"/>
          <w:color w:val="2A2A2D"/>
        </w:rPr>
        <w:t>“</w:t>
      </w:r>
      <w:r>
        <w:rPr>
          <w:rFonts w:ascii="Arial" w:cs="Arial" w:eastAsia="Arial" w:hAnsi="Arial"/>
          <w:sz w:val="15"/>
          <w:szCs w:val="15"/>
          <w:b w:val="1"/>
          <w:bCs w:val="1"/>
          <w:color w:val="110F13"/>
        </w:rPr>
        <w:t>Indemnified Persons</w:t>
      </w:r>
      <w:r>
        <w:rPr>
          <w:rFonts w:ascii="Arial" w:cs="Arial" w:eastAsia="Arial" w:hAnsi="Arial"/>
          <w:sz w:val="15"/>
          <w:szCs w:val="15"/>
          <w:color w:val="110F13"/>
        </w:rPr>
        <w:t>”)</w:t>
      </w:r>
      <w:r>
        <w:rPr>
          <w:rFonts w:ascii="Arial" w:cs="Arial" w:eastAsia="Arial" w:hAnsi="Arial"/>
          <w:sz w:val="15"/>
          <w:szCs w:val="15"/>
          <w:color w:val="2A2A2D"/>
        </w:rPr>
        <w:t>,</w:t>
      </w:r>
      <w:r>
        <w:rPr>
          <w:rFonts w:ascii="Arial" w:cs="Arial" w:eastAsia="Arial" w:hAnsi="Arial"/>
          <w:sz w:val="15"/>
          <w:szCs w:val="15"/>
          <w:color w:val="110F13"/>
        </w:rPr>
        <w:t xml:space="preserve"> from and against all losses</w:t>
      </w:r>
      <w:r>
        <w:rPr>
          <w:rFonts w:ascii="Arial" w:cs="Arial" w:eastAsia="Arial" w:hAnsi="Arial"/>
          <w:sz w:val="15"/>
          <w:szCs w:val="15"/>
          <w:color w:val="2A2A2D"/>
        </w:rPr>
        <w:t>,</w:t>
      </w:r>
      <w:r>
        <w:rPr>
          <w:rFonts w:ascii="Arial" w:cs="Arial" w:eastAsia="Arial" w:hAnsi="Arial"/>
          <w:sz w:val="15"/>
          <w:szCs w:val="15"/>
          <w:color w:val="110F13"/>
        </w:rPr>
        <w:t xml:space="preserve"> claims</w:t>
      </w:r>
      <w:r>
        <w:rPr>
          <w:rFonts w:ascii="Arial" w:cs="Arial" w:eastAsia="Arial" w:hAnsi="Arial"/>
          <w:sz w:val="15"/>
          <w:szCs w:val="15"/>
          <w:color w:val="2A2A2D"/>
        </w:rPr>
        <w:t>,</w:t>
      </w:r>
      <w:r>
        <w:rPr>
          <w:rFonts w:ascii="Arial" w:cs="Arial" w:eastAsia="Arial" w:hAnsi="Arial"/>
          <w:sz w:val="15"/>
          <w:szCs w:val="15"/>
          <w:color w:val="110F13"/>
        </w:rPr>
        <w:t xml:space="preserve"> damages</w:t>
      </w:r>
      <w:r>
        <w:rPr>
          <w:rFonts w:ascii="Arial" w:cs="Arial" w:eastAsia="Arial" w:hAnsi="Arial"/>
          <w:sz w:val="15"/>
          <w:szCs w:val="15"/>
          <w:color w:val="2A2A2D"/>
        </w:rPr>
        <w:t>,</w:t>
      </w:r>
      <w:r>
        <w:rPr>
          <w:rFonts w:ascii="Arial" w:cs="Arial" w:eastAsia="Arial" w:hAnsi="Arial"/>
          <w:sz w:val="15"/>
          <w:szCs w:val="15"/>
          <w:color w:val="110F13"/>
        </w:rPr>
        <w:t xml:space="preserve"> liabilities</w:t>
      </w:r>
      <w:r>
        <w:rPr>
          <w:rFonts w:ascii="Arial" w:cs="Arial" w:eastAsia="Arial" w:hAnsi="Arial"/>
          <w:sz w:val="15"/>
          <w:szCs w:val="15"/>
          <w:color w:val="3B3A3A"/>
        </w:rPr>
        <w:t>,</w:t>
      </w:r>
      <w:r>
        <w:rPr>
          <w:rFonts w:ascii="Arial" w:cs="Arial" w:eastAsia="Arial" w:hAnsi="Arial"/>
          <w:sz w:val="15"/>
          <w:szCs w:val="15"/>
          <w:color w:val="110F13"/>
        </w:rPr>
        <w:t xml:space="preserve"> costs</w:t>
      </w:r>
      <w:r>
        <w:rPr>
          <w:rFonts w:ascii="Arial" w:cs="Arial" w:eastAsia="Arial" w:hAnsi="Arial"/>
          <w:sz w:val="15"/>
          <w:szCs w:val="15"/>
          <w:color w:val="2A2A2D"/>
        </w:rPr>
        <w:t>,</w:t>
      </w:r>
      <w:r>
        <w:rPr>
          <w:rFonts w:ascii="Arial" w:cs="Arial" w:eastAsia="Arial" w:hAnsi="Arial"/>
          <w:sz w:val="15"/>
          <w:szCs w:val="15"/>
          <w:color w:val="110F13"/>
        </w:rPr>
        <w:t xml:space="preserve"> expenses (including reasonable expenses of investigation and reasonable attorneys’ fees and expenses)</w:t>
      </w:r>
      <w:r>
        <w:rPr>
          <w:rFonts w:ascii="Arial" w:cs="Arial" w:eastAsia="Arial" w:hAnsi="Arial"/>
          <w:sz w:val="15"/>
          <w:szCs w:val="15"/>
          <w:color w:val="2A2A2D"/>
        </w:rPr>
        <w:t>,</w:t>
      </w:r>
      <w:r>
        <w:rPr>
          <w:rFonts w:ascii="Arial" w:cs="Arial" w:eastAsia="Arial" w:hAnsi="Arial"/>
          <w:sz w:val="15"/>
          <w:szCs w:val="15"/>
          <w:color w:val="110F13"/>
        </w:rPr>
        <w:t xml:space="preserve"> judgments</w:t>
      </w:r>
      <w:r>
        <w:rPr>
          <w:rFonts w:ascii="Arial" w:cs="Arial" w:eastAsia="Arial" w:hAnsi="Arial"/>
          <w:sz w:val="15"/>
          <w:szCs w:val="15"/>
          <w:color w:val="2A2A2D"/>
        </w:rPr>
        <w:t>,</w:t>
      </w:r>
      <w:r>
        <w:rPr>
          <w:rFonts w:ascii="Arial" w:cs="Arial" w:eastAsia="Arial" w:hAnsi="Arial"/>
          <w:sz w:val="15"/>
          <w:szCs w:val="15"/>
          <w:color w:val="110F13"/>
        </w:rPr>
        <w:t xml:space="preserve"> fines</w:t>
      </w:r>
      <w:r>
        <w:rPr>
          <w:rFonts w:ascii="Arial" w:cs="Arial" w:eastAsia="Arial" w:hAnsi="Arial"/>
          <w:sz w:val="15"/>
          <w:szCs w:val="15"/>
          <w:color w:val="2A2A2D"/>
        </w:rPr>
        <w:t>,</w:t>
      </w:r>
      <w:r>
        <w:rPr>
          <w:rFonts w:ascii="Arial" w:cs="Arial" w:eastAsia="Arial" w:hAnsi="Arial"/>
          <w:sz w:val="15"/>
          <w:szCs w:val="15"/>
          <w:color w:val="110F13"/>
        </w:rPr>
        <w:t xml:space="preserve"> penalties</w:t>
      </w:r>
      <w:r>
        <w:rPr>
          <w:rFonts w:ascii="Arial" w:cs="Arial" w:eastAsia="Arial" w:hAnsi="Arial"/>
          <w:sz w:val="15"/>
          <w:szCs w:val="15"/>
          <w:color w:val="2A2A2D"/>
        </w:rPr>
        <w:t>,</w:t>
      </w:r>
      <w:r>
        <w:rPr>
          <w:rFonts w:ascii="Arial" w:cs="Arial" w:eastAsia="Arial" w:hAnsi="Arial"/>
          <w:sz w:val="15"/>
          <w:szCs w:val="15"/>
          <w:color w:val="110F13"/>
        </w:rPr>
        <w:t xml:space="preserve"> charges and amounts paid in settlement (collectively</w:t>
      </w:r>
      <w:r>
        <w:rPr>
          <w:rFonts w:ascii="Arial" w:cs="Arial" w:eastAsia="Arial" w:hAnsi="Arial"/>
          <w:sz w:val="15"/>
          <w:szCs w:val="15"/>
          <w:color w:val="2A2A2D"/>
        </w:rPr>
        <w:t>,</w:t>
      </w:r>
      <w:r>
        <w:rPr>
          <w:rFonts w:ascii="Arial" w:cs="Arial" w:eastAsia="Arial" w:hAnsi="Arial"/>
          <w:sz w:val="15"/>
          <w:szCs w:val="15"/>
          <w:color w:val="110F13"/>
        </w:rPr>
        <w:t xml:space="preserve"> the “</w:t>
      </w:r>
      <w:r>
        <w:rPr>
          <w:rFonts w:ascii="Arial" w:cs="Arial" w:eastAsia="Arial" w:hAnsi="Arial"/>
          <w:sz w:val="15"/>
          <w:szCs w:val="15"/>
          <w:b w:val="1"/>
          <w:bCs w:val="1"/>
          <w:color w:val="110F13"/>
        </w:rPr>
        <w:t>Losses</w:t>
      </w:r>
      <w:r>
        <w:rPr>
          <w:rFonts w:ascii="Arial" w:cs="Arial" w:eastAsia="Arial" w:hAnsi="Arial"/>
          <w:sz w:val="15"/>
          <w:szCs w:val="15"/>
          <w:color w:val="110F13"/>
        </w:rPr>
        <w:t>”)</w:t>
      </w:r>
      <w:r>
        <w:rPr>
          <w:rFonts w:ascii="Arial" w:cs="Arial" w:eastAsia="Arial" w:hAnsi="Arial"/>
          <w:sz w:val="15"/>
          <w:szCs w:val="15"/>
          <w:color w:val="2A2A2D"/>
        </w:rPr>
        <w:t>,</w:t>
      </w:r>
      <w:r>
        <w:rPr>
          <w:rFonts w:ascii="Arial" w:cs="Arial" w:eastAsia="Arial" w:hAnsi="Arial"/>
          <w:sz w:val="15"/>
          <w:szCs w:val="15"/>
          <w:color w:val="110F13"/>
        </w:rPr>
        <w:t xml:space="preserve"> as incurred</w:t>
      </w:r>
      <w:r>
        <w:rPr>
          <w:rFonts w:ascii="Arial" w:cs="Arial" w:eastAsia="Arial" w:hAnsi="Arial"/>
          <w:sz w:val="15"/>
          <w:szCs w:val="15"/>
          <w:color w:val="2A2A2D"/>
        </w:rPr>
        <w:t>,</w:t>
      </w:r>
      <w:r>
        <w:rPr>
          <w:rFonts w:ascii="Arial" w:cs="Arial" w:eastAsia="Arial" w:hAnsi="Arial"/>
          <w:sz w:val="15"/>
          <w:szCs w:val="15"/>
          <w:color w:val="110F13"/>
        </w:rPr>
        <w:t xml:space="preserve"> arising out of</w:t>
      </w:r>
      <w:r>
        <w:rPr>
          <w:rFonts w:ascii="Arial" w:cs="Arial" w:eastAsia="Arial" w:hAnsi="Arial"/>
          <w:sz w:val="15"/>
          <w:szCs w:val="15"/>
          <w:color w:val="2A2A2D"/>
        </w:rPr>
        <w:t>,</w:t>
      </w:r>
      <w:r>
        <w:rPr>
          <w:rFonts w:ascii="Arial" w:cs="Arial" w:eastAsia="Arial" w:hAnsi="Arial"/>
          <w:sz w:val="15"/>
          <w:szCs w:val="15"/>
          <w:color w:val="110F13"/>
        </w:rPr>
        <w:t xml:space="preserve"> caused by</w:t>
      </w:r>
      <w:r>
        <w:rPr>
          <w:rFonts w:ascii="Arial" w:cs="Arial" w:eastAsia="Arial" w:hAnsi="Arial"/>
          <w:sz w:val="15"/>
          <w:szCs w:val="15"/>
          <w:color w:val="2A2A2D"/>
        </w:rPr>
        <w:t>,</w:t>
      </w:r>
      <w:r>
        <w:rPr>
          <w:rFonts w:ascii="Arial" w:cs="Arial" w:eastAsia="Arial" w:hAnsi="Arial"/>
          <w:sz w:val="15"/>
          <w:szCs w:val="15"/>
          <w:color w:val="110F13"/>
        </w:rPr>
        <w:t xml:space="preserve"> resulting from or relating to any untrue statement (or alleged untrue statement) of a material fact contained in any Registration Statement</w:t>
      </w:r>
      <w:r>
        <w:rPr>
          <w:rFonts w:ascii="Arial" w:cs="Arial" w:eastAsia="Arial" w:hAnsi="Arial"/>
          <w:sz w:val="15"/>
          <w:szCs w:val="15"/>
          <w:color w:val="2A2A2D"/>
        </w:rPr>
        <w:t>,</w:t>
      </w:r>
      <w:r>
        <w:rPr>
          <w:rFonts w:ascii="Arial" w:cs="Arial" w:eastAsia="Arial" w:hAnsi="Arial"/>
          <w:sz w:val="15"/>
          <w:szCs w:val="15"/>
          <w:color w:val="110F13"/>
        </w:rPr>
        <w:t xml:space="preserve"> or any amendment or supplement thereto</w:t>
      </w:r>
      <w:r>
        <w:rPr>
          <w:rFonts w:ascii="Arial" w:cs="Arial" w:eastAsia="Arial" w:hAnsi="Arial"/>
          <w:sz w:val="15"/>
          <w:szCs w:val="15"/>
          <w:color w:val="2A2A2D"/>
        </w:rPr>
        <w:t>,</w:t>
      </w:r>
      <w:r>
        <w:rPr>
          <w:rFonts w:ascii="Arial" w:cs="Arial" w:eastAsia="Arial" w:hAnsi="Arial"/>
          <w:sz w:val="15"/>
          <w:szCs w:val="15"/>
          <w:color w:val="110F13"/>
        </w:rPr>
        <w:t xml:space="preserve"> or any omission (or alleged omission) of a material fact required to be stated in any such Registration Statement or necessary to make the statements therein not misleading</w:t>
      </w:r>
      <w:r>
        <w:rPr>
          <w:rFonts w:ascii="Arial" w:cs="Arial" w:eastAsia="Arial" w:hAnsi="Arial"/>
          <w:sz w:val="15"/>
          <w:szCs w:val="15"/>
          <w:color w:val="2A2A2D"/>
        </w:rPr>
        <w:t>,</w:t>
      </w:r>
      <w:r>
        <w:rPr>
          <w:rFonts w:ascii="Arial" w:cs="Arial" w:eastAsia="Arial" w:hAnsi="Arial"/>
          <w:sz w:val="15"/>
          <w:szCs w:val="15"/>
          <w:color w:val="110F13"/>
        </w:rPr>
        <w:t xml:space="preserve"> or arising out of</w:t>
      </w:r>
      <w:r>
        <w:rPr>
          <w:rFonts w:ascii="Arial" w:cs="Arial" w:eastAsia="Arial" w:hAnsi="Arial"/>
          <w:sz w:val="15"/>
          <w:szCs w:val="15"/>
          <w:color w:val="2A2A2D"/>
        </w:rPr>
        <w:t>,</w:t>
      </w:r>
      <w:r>
        <w:rPr>
          <w:rFonts w:ascii="Arial" w:cs="Arial" w:eastAsia="Arial" w:hAnsi="Arial"/>
          <w:sz w:val="15"/>
          <w:szCs w:val="15"/>
          <w:color w:val="110F13"/>
        </w:rPr>
        <w:t xml:space="preserve"> caused by</w:t>
      </w:r>
      <w:r>
        <w:rPr>
          <w:rFonts w:ascii="Arial" w:cs="Arial" w:eastAsia="Arial" w:hAnsi="Arial"/>
          <w:sz w:val="15"/>
          <w:szCs w:val="15"/>
          <w:color w:val="2A2A2D"/>
        </w:rPr>
        <w:t>,</w:t>
      </w:r>
      <w:r>
        <w:rPr>
          <w:rFonts w:ascii="Arial" w:cs="Arial" w:eastAsia="Arial" w:hAnsi="Arial"/>
          <w:sz w:val="15"/>
          <w:szCs w:val="15"/>
          <w:color w:val="110F13"/>
        </w:rPr>
        <w:t xml:space="preserve"> resulting from or relating to any untrue statement (or alleged untrue statement) of a material fact contained in any prospectus or preliminary prospectus</w:t>
      </w:r>
      <w:r>
        <w:rPr>
          <w:rFonts w:ascii="Arial" w:cs="Arial" w:eastAsia="Arial" w:hAnsi="Arial"/>
          <w:sz w:val="15"/>
          <w:szCs w:val="15"/>
          <w:color w:val="2A2A2D"/>
        </w:rPr>
        <w:t>,</w:t>
      </w:r>
      <w:r>
        <w:rPr>
          <w:rFonts w:ascii="Arial" w:cs="Arial" w:eastAsia="Arial" w:hAnsi="Arial"/>
          <w:sz w:val="15"/>
          <w:szCs w:val="15"/>
          <w:color w:val="110F13"/>
        </w:rPr>
        <w:t xml:space="preserve"> in each case related to such Registration Statement</w:t>
      </w:r>
      <w:r>
        <w:rPr>
          <w:rFonts w:ascii="Arial" w:cs="Arial" w:eastAsia="Arial" w:hAnsi="Arial"/>
          <w:sz w:val="15"/>
          <w:szCs w:val="15"/>
          <w:color w:val="2A2A2D"/>
        </w:rPr>
        <w:t>,</w:t>
      </w:r>
      <w:r>
        <w:rPr>
          <w:rFonts w:ascii="Arial" w:cs="Arial" w:eastAsia="Arial" w:hAnsi="Arial"/>
          <w:sz w:val="15"/>
          <w:szCs w:val="15"/>
          <w:color w:val="110F13"/>
        </w:rPr>
        <w:t xml:space="preserve"> or any amendment or supplement thereto or any omission (or alleged omission) of a material fact necessary to make the statements therein</w:t>
      </w:r>
      <w:r>
        <w:rPr>
          <w:rFonts w:ascii="Arial" w:cs="Arial" w:eastAsia="Arial" w:hAnsi="Arial"/>
          <w:sz w:val="15"/>
          <w:szCs w:val="15"/>
          <w:color w:val="2A2A2D"/>
        </w:rPr>
        <w:t>,</w:t>
      </w:r>
      <w:r>
        <w:rPr>
          <w:rFonts w:ascii="Arial" w:cs="Arial" w:eastAsia="Arial" w:hAnsi="Arial"/>
          <w:sz w:val="15"/>
          <w:szCs w:val="15"/>
          <w:color w:val="110F13"/>
        </w:rPr>
        <w:t xml:space="preserve"> in the light of the circumstances under which they were made</w:t>
      </w:r>
      <w:r>
        <w:rPr>
          <w:rFonts w:ascii="Arial" w:cs="Arial" w:eastAsia="Arial" w:hAnsi="Arial"/>
          <w:sz w:val="15"/>
          <w:szCs w:val="15"/>
          <w:color w:val="2A2A2D"/>
        </w:rPr>
        <w:t>,</w:t>
      </w:r>
      <w:r>
        <w:rPr>
          <w:rFonts w:ascii="Arial" w:cs="Arial" w:eastAsia="Arial" w:hAnsi="Arial"/>
          <w:sz w:val="15"/>
          <w:szCs w:val="15"/>
          <w:color w:val="110F13"/>
        </w:rPr>
        <w:t xml:space="preserve"> not misleading (except to the extent that such Losses arose out of</w:t>
      </w:r>
      <w:r>
        <w:rPr>
          <w:rFonts w:ascii="Arial" w:cs="Arial" w:eastAsia="Arial" w:hAnsi="Arial"/>
          <w:sz w:val="15"/>
          <w:szCs w:val="15"/>
          <w:color w:val="2A2A2D"/>
        </w:rPr>
        <w:t>,</w:t>
      </w:r>
      <w:r>
        <w:rPr>
          <w:rFonts w:ascii="Arial" w:cs="Arial" w:eastAsia="Arial" w:hAnsi="Arial"/>
          <w:sz w:val="15"/>
          <w:szCs w:val="15"/>
          <w:color w:val="110F13"/>
        </w:rPr>
        <w:t xml:space="preserve"> were caused by</w:t>
      </w:r>
      <w:r>
        <w:rPr>
          <w:rFonts w:ascii="Arial" w:cs="Arial" w:eastAsia="Arial" w:hAnsi="Arial"/>
          <w:sz w:val="15"/>
          <w:szCs w:val="15"/>
          <w:color w:val="2A2A2D"/>
        </w:rPr>
        <w:t>,</w:t>
      </w:r>
      <w:r>
        <w:rPr>
          <w:rFonts w:ascii="Arial" w:cs="Arial" w:eastAsia="Arial" w:hAnsi="Arial"/>
          <w:sz w:val="15"/>
          <w:szCs w:val="15"/>
          <w:color w:val="110F13"/>
        </w:rPr>
        <w:t xml:space="preserve"> resulted from or related to Selling Holder Information (as defined in Section 5.05(b) below) or such written information furnished by or on behalf of any such underwriter and relating to such underwriter for inclusion in such registration statement </w:t>
      </w:r>
      <w:r>
        <w:rPr>
          <w:rFonts w:ascii="Arial" w:cs="Arial" w:eastAsia="Arial" w:hAnsi="Arial"/>
          <w:sz w:val="15"/>
          <w:szCs w:val="15"/>
          <w:color w:val="2A2A2D"/>
        </w:rPr>
        <w:t>,</w:t>
      </w:r>
      <w:r>
        <w:rPr>
          <w:rFonts w:ascii="Arial" w:cs="Arial" w:eastAsia="Arial" w:hAnsi="Arial"/>
          <w:sz w:val="15"/>
          <w:szCs w:val="15"/>
          <w:color w:val="110F13"/>
        </w:rPr>
        <w:t xml:space="preserve"> prospectus or preliminary prospectus or any amendment or supplement thereto) and (without limitation of the preceding portions of this Section 5.05(a)) will reimburse each such Selling Holder</w:t>
      </w:r>
      <w:r>
        <w:rPr>
          <w:rFonts w:ascii="Arial" w:cs="Arial" w:eastAsia="Arial" w:hAnsi="Arial"/>
          <w:sz w:val="15"/>
          <w:szCs w:val="15"/>
          <w:color w:val="2A2A2D"/>
        </w:rPr>
        <w:t>,</w:t>
      </w:r>
      <w:r>
        <w:rPr>
          <w:rFonts w:ascii="Arial" w:cs="Arial" w:eastAsia="Arial" w:hAnsi="Arial"/>
          <w:sz w:val="15"/>
          <w:szCs w:val="15"/>
          <w:color w:val="110F13"/>
        </w:rPr>
        <w:t xml:space="preserve"> each of its Affiliates</w:t>
      </w:r>
      <w:r>
        <w:rPr>
          <w:rFonts w:ascii="Arial" w:cs="Arial" w:eastAsia="Arial" w:hAnsi="Arial"/>
          <w:sz w:val="15"/>
          <w:szCs w:val="15"/>
          <w:color w:val="2A2A2D"/>
        </w:rPr>
        <w:t>,</w:t>
      </w:r>
      <w:r>
        <w:rPr>
          <w:rFonts w:ascii="Arial" w:cs="Arial" w:eastAsia="Arial" w:hAnsi="Arial"/>
          <w:sz w:val="15"/>
          <w:szCs w:val="15"/>
          <w:color w:val="110F13"/>
        </w:rPr>
        <w:t xml:space="preserve"> and each of their respective officers</w:t>
      </w:r>
      <w:r>
        <w:rPr>
          <w:rFonts w:ascii="Arial" w:cs="Arial" w:eastAsia="Arial" w:hAnsi="Arial"/>
          <w:sz w:val="15"/>
          <w:szCs w:val="15"/>
          <w:color w:val="2A2A2D"/>
        </w:rPr>
        <w:t>,</w:t>
      </w:r>
      <w:r>
        <w:rPr>
          <w:rFonts w:ascii="Arial" w:cs="Arial" w:eastAsia="Arial" w:hAnsi="Arial"/>
          <w:sz w:val="15"/>
          <w:szCs w:val="15"/>
          <w:color w:val="110F13"/>
        </w:rPr>
        <w:t xml:space="preserve"> directors</w:t>
      </w:r>
      <w:r>
        <w:rPr>
          <w:rFonts w:ascii="Arial" w:cs="Arial" w:eastAsia="Arial" w:hAnsi="Arial"/>
          <w:sz w:val="15"/>
          <w:szCs w:val="15"/>
          <w:color w:val="2A2A2D"/>
        </w:rPr>
        <w:t>,</w:t>
      </w:r>
      <w:r>
        <w:rPr>
          <w:rFonts w:ascii="Arial" w:cs="Arial" w:eastAsia="Arial" w:hAnsi="Arial"/>
          <w:sz w:val="15"/>
          <w:szCs w:val="15"/>
          <w:color w:val="110F13"/>
        </w:rPr>
        <w:t xml:space="preserve"> members</w:t>
      </w:r>
      <w:r>
        <w:rPr>
          <w:rFonts w:ascii="Arial" w:cs="Arial" w:eastAsia="Arial" w:hAnsi="Arial"/>
          <w:sz w:val="15"/>
          <w:szCs w:val="15"/>
          <w:color w:val="2A2A2D"/>
        </w:rPr>
        <w:t>,</w:t>
      </w:r>
      <w:r>
        <w:rPr>
          <w:rFonts w:ascii="Arial" w:cs="Arial" w:eastAsia="Arial" w:hAnsi="Arial"/>
          <w:sz w:val="15"/>
          <w:szCs w:val="15"/>
          <w:color w:val="110F13"/>
        </w:rPr>
        <w:t xml:space="preserve"> shareholders</w:t>
      </w:r>
      <w:r>
        <w:rPr>
          <w:rFonts w:ascii="Arial" w:cs="Arial" w:eastAsia="Arial" w:hAnsi="Arial"/>
          <w:sz w:val="15"/>
          <w:szCs w:val="15"/>
          <w:color w:val="2A2A2D"/>
        </w:rPr>
        <w:t>,</w:t>
      </w:r>
      <w:r>
        <w:rPr>
          <w:rFonts w:ascii="Arial" w:cs="Arial" w:eastAsia="Arial" w:hAnsi="Arial"/>
          <w:sz w:val="15"/>
          <w:szCs w:val="15"/>
          <w:color w:val="110F13"/>
        </w:rPr>
        <w:t xml:space="preserve"> employees</w:t>
      </w:r>
      <w:r>
        <w:rPr>
          <w:rFonts w:ascii="Arial" w:cs="Arial" w:eastAsia="Arial" w:hAnsi="Arial"/>
          <w:sz w:val="15"/>
          <w:szCs w:val="15"/>
          <w:color w:val="2A2A2D"/>
        </w:rPr>
        <w:t>,</w:t>
      </w:r>
      <w:r>
        <w:rPr>
          <w:rFonts w:ascii="Arial" w:cs="Arial" w:eastAsia="Arial" w:hAnsi="Arial"/>
          <w:sz w:val="15"/>
          <w:szCs w:val="15"/>
          <w:color w:val="110F13"/>
        </w:rPr>
        <w:t xml:space="preserve"> managers</w:t>
      </w:r>
      <w:r>
        <w:rPr>
          <w:rFonts w:ascii="Arial" w:cs="Arial" w:eastAsia="Arial" w:hAnsi="Arial"/>
          <w:sz w:val="15"/>
          <w:szCs w:val="15"/>
          <w:color w:val="2A2A2D"/>
        </w:rPr>
        <w:t>,</w:t>
      </w:r>
      <w:r>
        <w:rPr>
          <w:rFonts w:ascii="Arial" w:cs="Arial" w:eastAsia="Arial" w:hAnsi="Arial"/>
          <w:sz w:val="15"/>
          <w:szCs w:val="15"/>
          <w:color w:val="110F13"/>
        </w:rPr>
        <w:t xml:space="preserve"> partners</w:t>
      </w:r>
      <w:r>
        <w:rPr>
          <w:rFonts w:ascii="Arial" w:cs="Arial" w:eastAsia="Arial" w:hAnsi="Arial"/>
          <w:sz w:val="15"/>
          <w:szCs w:val="15"/>
          <w:color w:val="2A2A2D"/>
        </w:rPr>
        <w:t>,</w:t>
      </w:r>
      <w:r>
        <w:rPr>
          <w:rFonts w:ascii="Arial" w:cs="Arial" w:eastAsia="Arial" w:hAnsi="Arial"/>
          <w:sz w:val="15"/>
          <w:szCs w:val="15"/>
          <w:color w:val="110F13"/>
        </w:rPr>
        <w:t xml:space="preserve"> accountants</w:t>
      </w:r>
      <w:r>
        <w:rPr>
          <w:rFonts w:ascii="Arial" w:cs="Arial" w:eastAsia="Arial" w:hAnsi="Arial"/>
          <w:sz w:val="15"/>
          <w:szCs w:val="15"/>
          <w:color w:val="2A2A2D"/>
        </w:rPr>
        <w:t>,</w:t>
      </w:r>
      <w:r>
        <w:rPr>
          <w:rFonts w:ascii="Arial" w:cs="Arial" w:eastAsia="Arial" w:hAnsi="Arial"/>
          <w:sz w:val="15"/>
          <w:szCs w:val="15"/>
          <w:color w:val="110F13"/>
        </w:rPr>
        <w:t xml:space="preserve"> attorneys</w:t>
      </w:r>
      <w:r>
        <w:rPr>
          <w:rFonts w:ascii="Arial" w:cs="Arial" w:eastAsia="Arial" w:hAnsi="Arial"/>
          <w:sz w:val="15"/>
          <w:szCs w:val="15"/>
          <w:color w:val="2A2A2D"/>
        </w:rPr>
        <w:t>,</w:t>
      </w:r>
      <w:r>
        <w:rPr>
          <w:rFonts w:ascii="Arial" w:cs="Arial" w:eastAsia="Arial" w:hAnsi="Arial"/>
          <w:sz w:val="15"/>
          <w:szCs w:val="15"/>
          <w:color w:val="110F13"/>
        </w:rPr>
        <w:t xml:space="preserve"> advisors and agents and each such Person who controls each such Selling Holder and the officers</w:t>
      </w:r>
      <w:r>
        <w:rPr>
          <w:rFonts w:ascii="Arial" w:cs="Arial" w:eastAsia="Arial" w:hAnsi="Arial"/>
          <w:sz w:val="15"/>
          <w:szCs w:val="15"/>
          <w:color w:val="2A2A2D"/>
        </w:rPr>
        <w:t>,</w:t>
      </w:r>
      <w:r>
        <w:rPr>
          <w:rFonts w:ascii="Arial" w:cs="Arial" w:eastAsia="Arial" w:hAnsi="Arial"/>
          <w:sz w:val="15"/>
          <w:szCs w:val="15"/>
          <w:color w:val="110F13"/>
        </w:rPr>
        <w:t xml:space="preserve"> directors</w:t>
      </w:r>
      <w:r>
        <w:rPr>
          <w:rFonts w:ascii="Arial" w:cs="Arial" w:eastAsia="Arial" w:hAnsi="Arial"/>
          <w:sz w:val="15"/>
          <w:szCs w:val="15"/>
          <w:color w:val="2A2A2D"/>
        </w:rPr>
        <w:t>,</w:t>
      </w:r>
      <w:r>
        <w:rPr>
          <w:rFonts w:ascii="Arial" w:cs="Arial" w:eastAsia="Arial" w:hAnsi="Arial"/>
          <w:sz w:val="15"/>
          <w:szCs w:val="15"/>
          <w:color w:val="110F13"/>
        </w:rPr>
        <w:t xml:space="preserve"> members</w:t>
      </w:r>
      <w:r>
        <w:rPr>
          <w:rFonts w:ascii="Arial" w:cs="Arial" w:eastAsia="Arial" w:hAnsi="Arial"/>
          <w:sz w:val="15"/>
          <w:szCs w:val="15"/>
          <w:color w:val="2A2A2D"/>
        </w:rPr>
        <w:t>,</w:t>
      </w:r>
      <w:r>
        <w:rPr>
          <w:rFonts w:ascii="Arial" w:cs="Arial" w:eastAsia="Arial" w:hAnsi="Arial"/>
          <w:sz w:val="15"/>
          <w:szCs w:val="15"/>
          <w:color w:val="110F13"/>
        </w:rPr>
        <w:t xml:space="preserve"> shareholders</w:t>
      </w:r>
      <w:r>
        <w:rPr>
          <w:rFonts w:ascii="Arial" w:cs="Arial" w:eastAsia="Arial" w:hAnsi="Arial"/>
          <w:sz w:val="15"/>
          <w:szCs w:val="15"/>
          <w:color w:val="2A2A2D"/>
        </w:rPr>
        <w:t>,</w:t>
      </w:r>
      <w:r>
        <w:rPr>
          <w:rFonts w:ascii="Arial" w:cs="Arial" w:eastAsia="Arial" w:hAnsi="Arial"/>
          <w:sz w:val="15"/>
          <w:szCs w:val="15"/>
          <w:color w:val="110F13"/>
        </w:rPr>
        <w:t xml:space="preserve"> employees</w:t>
      </w:r>
      <w:r>
        <w:rPr>
          <w:rFonts w:ascii="Arial" w:cs="Arial" w:eastAsia="Arial" w:hAnsi="Arial"/>
          <w:sz w:val="15"/>
          <w:szCs w:val="15"/>
          <w:color w:val="2A2A2D"/>
        </w:rPr>
        <w:t>,</w:t>
      </w:r>
      <w:r>
        <w:rPr>
          <w:rFonts w:ascii="Arial" w:cs="Arial" w:eastAsia="Arial" w:hAnsi="Arial"/>
          <w:sz w:val="15"/>
          <w:szCs w:val="15"/>
          <w:color w:val="110F13"/>
        </w:rPr>
        <w:t xml:space="preserve"> managers</w:t>
      </w:r>
      <w:r>
        <w:rPr>
          <w:rFonts w:ascii="Arial" w:cs="Arial" w:eastAsia="Arial" w:hAnsi="Arial"/>
          <w:sz w:val="15"/>
          <w:szCs w:val="15"/>
          <w:color w:val="2A2A2D"/>
        </w:rPr>
        <w:t>,</w:t>
      </w:r>
      <w:r>
        <w:rPr>
          <w:rFonts w:ascii="Arial" w:cs="Arial" w:eastAsia="Arial" w:hAnsi="Arial"/>
          <w:sz w:val="15"/>
          <w:szCs w:val="15"/>
          <w:color w:val="110F13"/>
        </w:rPr>
        <w:t xml:space="preserve"> partners</w:t>
      </w:r>
      <w:r>
        <w:rPr>
          <w:rFonts w:ascii="Arial" w:cs="Arial" w:eastAsia="Arial" w:hAnsi="Arial"/>
          <w:sz w:val="15"/>
          <w:szCs w:val="15"/>
          <w:color w:val="2A2A2D"/>
        </w:rPr>
        <w:t>,</w:t>
      </w:r>
      <w:r>
        <w:rPr>
          <w:rFonts w:ascii="Arial" w:cs="Arial" w:eastAsia="Arial" w:hAnsi="Arial"/>
          <w:sz w:val="15"/>
          <w:szCs w:val="15"/>
          <w:color w:val="110F13"/>
        </w:rPr>
        <w:t xml:space="preserve"> accountants</w:t>
      </w:r>
      <w:r>
        <w:rPr>
          <w:rFonts w:ascii="Arial" w:cs="Arial" w:eastAsia="Arial" w:hAnsi="Arial"/>
          <w:sz w:val="15"/>
          <w:szCs w:val="15"/>
          <w:color w:val="2A2A2D"/>
        </w:rPr>
        <w:t>,</w:t>
      </w:r>
      <w:r>
        <w:rPr>
          <w:rFonts w:ascii="Arial" w:cs="Arial" w:eastAsia="Arial" w:hAnsi="Arial"/>
          <w:sz w:val="15"/>
          <w:szCs w:val="15"/>
          <w:color w:val="110F13"/>
        </w:rPr>
        <w:t xml:space="preserve"> attorneys</w:t>
      </w:r>
      <w:r>
        <w:rPr>
          <w:rFonts w:ascii="Arial" w:cs="Arial" w:eastAsia="Arial" w:hAnsi="Arial"/>
          <w:sz w:val="15"/>
          <w:szCs w:val="15"/>
          <w:color w:val="2A2A2D"/>
        </w:rPr>
        <w:t>,</w:t>
      </w:r>
      <w:r>
        <w:rPr>
          <w:rFonts w:ascii="Arial" w:cs="Arial" w:eastAsia="Arial" w:hAnsi="Arial"/>
          <w:sz w:val="15"/>
          <w:szCs w:val="15"/>
          <w:color w:val="110F13"/>
        </w:rPr>
        <w:t xml:space="preserve"> advisors and agents of each such controlling Person</w:t>
      </w:r>
      <w:r>
        <w:rPr>
          <w:rFonts w:ascii="Arial" w:cs="Arial" w:eastAsia="Arial" w:hAnsi="Arial"/>
          <w:sz w:val="15"/>
          <w:szCs w:val="15"/>
          <w:color w:val="2A2A2D"/>
        </w:rPr>
        <w:t>,</w:t>
      </w:r>
      <w:r>
        <w:rPr>
          <w:rFonts w:ascii="Arial" w:cs="Arial" w:eastAsia="Arial" w:hAnsi="Arial"/>
          <w:sz w:val="15"/>
          <w:szCs w:val="15"/>
          <w:color w:val="110F13"/>
        </w:rPr>
        <w:t xml:space="preserve"> each such underwriter and each such Person who controls any such underwriter</w:t>
      </w:r>
      <w:r>
        <w:rPr>
          <w:rFonts w:ascii="Arial" w:cs="Arial" w:eastAsia="Arial" w:hAnsi="Arial"/>
          <w:sz w:val="15"/>
          <w:szCs w:val="15"/>
          <w:color w:val="2A2A2D"/>
        </w:rPr>
        <w:t>,</w:t>
      </w:r>
      <w:r>
        <w:rPr>
          <w:rFonts w:ascii="Arial" w:cs="Arial" w:eastAsia="Arial" w:hAnsi="Arial"/>
          <w:sz w:val="15"/>
          <w:szCs w:val="15"/>
          <w:color w:val="110F13"/>
        </w:rPr>
        <w:t xml:space="preserve"> for any legal and any other expenses reasonably incurred in connection with investigating and defending or settling any such claim</w:t>
      </w:r>
      <w:r>
        <w:rPr>
          <w:rFonts w:ascii="Arial" w:cs="Arial" w:eastAsia="Arial" w:hAnsi="Arial"/>
          <w:sz w:val="15"/>
          <w:szCs w:val="15"/>
          <w:color w:val="2A2A2D"/>
        </w:rPr>
        <w:t>,</w:t>
      </w:r>
      <w:r>
        <w:rPr>
          <w:rFonts w:ascii="Arial" w:cs="Arial" w:eastAsia="Arial" w:hAnsi="Arial"/>
          <w:sz w:val="15"/>
          <w:szCs w:val="15"/>
          <w:color w:val="110F13"/>
        </w:rPr>
        <w:t xml:space="preserve"> Loss</w:t>
      </w:r>
      <w:r>
        <w:rPr>
          <w:rFonts w:ascii="Arial" w:cs="Arial" w:eastAsia="Arial" w:hAnsi="Arial"/>
          <w:sz w:val="15"/>
          <w:szCs w:val="15"/>
          <w:color w:val="2A2A2D"/>
        </w:rPr>
        <w:t>,</w:t>
      </w:r>
      <w:r>
        <w:rPr>
          <w:rFonts w:ascii="Arial" w:cs="Arial" w:eastAsia="Arial" w:hAnsi="Arial"/>
          <w:sz w:val="15"/>
          <w:szCs w:val="15"/>
          <w:color w:val="110F13"/>
        </w:rPr>
        <w:t xml:space="preserve"> damage</w:t>
      </w:r>
      <w:r>
        <w:rPr>
          <w:rFonts w:ascii="Arial" w:cs="Arial" w:eastAsia="Arial" w:hAnsi="Arial"/>
          <w:sz w:val="15"/>
          <w:szCs w:val="15"/>
          <w:color w:val="2A2A2D"/>
        </w:rPr>
        <w:t>,</w:t>
      </w:r>
      <w:r>
        <w:rPr>
          <w:rFonts w:ascii="Arial" w:cs="Arial" w:eastAsia="Arial" w:hAnsi="Arial"/>
          <w:sz w:val="15"/>
          <w:szCs w:val="15"/>
          <w:color w:val="110F13"/>
        </w:rPr>
        <w:t xml:space="preserve"> liability or action</w:t>
      </w:r>
      <w:r>
        <w:rPr>
          <w:rFonts w:ascii="Arial" w:cs="Arial" w:eastAsia="Arial" w:hAnsi="Arial"/>
          <w:sz w:val="15"/>
          <w:szCs w:val="15"/>
          <w:color w:val="2A2A2D"/>
        </w:rPr>
        <w:t>,</w:t>
      </w:r>
      <w:r>
        <w:rPr>
          <w:rFonts w:ascii="Arial" w:cs="Arial" w:eastAsia="Arial" w:hAnsi="Arial"/>
          <w:sz w:val="15"/>
          <w:szCs w:val="15"/>
          <w:color w:val="110F13"/>
        </w:rPr>
        <w:t xml:space="preserve"> except insofar as the same are caused by any information regarding a holder of Registrable Securities or underwriter furnished in writing to the Company by any such person or any selling holder or underwriter expressly for use therein.</w:t>
      </w:r>
    </w:p>
    <w:p>
      <w:pPr>
        <w:spacing w:after="0" w:line="329" w:lineRule="exact"/>
        <w:rPr>
          <w:sz w:val="20"/>
          <w:szCs w:val="20"/>
          <w:color w:val="auto"/>
        </w:rPr>
      </w:pPr>
    </w:p>
    <w:p>
      <w:pPr>
        <w:ind w:firstLine="514"/>
        <w:spacing w:after="0" w:line="292" w:lineRule="auto"/>
        <w:tabs>
          <w:tab w:leader="none" w:pos="101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 xml:space="preserve">In </w:t>
      </w:r>
      <w:r>
        <w:rPr>
          <w:rFonts w:ascii="Arial" w:cs="Arial" w:eastAsia="Arial" w:hAnsi="Arial"/>
          <w:sz w:val="15"/>
          <w:szCs w:val="15"/>
          <w:color w:val="110F13"/>
        </w:rPr>
        <w:t>connection</w:t>
      </w:r>
      <w:r>
        <w:rPr>
          <w:rFonts w:ascii="Arial" w:cs="Arial" w:eastAsia="Arial" w:hAnsi="Arial"/>
          <w:sz w:val="15"/>
          <w:szCs w:val="15"/>
          <w:color w:val="auto"/>
        </w:rPr>
        <w:t xml:space="preserve"> with any Registration Statement in which a Selling Holder is participating</w:t>
      </w:r>
      <w:r>
        <w:rPr>
          <w:rFonts w:ascii="Arial" w:cs="Arial" w:eastAsia="Arial" w:hAnsi="Arial"/>
          <w:sz w:val="15"/>
          <w:szCs w:val="15"/>
          <w:color w:val="2A2A2D"/>
        </w:rPr>
        <w:t>,</w:t>
      </w:r>
      <w:r>
        <w:rPr>
          <w:rFonts w:ascii="Arial" w:cs="Arial" w:eastAsia="Arial" w:hAnsi="Arial"/>
          <w:sz w:val="15"/>
          <w:szCs w:val="15"/>
          <w:color w:val="auto"/>
        </w:rPr>
        <w:t xml:space="preserve"> without limitation as to time</w:t>
      </w:r>
      <w:r>
        <w:rPr>
          <w:rFonts w:ascii="Arial" w:cs="Arial" w:eastAsia="Arial" w:hAnsi="Arial"/>
          <w:sz w:val="15"/>
          <w:szCs w:val="15"/>
          <w:color w:val="2A2A2D"/>
        </w:rPr>
        <w:t>,</w:t>
      </w:r>
      <w:r>
        <w:rPr>
          <w:rFonts w:ascii="Arial" w:cs="Arial" w:eastAsia="Arial" w:hAnsi="Arial"/>
          <w:sz w:val="15"/>
          <w:szCs w:val="15"/>
          <w:color w:val="auto"/>
        </w:rPr>
        <w:t xml:space="preserve"> each such Selling Holder shall</w:t>
      </w:r>
      <w:r>
        <w:rPr>
          <w:rFonts w:ascii="Arial" w:cs="Arial" w:eastAsia="Arial" w:hAnsi="Arial"/>
          <w:sz w:val="15"/>
          <w:szCs w:val="15"/>
          <w:color w:val="2A2A2D"/>
        </w:rPr>
        <w:t>,</w:t>
      </w:r>
      <w:r>
        <w:rPr>
          <w:rFonts w:ascii="Arial" w:cs="Arial" w:eastAsia="Arial" w:hAnsi="Arial"/>
          <w:sz w:val="15"/>
          <w:szCs w:val="15"/>
          <w:color w:val="auto"/>
        </w:rPr>
        <w:t xml:space="preserve"> severally and not jointly</w:t>
      </w:r>
      <w:r>
        <w:rPr>
          <w:rFonts w:ascii="Arial" w:cs="Arial" w:eastAsia="Arial" w:hAnsi="Arial"/>
          <w:sz w:val="15"/>
          <w:szCs w:val="15"/>
          <w:color w:val="2A2A2D"/>
        </w:rPr>
        <w:t>,</w:t>
      </w:r>
      <w:r>
        <w:rPr>
          <w:rFonts w:ascii="Arial" w:cs="Arial" w:eastAsia="Arial" w:hAnsi="Arial"/>
          <w:sz w:val="15"/>
          <w:szCs w:val="15"/>
          <w:color w:val="auto"/>
        </w:rPr>
        <w:t xml:space="preserve"> indemnify the Company</w:t>
      </w:r>
      <w:r>
        <w:rPr>
          <w:rFonts w:ascii="Arial" w:cs="Arial" w:eastAsia="Arial" w:hAnsi="Arial"/>
          <w:sz w:val="15"/>
          <w:szCs w:val="15"/>
          <w:color w:val="2A2A2D"/>
        </w:rPr>
        <w:t>,</w:t>
      </w:r>
      <w:r>
        <w:rPr>
          <w:rFonts w:ascii="Arial" w:cs="Arial" w:eastAsia="Arial" w:hAnsi="Arial"/>
          <w:sz w:val="15"/>
          <w:szCs w:val="15"/>
          <w:color w:val="auto"/>
        </w:rPr>
        <w:t xml:space="preserve"> its directors and officers</w:t>
      </w:r>
      <w:r>
        <w:rPr>
          <w:rFonts w:ascii="Arial" w:cs="Arial" w:eastAsia="Arial" w:hAnsi="Arial"/>
          <w:sz w:val="15"/>
          <w:szCs w:val="15"/>
          <w:color w:val="2A2A2D"/>
        </w:rPr>
        <w:t>,</w:t>
      </w:r>
      <w:r>
        <w:rPr>
          <w:rFonts w:ascii="Arial" w:cs="Arial" w:eastAsia="Arial" w:hAnsi="Arial"/>
          <w:sz w:val="15"/>
          <w:szCs w:val="15"/>
          <w:color w:val="auto"/>
        </w:rPr>
        <w:t xml:space="preserve"> and each Person who controls (within the meaning of Section 15 of the Securities Act and Section 20 of the Exchange Act) the Company</w:t>
      </w:r>
      <w:r>
        <w:rPr>
          <w:rFonts w:ascii="Arial" w:cs="Arial" w:eastAsia="Arial" w:hAnsi="Arial"/>
          <w:sz w:val="15"/>
          <w:szCs w:val="15"/>
          <w:color w:val="2A2A2D"/>
        </w:rPr>
        <w:t>,</w:t>
      </w:r>
      <w:r>
        <w:rPr>
          <w:rFonts w:ascii="Arial" w:cs="Arial" w:eastAsia="Arial" w:hAnsi="Arial"/>
          <w:sz w:val="15"/>
          <w:szCs w:val="15"/>
          <w:color w:val="auto"/>
        </w:rPr>
        <w:t xml:space="preserve"> from and against all Losses</w:t>
      </w:r>
      <w:r>
        <w:rPr>
          <w:rFonts w:ascii="Arial" w:cs="Arial" w:eastAsia="Arial" w:hAnsi="Arial"/>
          <w:sz w:val="15"/>
          <w:szCs w:val="15"/>
          <w:color w:val="2A2A2D"/>
        </w:rPr>
        <w:t>,</w:t>
      </w:r>
      <w:r>
        <w:rPr>
          <w:rFonts w:ascii="Arial" w:cs="Arial" w:eastAsia="Arial" w:hAnsi="Arial"/>
          <w:sz w:val="15"/>
          <w:szCs w:val="15"/>
          <w:color w:val="auto"/>
        </w:rPr>
        <w:t xml:space="preserve"> as incurred, arising out of</w:t>
      </w:r>
      <w:r>
        <w:rPr>
          <w:rFonts w:ascii="Arial" w:cs="Arial" w:eastAsia="Arial" w:hAnsi="Arial"/>
          <w:sz w:val="15"/>
          <w:szCs w:val="15"/>
          <w:color w:val="2A2A2D"/>
        </w:rPr>
        <w:t>,</w:t>
      </w:r>
      <w:r>
        <w:rPr>
          <w:rFonts w:ascii="Arial" w:cs="Arial" w:eastAsia="Arial" w:hAnsi="Arial"/>
          <w:sz w:val="15"/>
          <w:szCs w:val="15"/>
          <w:color w:val="auto"/>
        </w:rPr>
        <w:t xml:space="preserve"> caused by</w:t>
      </w:r>
      <w:r>
        <w:rPr>
          <w:rFonts w:ascii="Arial" w:cs="Arial" w:eastAsia="Arial" w:hAnsi="Arial"/>
          <w:sz w:val="15"/>
          <w:szCs w:val="15"/>
          <w:color w:val="2A2A2D"/>
        </w:rPr>
        <w:t>,</w:t>
      </w:r>
      <w:r>
        <w:rPr>
          <w:rFonts w:ascii="Arial" w:cs="Arial" w:eastAsia="Arial" w:hAnsi="Arial"/>
          <w:sz w:val="15"/>
          <w:szCs w:val="15"/>
          <w:color w:val="auto"/>
        </w:rPr>
        <w:t xml:space="preserve"> resulting from or relating to any untrue statement (or alleged untrue statement) of material fact contained in the Registration Statement</w:t>
      </w:r>
      <w:r>
        <w:rPr>
          <w:rFonts w:ascii="Arial" w:cs="Arial" w:eastAsia="Arial" w:hAnsi="Arial"/>
          <w:sz w:val="15"/>
          <w:szCs w:val="15"/>
          <w:color w:val="2A2A2D"/>
        </w:rPr>
        <w:t>,</w:t>
      </w:r>
      <w:r>
        <w:rPr>
          <w:rFonts w:ascii="Arial" w:cs="Arial" w:eastAsia="Arial" w:hAnsi="Arial"/>
          <w:sz w:val="15"/>
          <w:szCs w:val="15"/>
          <w:color w:val="auto"/>
        </w:rPr>
        <w:t xml:space="preserve"> or any amendment or supplement thereto</w:t>
      </w:r>
      <w:r>
        <w:rPr>
          <w:rFonts w:ascii="Arial" w:cs="Arial" w:eastAsia="Arial" w:hAnsi="Arial"/>
          <w:sz w:val="15"/>
          <w:szCs w:val="15"/>
          <w:color w:val="2A2A2D"/>
        </w:rPr>
        <w:t>,</w:t>
      </w:r>
      <w:r>
        <w:rPr>
          <w:rFonts w:ascii="Arial" w:cs="Arial" w:eastAsia="Arial" w:hAnsi="Arial"/>
          <w:sz w:val="15"/>
          <w:szCs w:val="15"/>
          <w:color w:val="auto"/>
        </w:rPr>
        <w:t xml:space="preserve"> or any omission (or alleged omission) of a material fact required to be stated in any such Registration Statement or necessary to make the statements therein not misleading</w:t>
      </w:r>
      <w:r>
        <w:rPr>
          <w:rFonts w:ascii="Arial" w:cs="Arial" w:eastAsia="Arial" w:hAnsi="Arial"/>
          <w:sz w:val="15"/>
          <w:szCs w:val="15"/>
          <w:color w:val="2A2A2D"/>
        </w:rPr>
        <w:t>,</w:t>
      </w:r>
      <w:r>
        <w:rPr>
          <w:rFonts w:ascii="Arial" w:cs="Arial" w:eastAsia="Arial" w:hAnsi="Arial"/>
          <w:sz w:val="15"/>
          <w:szCs w:val="15"/>
          <w:color w:val="auto"/>
        </w:rPr>
        <w:t xml:space="preserve"> or arising out of</w:t>
      </w:r>
      <w:r>
        <w:rPr>
          <w:rFonts w:ascii="Arial" w:cs="Arial" w:eastAsia="Arial" w:hAnsi="Arial"/>
          <w:sz w:val="15"/>
          <w:szCs w:val="15"/>
          <w:color w:val="2A2A2D"/>
        </w:rPr>
        <w:t>,</w:t>
      </w:r>
      <w:r>
        <w:rPr>
          <w:rFonts w:ascii="Arial" w:cs="Arial" w:eastAsia="Arial" w:hAnsi="Arial"/>
          <w:sz w:val="15"/>
          <w:szCs w:val="15"/>
          <w:color w:val="auto"/>
        </w:rPr>
        <w:t xml:space="preserve"> caused by</w:t>
      </w:r>
      <w:r>
        <w:rPr>
          <w:rFonts w:ascii="Arial" w:cs="Arial" w:eastAsia="Arial" w:hAnsi="Arial"/>
          <w:sz w:val="15"/>
          <w:szCs w:val="15"/>
          <w:color w:val="2A2A2D"/>
        </w:rPr>
        <w:t>,</w:t>
      </w:r>
      <w:r>
        <w:rPr>
          <w:rFonts w:ascii="Arial" w:cs="Arial" w:eastAsia="Arial" w:hAnsi="Arial"/>
          <w:sz w:val="15"/>
          <w:szCs w:val="15"/>
          <w:color w:val="auto"/>
        </w:rPr>
        <w:t xml:space="preserve"> resulting from or relating to any untrue statement (or alleged untrue statement) of a material fact contained in any prospectus or preliminary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60"/>
          </w:cols>
          <w:pgMar w:left="300" w:top="1152" w:right="339" w:bottom="1440" w:gutter="0" w:footer="0" w:header="0"/>
        </w:sectPr>
      </w:pPr>
    </w:p>
    <w:bookmarkStart w:id="167" w:name="page168"/>
    <w:bookmarkEnd w:id="167"/>
    <w:p>
      <w:pPr>
        <w:spacing w:after="0" w:line="268" w:lineRule="auto"/>
        <w:rPr>
          <w:sz w:val="20"/>
          <w:szCs w:val="20"/>
          <w:color w:val="auto"/>
        </w:rPr>
      </w:pPr>
      <w:r>
        <w:rPr>
          <w:rFonts w:ascii="Arial" w:cs="Arial" w:eastAsia="Arial" w:hAnsi="Arial"/>
          <w:sz w:val="16"/>
          <w:szCs w:val="16"/>
          <w:color w:val="auto"/>
        </w:rPr>
        <w:t>prospectus or any amendment or supplement thereto or any omission (or alleged omission) of a material fact necessary to make the statements therein</w:t>
      </w:r>
      <w:r>
        <w:rPr>
          <w:rFonts w:ascii="Arial" w:cs="Arial" w:eastAsia="Arial" w:hAnsi="Arial"/>
          <w:sz w:val="16"/>
          <w:szCs w:val="16"/>
          <w:color w:val="2A2A2D"/>
        </w:rPr>
        <w:t>,</w:t>
      </w:r>
      <w:r>
        <w:rPr>
          <w:rFonts w:ascii="Arial" w:cs="Arial" w:eastAsia="Arial" w:hAnsi="Arial"/>
          <w:sz w:val="16"/>
          <w:szCs w:val="16"/>
          <w:color w:val="auto"/>
        </w:rPr>
        <w:t xml:space="preserve"> in the light of the circumstances under which they were made</w:t>
      </w:r>
      <w:r>
        <w:rPr>
          <w:rFonts w:ascii="Arial" w:cs="Arial" w:eastAsia="Arial" w:hAnsi="Arial"/>
          <w:sz w:val="16"/>
          <w:szCs w:val="16"/>
          <w:color w:val="2A2A2D"/>
        </w:rPr>
        <w:t>,</w:t>
      </w:r>
      <w:r>
        <w:rPr>
          <w:rFonts w:ascii="Arial" w:cs="Arial" w:eastAsia="Arial" w:hAnsi="Arial"/>
          <w:sz w:val="16"/>
          <w:szCs w:val="16"/>
          <w:color w:val="auto"/>
        </w:rPr>
        <w:t xml:space="preserve"> not </w:t>
      </w:r>
      <w:r>
        <w:rPr>
          <w:rFonts w:ascii="Arial" w:cs="Arial" w:eastAsia="Arial" w:hAnsi="Arial"/>
          <w:sz w:val="16"/>
          <w:szCs w:val="16"/>
          <w:color w:val="110E13"/>
        </w:rPr>
        <w:t>misleading</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E13"/>
        </w:rPr>
        <w:t>and (without limitation of the preceding portions of this Section 5.05(b)) will reimburse the</w:t>
      </w:r>
      <w:r>
        <w:rPr>
          <w:rFonts w:ascii="Arial" w:cs="Arial" w:eastAsia="Arial" w:hAnsi="Arial"/>
          <w:sz w:val="16"/>
          <w:szCs w:val="16"/>
          <w:color w:val="auto"/>
        </w:rPr>
        <w:t xml:space="preserve"> </w:t>
      </w:r>
      <w:r>
        <w:rPr>
          <w:rFonts w:ascii="Arial" w:cs="Arial" w:eastAsia="Arial" w:hAnsi="Arial"/>
          <w:sz w:val="16"/>
          <w:szCs w:val="16"/>
          <w:color w:val="110E13"/>
        </w:rPr>
        <w:t>Company</w:t>
      </w:r>
      <w:r>
        <w:rPr>
          <w:rFonts w:ascii="Arial" w:cs="Arial" w:eastAsia="Arial" w:hAnsi="Arial"/>
          <w:sz w:val="16"/>
          <w:szCs w:val="16"/>
          <w:color w:val="2A2A2D"/>
        </w:rPr>
        <w:t>,</w:t>
      </w:r>
      <w:r>
        <w:rPr>
          <w:rFonts w:ascii="Arial" w:cs="Arial" w:eastAsia="Arial" w:hAnsi="Arial"/>
          <w:sz w:val="16"/>
          <w:szCs w:val="16"/>
          <w:color w:val="110E13"/>
        </w:rPr>
        <w:t xml:space="preserve"> its directors and officers and each Person who controls the Company (within the meaning of Section 15 of the Securities Act and Section 20 of the Exchange Act) for any legal and any other expenses reasonably incurred in connection with investigating and defending or settling any such claim</w:t>
      </w:r>
      <w:r>
        <w:rPr>
          <w:rFonts w:ascii="Arial" w:cs="Arial" w:eastAsia="Arial" w:hAnsi="Arial"/>
          <w:sz w:val="16"/>
          <w:szCs w:val="16"/>
          <w:color w:val="2A2A2D"/>
        </w:rPr>
        <w:t>,</w:t>
      </w:r>
      <w:r>
        <w:rPr>
          <w:rFonts w:ascii="Arial" w:cs="Arial" w:eastAsia="Arial" w:hAnsi="Arial"/>
          <w:sz w:val="16"/>
          <w:szCs w:val="16"/>
          <w:color w:val="110E13"/>
        </w:rPr>
        <w:t xml:space="preserve"> Loss</w:t>
      </w:r>
      <w:r>
        <w:rPr>
          <w:rFonts w:ascii="Arial" w:cs="Arial" w:eastAsia="Arial" w:hAnsi="Arial"/>
          <w:sz w:val="16"/>
          <w:szCs w:val="16"/>
          <w:color w:val="2A2A2D"/>
        </w:rPr>
        <w:t>,</w:t>
      </w:r>
      <w:r>
        <w:rPr>
          <w:rFonts w:ascii="Arial" w:cs="Arial" w:eastAsia="Arial" w:hAnsi="Arial"/>
          <w:sz w:val="16"/>
          <w:szCs w:val="16"/>
          <w:color w:val="110E13"/>
        </w:rPr>
        <w:t xml:space="preserve"> damage</w:t>
      </w:r>
      <w:r>
        <w:rPr>
          <w:rFonts w:ascii="Arial" w:cs="Arial" w:eastAsia="Arial" w:hAnsi="Arial"/>
          <w:sz w:val="16"/>
          <w:szCs w:val="16"/>
          <w:color w:val="2A2A2D"/>
        </w:rPr>
        <w:t>,</w:t>
      </w:r>
      <w:r>
        <w:rPr>
          <w:rFonts w:ascii="Arial" w:cs="Arial" w:eastAsia="Arial" w:hAnsi="Arial"/>
          <w:sz w:val="16"/>
          <w:szCs w:val="16"/>
          <w:color w:val="110E13"/>
        </w:rPr>
        <w:t xml:space="preserve"> liability or action</w:t>
      </w:r>
      <w:r>
        <w:rPr>
          <w:rFonts w:ascii="Arial" w:cs="Arial" w:eastAsia="Arial" w:hAnsi="Arial"/>
          <w:sz w:val="16"/>
          <w:szCs w:val="16"/>
          <w:color w:val="2A2A2D"/>
        </w:rPr>
        <w:t>,</w:t>
      </w:r>
      <w:r>
        <w:rPr>
          <w:rFonts w:ascii="Arial" w:cs="Arial" w:eastAsia="Arial" w:hAnsi="Arial"/>
          <w:sz w:val="16"/>
          <w:szCs w:val="16"/>
          <w:color w:val="110E13"/>
        </w:rPr>
        <w:t xml:space="preserve"> in each case solely to the extent</w:t>
      </w:r>
      <w:r>
        <w:rPr>
          <w:rFonts w:ascii="Arial" w:cs="Arial" w:eastAsia="Arial" w:hAnsi="Arial"/>
          <w:sz w:val="16"/>
          <w:szCs w:val="16"/>
          <w:color w:val="2A2A2D"/>
        </w:rPr>
        <w:t>,</w:t>
      </w:r>
      <w:r>
        <w:rPr>
          <w:rFonts w:ascii="Arial" w:cs="Arial" w:eastAsia="Arial" w:hAnsi="Arial"/>
          <w:sz w:val="16"/>
          <w:szCs w:val="16"/>
          <w:color w:val="110E13"/>
        </w:rPr>
        <w:t xml:space="preserve"> but only to the extent</w:t>
      </w:r>
      <w:r>
        <w:rPr>
          <w:rFonts w:ascii="Arial" w:cs="Arial" w:eastAsia="Arial" w:hAnsi="Arial"/>
          <w:sz w:val="16"/>
          <w:szCs w:val="16"/>
          <w:color w:val="2A2A2D"/>
        </w:rPr>
        <w:t>,</w:t>
      </w:r>
      <w:r>
        <w:rPr>
          <w:rFonts w:ascii="Arial" w:cs="Arial" w:eastAsia="Arial" w:hAnsi="Arial"/>
          <w:sz w:val="16"/>
          <w:szCs w:val="16"/>
          <w:color w:val="110E13"/>
        </w:rPr>
        <w:t xml:space="preserve"> that such untrue statement or omission is made in such registration statement</w:t>
      </w:r>
      <w:r>
        <w:rPr>
          <w:rFonts w:ascii="Arial" w:cs="Arial" w:eastAsia="Arial" w:hAnsi="Arial"/>
          <w:sz w:val="16"/>
          <w:szCs w:val="16"/>
          <w:color w:val="2A2A2D"/>
        </w:rPr>
        <w:t>,</w:t>
      </w:r>
      <w:r>
        <w:rPr>
          <w:rFonts w:ascii="Arial" w:cs="Arial" w:eastAsia="Arial" w:hAnsi="Arial"/>
          <w:sz w:val="16"/>
          <w:szCs w:val="16"/>
          <w:color w:val="110E13"/>
        </w:rPr>
        <w:t xml:space="preserve"> prospectus or preliminary prospectus or any amendment or supplement thereto in reliance upon and in conformity with written information regarding the Selling Holder furnished to the Company by such Selling Holder for inclusion in such registration statement</w:t>
      </w:r>
      <w:r>
        <w:rPr>
          <w:rFonts w:ascii="Arial" w:cs="Arial" w:eastAsia="Arial" w:hAnsi="Arial"/>
          <w:sz w:val="16"/>
          <w:szCs w:val="16"/>
          <w:color w:val="2A2A2D"/>
        </w:rPr>
        <w:t>,</w:t>
      </w:r>
      <w:r>
        <w:rPr>
          <w:rFonts w:ascii="Arial" w:cs="Arial" w:eastAsia="Arial" w:hAnsi="Arial"/>
          <w:sz w:val="16"/>
          <w:szCs w:val="16"/>
          <w:color w:val="110E13"/>
        </w:rPr>
        <w:t xml:space="preserve"> prospectus or preliminary prospectus or any amendment or supplement thereto (collectively, </w:t>
      </w:r>
      <w:r>
        <w:rPr>
          <w:rFonts w:ascii="Arial" w:cs="Arial" w:eastAsia="Arial" w:hAnsi="Arial"/>
          <w:sz w:val="16"/>
          <w:szCs w:val="16"/>
          <w:color w:val="2A2A2D"/>
        </w:rPr>
        <w:t>“</w:t>
      </w:r>
      <w:r>
        <w:rPr>
          <w:rFonts w:ascii="Arial" w:cs="Arial" w:eastAsia="Arial" w:hAnsi="Arial"/>
          <w:sz w:val="16"/>
          <w:szCs w:val="16"/>
          <w:b w:val="1"/>
          <w:bCs w:val="1"/>
          <w:color w:val="110E13"/>
        </w:rPr>
        <w:t>Selling Holder Information</w:t>
      </w:r>
      <w:r>
        <w:rPr>
          <w:rFonts w:ascii="Arial" w:cs="Arial" w:eastAsia="Arial" w:hAnsi="Arial"/>
          <w:sz w:val="16"/>
          <w:szCs w:val="16"/>
          <w:color w:val="2A2A2D"/>
        </w:rPr>
        <w:t>”</w:t>
      </w:r>
      <w:r>
        <w:rPr>
          <w:rFonts w:ascii="Arial" w:cs="Arial" w:eastAsia="Arial" w:hAnsi="Arial"/>
          <w:sz w:val="16"/>
          <w:szCs w:val="16"/>
          <w:color w:val="110E13"/>
        </w:rPr>
        <w:t>).</w:t>
      </w:r>
    </w:p>
    <w:p>
      <w:pPr>
        <w:spacing w:after="0" w:line="139" w:lineRule="exact"/>
        <w:rPr>
          <w:sz w:val="20"/>
          <w:szCs w:val="20"/>
          <w:color w:val="auto"/>
        </w:rPr>
      </w:pPr>
    </w:p>
    <w:p>
      <w:pPr>
        <w:ind w:right="20" w:firstLine="514"/>
        <w:spacing w:after="0" w:line="276" w:lineRule="auto"/>
        <w:tabs>
          <w:tab w:leader="none" w:pos="100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Other than in connection with any action brought by any third party against any indemnified party (which shall be governed by the following paragraph (d) and not this paragraph (c))</w:t>
      </w:r>
      <w:r>
        <w:rPr>
          <w:rFonts w:ascii="Arial" w:cs="Arial" w:eastAsia="Arial" w:hAnsi="Arial"/>
          <w:sz w:val="16"/>
          <w:szCs w:val="16"/>
          <w:color w:val="2A2A2D"/>
        </w:rPr>
        <w:t>,</w:t>
      </w:r>
      <w:r>
        <w:rPr>
          <w:rFonts w:ascii="Arial" w:cs="Arial" w:eastAsia="Arial" w:hAnsi="Arial"/>
          <w:sz w:val="16"/>
          <w:szCs w:val="16"/>
          <w:color w:val="auto"/>
        </w:rPr>
        <w:t xml:space="preserve"> any person entitled to indemnification hereunder shall give prompt written notice to the indemnifying party of any claim with respect to which it seeks indemnification </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w:t>
      </w:r>
      <w:r>
        <w:rPr>
          <w:rFonts w:ascii="Arial" w:cs="Arial" w:eastAsia="Arial" w:hAnsi="Arial"/>
          <w:sz w:val="16"/>
          <w:szCs w:val="16"/>
          <w:i w:val="1"/>
          <w:iCs w:val="1"/>
          <w:color w:val="2A2A2D"/>
        </w:rPr>
        <w:t>e</w:t>
      </w:r>
      <w:r>
        <w:rPr>
          <w:rFonts w:ascii="Arial" w:cs="Arial" w:eastAsia="Arial" w:hAnsi="Arial"/>
          <w:sz w:val="16"/>
          <w:szCs w:val="16"/>
          <w:i w:val="1"/>
          <w:iCs w:val="1"/>
          <w:color w:val="auto"/>
        </w:rPr>
        <w:t>d</w:t>
      </w:r>
      <w:r>
        <w:rPr>
          <w:rFonts w:ascii="Arial" w:cs="Arial" w:eastAsia="Arial" w:hAnsi="Arial"/>
          <w:sz w:val="16"/>
          <w:szCs w:val="16"/>
          <w:color w:val="auto"/>
        </w:rPr>
        <w:t xml:space="preserve"> </w:t>
      </w:r>
      <w:r>
        <w:rPr>
          <w:rFonts w:ascii="Arial" w:cs="Arial" w:eastAsia="Arial" w:hAnsi="Arial"/>
          <w:sz w:val="16"/>
          <w:szCs w:val="16"/>
          <w:i w:val="1"/>
          <w:iCs w:val="1"/>
          <w:color w:val="2A2A2D"/>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i w:val="1"/>
          <w:iCs w:val="1"/>
          <w:color w:val="2A2A2D"/>
        </w:rPr>
        <w:t>,</w:t>
      </w:r>
      <w:r>
        <w:rPr>
          <w:rFonts w:ascii="Arial" w:cs="Arial" w:eastAsia="Arial" w:hAnsi="Arial"/>
          <w:sz w:val="16"/>
          <w:szCs w:val="16"/>
          <w:color w:val="auto"/>
        </w:rPr>
        <w:t xml:space="preserve"> the failure to give such notice shall not release the indemnifying party from its obligation</w:t>
      </w:r>
      <w:r>
        <w:rPr>
          <w:rFonts w:ascii="Arial" w:cs="Arial" w:eastAsia="Arial" w:hAnsi="Arial"/>
          <w:sz w:val="16"/>
          <w:szCs w:val="16"/>
          <w:color w:val="2A2A2D"/>
        </w:rPr>
        <w:t>,</w:t>
      </w:r>
      <w:r>
        <w:rPr>
          <w:rFonts w:ascii="Arial" w:cs="Arial" w:eastAsia="Arial" w:hAnsi="Arial"/>
          <w:sz w:val="16"/>
          <w:szCs w:val="16"/>
          <w:color w:val="auto"/>
        </w:rPr>
        <w:t xml:space="preserve"> except to the extent that the indemnifying party has been adversely prejudiced by such failure to provide such notice on a timely basis.</w:t>
      </w:r>
    </w:p>
    <w:p>
      <w:pPr>
        <w:spacing w:after="0" w:line="129" w:lineRule="exact"/>
        <w:rPr>
          <w:rFonts w:ascii="Arial" w:cs="Arial" w:eastAsia="Arial" w:hAnsi="Arial"/>
          <w:sz w:val="16"/>
          <w:szCs w:val="16"/>
          <w:color w:val="auto"/>
        </w:rPr>
      </w:pPr>
    </w:p>
    <w:p>
      <w:pPr>
        <w:ind w:firstLine="514"/>
        <w:spacing w:after="0" w:line="266" w:lineRule="auto"/>
        <w:tabs>
          <w:tab w:leader="none" w:pos="101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case in which any action is brought by any third party against any indemnified party</w:t>
      </w:r>
      <w:r>
        <w:rPr>
          <w:rFonts w:ascii="Arial" w:cs="Arial" w:eastAsia="Arial" w:hAnsi="Arial"/>
          <w:sz w:val="16"/>
          <w:szCs w:val="16"/>
          <w:color w:val="2A2A2D"/>
        </w:rPr>
        <w:t>,</w:t>
      </w:r>
      <w:r>
        <w:rPr>
          <w:rFonts w:ascii="Arial" w:cs="Arial" w:eastAsia="Arial" w:hAnsi="Arial"/>
          <w:sz w:val="16"/>
          <w:szCs w:val="16"/>
          <w:color w:val="auto"/>
        </w:rPr>
        <w:t xml:space="preserve"> the indemnified party shall promptly notify in writing the indemnifying party of the commencement thereof</w:t>
      </w:r>
      <w:r>
        <w:rPr>
          <w:rFonts w:ascii="Arial" w:cs="Arial" w:eastAsia="Arial" w:hAnsi="Arial"/>
          <w:sz w:val="16"/>
          <w:szCs w:val="16"/>
          <w:color w:val="2A2A2D"/>
        </w:rPr>
        <w:t>,</w:t>
      </w:r>
      <w:r>
        <w:rPr>
          <w:rFonts w:ascii="Arial" w:cs="Arial" w:eastAsia="Arial" w:hAnsi="Arial"/>
          <w:sz w:val="16"/>
          <w:szCs w:val="16"/>
          <w:color w:val="auto"/>
        </w:rPr>
        <w:t xml:space="preserve"> and the indemnifying party will be entitled to participate therein</w:t>
      </w:r>
      <w:r>
        <w:rPr>
          <w:rFonts w:ascii="Arial" w:cs="Arial" w:eastAsia="Arial" w:hAnsi="Arial"/>
          <w:sz w:val="16"/>
          <w:szCs w:val="16"/>
          <w:color w:val="2A2A2D"/>
        </w:rPr>
        <w:t>,</w:t>
      </w:r>
      <w:r>
        <w:rPr>
          <w:rFonts w:ascii="Arial" w:cs="Arial" w:eastAsia="Arial" w:hAnsi="Arial"/>
          <w:sz w:val="16"/>
          <w:szCs w:val="16"/>
          <w:color w:val="auto"/>
        </w:rPr>
        <w:t xml:space="preserve"> and</w:t>
      </w:r>
      <w:r>
        <w:rPr>
          <w:rFonts w:ascii="Arial" w:cs="Arial" w:eastAsia="Arial" w:hAnsi="Arial"/>
          <w:sz w:val="16"/>
          <w:szCs w:val="16"/>
          <w:color w:val="2A2A2D"/>
        </w:rPr>
        <w:t>,</w:t>
      </w:r>
      <w:r>
        <w:rPr>
          <w:rFonts w:ascii="Arial" w:cs="Arial" w:eastAsia="Arial" w:hAnsi="Arial"/>
          <w:sz w:val="16"/>
          <w:szCs w:val="16"/>
          <w:color w:val="auto"/>
        </w:rPr>
        <w:t xml:space="preserve"> to the extent that it may wish</w:t>
      </w:r>
      <w:r>
        <w:rPr>
          <w:rFonts w:ascii="Arial" w:cs="Arial" w:eastAsia="Arial" w:hAnsi="Arial"/>
          <w:sz w:val="16"/>
          <w:szCs w:val="16"/>
          <w:color w:val="2A2A2D"/>
        </w:rPr>
        <w:t>,</w:t>
      </w:r>
      <w:r>
        <w:rPr>
          <w:rFonts w:ascii="Arial" w:cs="Arial" w:eastAsia="Arial" w:hAnsi="Arial"/>
          <w:sz w:val="16"/>
          <w:szCs w:val="16"/>
          <w:color w:val="auto"/>
        </w:rPr>
        <w:t xml:space="preserve"> to assume the defense thereof</w:t>
      </w:r>
      <w:r>
        <w:rPr>
          <w:rFonts w:ascii="Arial" w:cs="Arial" w:eastAsia="Arial" w:hAnsi="Arial"/>
          <w:sz w:val="16"/>
          <w:szCs w:val="16"/>
          <w:color w:val="3F3F3D"/>
        </w:rPr>
        <w:t>,</w:t>
      </w:r>
      <w:r>
        <w:rPr>
          <w:rFonts w:ascii="Arial" w:cs="Arial" w:eastAsia="Arial" w:hAnsi="Arial"/>
          <w:sz w:val="16"/>
          <w:szCs w:val="16"/>
          <w:color w:val="auto"/>
        </w:rPr>
        <w:t xml:space="preserve"> with counsel reasonably satisfactory to such indemnified party</w:t>
      </w:r>
      <w:r>
        <w:rPr>
          <w:rFonts w:ascii="Arial" w:cs="Arial" w:eastAsia="Arial" w:hAnsi="Arial"/>
          <w:sz w:val="16"/>
          <w:szCs w:val="16"/>
          <w:color w:val="2A2A2D"/>
        </w:rPr>
        <w:t>,</w:t>
      </w:r>
      <w:r>
        <w:rPr>
          <w:rFonts w:ascii="Arial" w:cs="Arial" w:eastAsia="Arial" w:hAnsi="Arial"/>
          <w:sz w:val="16"/>
          <w:szCs w:val="16"/>
          <w:color w:val="auto"/>
        </w:rPr>
        <w:t xml:space="preserve"> and after notice from the indemnifying party to such indemnified party of its election so to assume the defense thereof and acknowledging the obligations of the indemnifying party with respect to such proceeding</w:t>
      </w:r>
      <w:r>
        <w:rPr>
          <w:rFonts w:ascii="Arial" w:cs="Arial" w:eastAsia="Arial" w:hAnsi="Arial"/>
          <w:sz w:val="16"/>
          <w:szCs w:val="16"/>
          <w:color w:val="2A2A2D"/>
        </w:rPr>
        <w:t>,</w:t>
      </w:r>
      <w:r>
        <w:rPr>
          <w:rFonts w:ascii="Arial" w:cs="Arial" w:eastAsia="Arial" w:hAnsi="Arial"/>
          <w:sz w:val="16"/>
          <w:szCs w:val="16"/>
          <w:color w:val="auto"/>
        </w:rPr>
        <w:t xml:space="preserve"> the indemnifying party will not (so long as it shall continue to have the right to defend</w:t>
      </w:r>
      <w:r>
        <w:rPr>
          <w:rFonts w:ascii="Arial" w:cs="Arial" w:eastAsia="Arial" w:hAnsi="Arial"/>
          <w:sz w:val="16"/>
          <w:szCs w:val="16"/>
          <w:color w:val="2A2A2D"/>
        </w:rPr>
        <w:t>,</w:t>
      </w:r>
      <w:r>
        <w:rPr>
          <w:rFonts w:ascii="Arial" w:cs="Arial" w:eastAsia="Arial" w:hAnsi="Arial"/>
          <w:sz w:val="16"/>
          <w:szCs w:val="16"/>
          <w:color w:val="auto"/>
        </w:rPr>
        <w:t xml:space="preserve"> contest</w:t>
      </w:r>
      <w:r>
        <w:rPr>
          <w:rFonts w:ascii="Arial" w:cs="Arial" w:eastAsia="Arial" w:hAnsi="Arial"/>
          <w:sz w:val="16"/>
          <w:szCs w:val="16"/>
          <w:color w:val="2A2A2D"/>
        </w:rPr>
        <w:t>,</w:t>
      </w:r>
      <w:r>
        <w:rPr>
          <w:rFonts w:ascii="Arial" w:cs="Arial" w:eastAsia="Arial" w:hAnsi="Arial"/>
          <w:sz w:val="16"/>
          <w:szCs w:val="16"/>
          <w:color w:val="auto"/>
        </w:rPr>
        <w:t xml:space="preserve">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w:t>
      </w:r>
      <w:r>
        <w:rPr>
          <w:rFonts w:ascii="Arial" w:cs="Arial" w:eastAsia="Arial" w:hAnsi="Arial"/>
          <w:sz w:val="16"/>
          <w:szCs w:val="16"/>
          <w:color w:val="2A2A2D"/>
        </w:rPr>
        <w:t>,</w:t>
      </w:r>
      <w:r>
        <w:rPr>
          <w:rFonts w:ascii="Arial" w:cs="Arial" w:eastAsia="Arial" w:hAnsi="Arial"/>
          <w:sz w:val="16"/>
          <w:szCs w:val="16"/>
          <w:color w:val="auto"/>
        </w:rPr>
        <w:t xml:space="preserve"> supervision and monitoring (unless (i) such indemnified party reasonably objects to such assumption on the grounds that there may be defenses available to it wh</w:t>
      </w:r>
      <w:r>
        <w:rPr>
          <w:rFonts w:ascii="Arial" w:cs="Arial" w:eastAsia="Arial" w:hAnsi="Arial"/>
          <w:sz w:val="16"/>
          <w:szCs w:val="16"/>
          <w:color w:val="2A2A2D"/>
        </w:rPr>
        <w:t>i</w:t>
      </w:r>
      <w:r>
        <w:rPr>
          <w:rFonts w:ascii="Arial" w:cs="Arial" w:eastAsia="Arial" w:hAnsi="Arial"/>
          <w:sz w:val="16"/>
          <w:szCs w:val="16"/>
          <w:color w:val="auto"/>
        </w:rPr>
        <w:t>ch are different from or in addition to the defenses available to such indemnifying party or a conflict of interest otherwise exists or (ii) the indemnifying party shall have failed within a reasonable period of time to assume such defense and the indemnified party is or would reasonably be expected to be materially prejudiced by such delay</w:t>
      </w:r>
      <w:r>
        <w:rPr>
          <w:rFonts w:ascii="Arial" w:cs="Arial" w:eastAsia="Arial" w:hAnsi="Arial"/>
          <w:sz w:val="16"/>
          <w:szCs w:val="16"/>
          <w:color w:val="2A2A2D"/>
        </w:rPr>
        <w:t>,</w:t>
      </w:r>
      <w:r>
        <w:rPr>
          <w:rFonts w:ascii="Arial" w:cs="Arial" w:eastAsia="Arial" w:hAnsi="Arial"/>
          <w:sz w:val="16"/>
          <w:szCs w:val="16"/>
          <w:color w:val="auto"/>
        </w:rPr>
        <w:t xml:space="preserve"> in either which event the indemnified party shall be promptly reimbursed by the indemnifying party for the expenses incurred in connection with retaining one separate legal counsel (for the avoidance of doubt</w:t>
      </w:r>
      <w:r>
        <w:rPr>
          <w:rFonts w:ascii="Arial" w:cs="Arial" w:eastAsia="Arial" w:hAnsi="Arial"/>
          <w:sz w:val="16"/>
          <w:szCs w:val="16"/>
          <w:color w:val="2A2A2D"/>
        </w:rPr>
        <w:t>,</w:t>
      </w:r>
      <w:r>
        <w:rPr>
          <w:rFonts w:ascii="Arial" w:cs="Arial" w:eastAsia="Arial" w:hAnsi="Arial"/>
          <w:sz w:val="16"/>
          <w:szCs w:val="16"/>
          <w:color w:val="auto"/>
        </w:rPr>
        <w:t xml:space="preserve"> for all indemnified parties in connection therewith)). For the avoidance of doubt</w:t>
      </w:r>
      <w:r>
        <w:rPr>
          <w:rFonts w:ascii="Arial" w:cs="Arial" w:eastAsia="Arial" w:hAnsi="Arial"/>
          <w:sz w:val="16"/>
          <w:szCs w:val="16"/>
          <w:color w:val="2A2A2D"/>
        </w:rPr>
        <w:t>,</w:t>
      </w:r>
      <w:r>
        <w:rPr>
          <w:rFonts w:ascii="Arial" w:cs="Arial" w:eastAsia="Arial" w:hAnsi="Arial"/>
          <w:sz w:val="16"/>
          <w:szCs w:val="16"/>
          <w:color w:val="auto"/>
        </w:rPr>
        <w:t xml:space="preserve"> notwithstanding any such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00" w:top="1152" w:right="359" w:bottom="1440" w:gutter="0" w:footer="0" w:header="0"/>
        </w:sectPr>
      </w:pPr>
    </w:p>
    <w:bookmarkStart w:id="168" w:name="page169"/>
    <w:bookmarkEnd w:id="168"/>
    <w:p>
      <w:pPr>
        <w:spacing w:after="0" w:line="268" w:lineRule="auto"/>
        <w:rPr>
          <w:sz w:val="20"/>
          <w:szCs w:val="20"/>
          <w:color w:val="auto"/>
        </w:rPr>
      </w:pPr>
      <w:r>
        <w:rPr>
          <w:rFonts w:ascii="Arial" w:cs="Arial" w:eastAsia="Arial" w:hAnsi="Arial"/>
          <w:sz w:val="16"/>
          <w:szCs w:val="16"/>
          <w:color w:val="auto"/>
        </w:rPr>
        <w:t>assumption by an indemnifying party</w:t>
      </w:r>
      <w:r>
        <w:rPr>
          <w:rFonts w:ascii="Arial" w:cs="Arial" w:eastAsia="Arial" w:hAnsi="Arial"/>
          <w:sz w:val="16"/>
          <w:szCs w:val="16"/>
          <w:color w:val="2A2A2D"/>
        </w:rPr>
        <w:t>,</w:t>
      </w:r>
      <w:r>
        <w:rPr>
          <w:rFonts w:ascii="Arial" w:cs="Arial" w:eastAsia="Arial" w:hAnsi="Arial"/>
          <w:sz w:val="16"/>
          <w:szCs w:val="16"/>
          <w:color w:val="auto"/>
        </w:rPr>
        <w:t xml:space="preserve"> the indemnified party shall have the right to employ separate counsel in any such matter and participate in the defense thereof</w:t>
      </w:r>
      <w:r>
        <w:rPr>
          <w:rFonts w:ascii="Arial" w:cs="Arial" w:eastAsia="Arial" w:hAnsi="Arial"/>
          <w:sz w:val="16"/>
          <w:szCs w:val="16"/>
          <w:color w:val="2A2A2D"/>
        </w:rPr>
        <w:t>,</w:t>
      </w:r>
      <w:r>
        <w:rPr>
          <w:rFonts w:ascii="Arial" w:cs="Arial" w:eastAsia="Arial" w:hAnsi="Arial"/>
          <w:sz w:val="16"/>
          <w:szCs w:val="16"/>
          <w:color w:val="auto"/>
        </w:rPr>
        <w:t xml:space="preserve"> but the fees and expenses of such counsel shall be at the expense of such indemnified party except as provided in the previous sentence. An indemnifying party shall not be liable for any settlement of an action or claim effected without its consent (which consent shall </w:t>
      </w:r>
      <w:r>
        <w:rPr>
          <w:rFonts w:ascii="Arial" w:cs="Arial" w:eastAsia="Arial" w:hAnsi="Arial"/>
          <w:sz w:val="16"/>
          <w:szCs w:val="16"/>
          <w:color w:val="110E13"/>
        </w:rPr>
        <w:t>not be unreasonably withheld</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E13"/>
        </w:rPr>
        <w:t>conditioned or delayed). No</w:t>
      </w:r>
      <w:r>
        <w:rPr>
          <w:rFonts w:ascii="Arial" w:cs="Arial" w:eastAsia="Arial" w:hAnsi="Arial"/>
          <w:sz w:val="16"/>
          <w:szCs w:val="16"/>
          <w:color w:val="auto"/>
        </w:rPr>
        <w:t xml:space="preserve"> </w:t>
      </w:r>
      <w:r>
        <w:rPr>
          <w:rFonts w:ascii="Arial" w:cs="Arial" w:eastAsia="Arial" w:hAnsi="Arial"/>
          <w:sz w:val="16"/>
          <w:szCs w:val="16"/>
          <w:color w:val="110E13"/>
        </w:rPr>
        <w:t>matter shall be settled by an indemnifying party without the consent of the indemnified party (which consent shall not be unreasonably withheld</w:t>
      </w:r>
      <w:r>
        <w:rPr>
          <w:rFonts w:ascii="Arial" w:cs="Arial" w:eastAsia="Arial" w:hAnsi="Arial"/>
          <w:sz w:val="16"/>
          <w:szCs w:val="16"/>
          <w:color w:val="2A2A2D"/>
        </w:rPr>
        <w:t>,</w:t>
      </w:r>
      <w:r>
        <w:rPr>
          <w:rFonts w:ascii="Arial" w:cs="Arial" w:eastAsia="Arial" w:hAnsi="Arial"/>
          <w:sz w:val="16"/>
          <w:szCs w:val="16"/>
          <w:color w:val="110E13"/>
        </w:rPr>
        <w:t xml:space="preserve"> conditioned or delayed)</w:t>
      </w:r>
      <w:r>
        <w:rPr>
          <w:rFonts w:ascii="Arial" w:cs="Arial" w:eastAsia="Arial" w:hAnsi="Arial"/>
          <w:sz w:val="16"/>
          <w:szCs w:val="16"/>
          <w:color w:val="2A2A2D"/>
        </w:rPr>
        <w:t>,</w:t>
      </w:r>
      <w:r>
        <w:rPr>
          <w:rFonts w:ascii="Arial" w:cs="Arial" w:eastAsia="Arial" w:hAnsi="Arial"/>
          <w:sz w:val="16"/>
          <w:szCs w:val="16"/>
          <w:color w:val="110E13"/>
        </w:rPr>
        <w:t xml:space="preserve"> unless such settlement (x) includes an unconditional release of such indemnified party from all liability on claims that are the subject matter of such claim or proceeding</w:t>
      </w:r>
      <w:r>
        <w:rPr>
          <w:rFonts w:ascii="Arial" w:cs="Arial" w:eastAsia="Arial" w:hAnsi="Arial"/>
          <w:sz w:val="16"/>
          <w:szCs w:val="16"/>
          <w:color w:val="2A2A2D"/>
        </w:rPr>
        <w:t>,</w:t>
      </w:r>
      <w:r>
        <w:rPr>
          <w:rFonts w:ascii="Arial" w:cs="Arial" w:eastAsia="Arial" w:hAnsi="Arial"/>
          <w:sz w:val="16"/>
          <w:szCs w:val="16"/>
          <w:color w:val="110E13"/>
        </w:rPr>
        <w:t xml:space="preserve"> (y) does not include any statement as to or any admission of fault</w:t>
      </w:r>
      <w:r>
        <w:rPr>
          <w:rFonts w:ascii="Arial" w:cs="Arial" w:eastAsia="Arial" w:hAnsi="Arial"/>
          <w:sz w:val="16"/>
          <w:szCs w:val="16"/>
          <w:color w:val="2A2A2D"/>
        </w:rPr>
        <w:t>,</w:t>
      </w:r>
      <w:r>
        <w:rPr>
          <w:rFonts w:ascii="Arial" w:cs="Arial" w:eastAsia="Arial" w:hAnsi="Arial"/>
          <w:sz w:val="16"/>
          <w:szCs w:val="16"/>
          <w:color w:val="110E13"/>
        </w:rPr>
        <w:t xml:space="preserve"> culpability or a failure to act by or on behalf of any indemnified party and (z) is settled solely for cash for which the indemnified party would be entitled to indemnification hereunder. The failure of an indemnified party to give notice to an indemnifying party of any action brought against such indemnified party shall not relieve the indemnifying party of its obligations or liabilities pursuant to this Agreement</w:t>
      </w:r>
      <w:r>
        <w:rPr>
          <w:rFonts w:ascii="Arial" w:cs="Arial" w:eastAsia="Arial" w:hAnsi="Arial"/>
          <w:sz w:val="16"/>
          <w:szCs w:val="16"/>
          <w:color w:val="2A2A2D"/>
        </w:rPr>
        <w:t>,</w:t>
      </w:r>
      <w:r>
        <w:rPr>
          <w:rFonts w:ascii="Arial" w:cs="Arial" w:eastAsia="Arial" w:hAnsi="Arial"/>
          <w:sz w:val="16"/>
          <w:szCs w:val="16"/>
          <w:color w:val="110E13"/>
        </w:rPr>
        <w:t xml:space="preserve"> except to the extent such failure adversely prejudices the indemnifying party.</w:t>
      </w:r>
    </w:p>
    <w:p>
      <w:pPr>
        <w:spacing w:after="0" w:line="135" w:lineRule="exact"/>
        <w:rPr>
          <w:sz w:val="20"/>
          <w:szCs w:val="20"/>
          <w:color w:val="auto"/>
        </w:rPr>
      </w:pPr>
    </w:p>
    <w:p>
      <w:pPr>
        <w:ind w:left="1020" w:hanging="506"/>
        <w:spacing w:after="0"/>
        <w:tabs>
          <w:tab w:leader="none" w:pos="10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indemnification provided for under this Agreement shall survive the sale or other transfer of the Registrable Securities and the termination of this</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Agreement.</w:t>
      </w:r>
    </w:p>
    <w:p>
      <w:pPr>
        <w:spacing w:after="0" w:line="162" w:lineRule="exact"/>
        <w:rPr>
          <w:rFonts w:ascii="Arial" w:cs="Arial" w:eastAsia="Arial" w:hAnsi="Arial"/>
          <w:sz w:val="15"/>
          <w:szCs w:val="15"/>
          <w:color w:val="auto"/>
        </w:rPr>
      </w:pPr>
    </w:p>
    <w:p>
      <w:pPr>
        <w:ind w:firstLine="514"/>
        <w:spacing w:after="0" w:line="285" w:lineRule="auto"/>
        <w:tabs>
          <w:tab w:leader="none" w:pos="101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If recovery is not available under the foregoing indemnification provisions for any reason or reasons other than as specified therein</w:t>
      </w:r>
      <w:r>
        <w:rPr>
          <w:rFonts w:ascii="Arial" w:cs="Arial" w:eastAsia="Arial" w:hAnsi="Arial"/>
          <w:sz w:val="15"/>
          <w:szCs w:val="15"/>
          <w:color w:val="2A2A2D"/>
        </w:rPr>
        <w:t>,</w:t>
      </w:r>
      <w:r>
        <w:rPr>
          <w:rFonts w:ascii="Arial" w:cs="Arial" w:eastAsia="Arial" w:hAnsi="Arial"/>
          <w:sz w:val="15"/>
          <w:szCs w:val="15"/>
          <w:color w:val="auto"/>
        </w:rPr>
        <w:t xml:space="preserve"> any Person who would otherwise be entitled to indemnification by the terms thereof shall nevertheless be entitled to contribution with respect to any Losses with respect to which such Person would be entitled to such indemnification but for such reason or reasons</w:t>
      </w:r>
      <w:r>
        <w:rPr>
          <w:rFonts w:ascii="Arial" w:cs="Arial" w:eastAsia="Arial" w:hAnsi="Arial"/>
          <w:sz w:val="15"/>
          <w:szCs w:val="15"/>
          <w:color w:val="2A2A2D"/>
        </w:rPr>
        <w:t>,</w:t>
      </w:r>
      <w:r>
        <w:rPr>
          <w:rFonts w:ascii="Arial" w:cs="Arial" w:eastAsia="Arial" w:hAnsi="Arial"/>
          <w:sz w:val="15"/>
          <w:szCs w:val="15"/>
          <w:color w:val="auto"/>
        </w:rPr>
        <w:t xml:space="preserve"> in such proportion as is appropriate to reflect the relative fault of the indemnifying party</w:t>
      </w:r>
      <w:r>
        <w:rPr>
          <w:rFonts w:ascii="Arial" w:cs="Arial" w:eastAsia="Arial" w:hAnsi="Arial"/>
          <w:sz w:val="15"/>
          <w:szCs w:val="15"/>
          <w:color w:val="2A2A2D"/>
        </w:rPr>
        <w:t>,</w:t>
      </w:r>
      <w:r>
        <w:rPr>
          <w:rFonts w:ascii="Arial" w:cs="Arial" w:eastAsia="Arial" w:hAnsi="Arial"/>
          <w:sz w:val="15"/>
          <w:szCs w:val="15"/>
          <w:color w:val="auto"/>
        </w:rPr>
        <w:t xml:space="preserve"> on the one hand</w:t>
      </w:r>
      <w:r>
        <w:rPr>
          <w:rFonts w:ascii="Arial" w:cs="Arial" w:eastAsia="Arial" w:hAnsi="Arial"/>
          <w:sz w:val="15"/>
          <w:szCs w:val="15"/>
          <w:color w:val="2A2A2D"/>
        </w:rPr>
        <w:t>,</w:t>
      </w:r>
      <w:r>
        <w:rPr>
          <w:rFonts w:ascii="Arial" w:cs="Arial" w:eastAsia="Arial" w:hAnsi="Arial"/>
          <w:sz w:val="15"/>
          <w:szCs w:val="15"/>
          <w:color w:val="auto"/>
        </w:rPr>
        <w:t xml:space="preserve"> and </w:t>
      </w:r>
      <w:r>
        <w:rPr>
          <w:rFonts w:ascii="Arial" w:cs="Arial" w:eastAsia="Arial" w:hAnsi="Arial"/>
          <w:sz w:val="15"/>
          <w:szCs w:val="15"/>
          <w:color w:val="110E13"/>
        </w:rPr>
        <w:t>such indemnified party, on the other hand</w:t>
      </w:r>
      <w:r>
        <w:rPr>
          <w:rFonts w:ascii="Arial" w:cs="Arial" w:eastAsia="Arial" w:hAnsi="Arial"/>
          <w:sz w:val="15"/>
          <w:szCs w:val="15"/>
          <w:color w:val="2A2A2D"/>
        </w:rPr>
        <w:t>,</w:t>
      </w:r>
      <w:r>
        <w:rPr>
          <w:rFonts w:ascii="Arial" w:cs="Arial" w:eastAsia="Arial" w:hAnsi="Arial"/>
          <w:sz w:val="15"/>
          <w:szCs w:val="15"/>
          <w:color w:val="auto"/>
        </w:rPr>
        <w:t xml:space="preserve"> </w:t>
      </w:r>
      <w:r>
        <w:rPr>
          <w:rFonts w:ascii="Arial" w:cs="Arial" w:eastAsia="Arial" w:hAnsi="Arial"/>
          <w:sz w:val="15"/>
          <w:szCs w:val="15"/>
          <w:color w:val="110E13"/>
        </w:rPr>
        <w:t>in connection with the actions</w:t>
      </w:r>
      <w:r>
        <w:rPr>
          <w:rFonts w:ascii="Arial" w:cs="Arial" w:eastAsia="Arial" w:hAnsi="Arial"/>
          <w:sz w:val="15"/>
          <w:szCs w:val="15"/>
          <w:color w:val="2A2A2D"/>
        </w:rPr>
        <w:t>,</w:t>
      </w:r>
      <w:r>
        <w:rPr>
          <w:rFonts w:ascii="Arial" w:cs="Arial" w:eastAsia="Arial" w:hAnsi="Arial"/>
          <w:sz w:val="15"/>
          <w:szCs w:val="15"/>
          <w:color w:val="auto"/>
        </w:rPr>
        <w:t xml:space="preserve"> </w:t>
      </w:r>
      <w:r>
        <w:rPr>
          <w:rFonts w:ascii="Arial" w:cs="Arial" w:eastAsia="Arial" w:hAnsi="Arial"/>
          <w:sz w:val="15"/>
          <w:szCs w:val="15"/>
          <w:color w:val="110E13"/>
        </w:rPr>
        <w:t>statements or omissions that resulted in such</w:t>
      </w:r>
      <w:r>
        <w:rPr>
          <w:rFonts w:ascii="Arial" w:cs="Arial" w:eastAsia="Arial" w:hAnsi="Arial"/>
          <w:sz w:val="15"/>
          <w:szCs w:val="15"/>
          <w:color w:val="auto"/>
        </w:rPr>
        <w:t xml:space="preserve"> </w:t>
      </w:r>
      <w:r>
        <w:rPr>
          <w:rFonts w:ascii="Arial" w:cs="Arial" w:eastAsia="Arial" w:hAnsi="Arial"/>
          <w:sz w:val="15"/>
          <w:szCs w:val="15"/>
          <w:color w:val="110E13"/>
        </w:rPr>
        <w:t>Losses as well as any other relevant equitable considerations. The relative fault of the indemnifying party and of the indemnified party shall be determined by reference to</w:t>
      </w:r>
      <w:r>
        <w:rPr>
          <w:rFonts w:ascii="Arial" w:cs="Arial" w:eastAsia="Arial" w:hAnsi="Arial"/>
          <w:sz w:val="15"/>
          <w:szCs w:val="15"/>
          <w:color w:val="2A2A2D"/>
        </w:rPr>
        <w:t>,</w:t>
      </w:r>
      <w:r>
        <w:rPr>
          <w:rFonts w:ascii="Arial" w:cs="Arial" w:eastAsia="Arial" w:hAnsi="Arial"/>
          <w:sz w:val="15"/>
          <w:szCs w:val="15"/>
          <w:color w:val="110E13"/>
        </w:rPr>
        <w:t xml:space="preserve"> among other things</w:t>
      </w:r>
      <w:r>
        <w:rPr>
          <w:rFonts w:ascii="Arial" w:cs="Arial" w:eastAsia="Arial" w:hAnsi="Arial"/>
          <w:sz w:val="15"/>
          <w:szCs w:val="15"/>
          <w:color w:val="2A2A2D"/>
        </w:rPr>
        <w:t>,</w:t>
      </w:r>
      <w:r>
        <w:rPr>
          <w:rFonts w:ascii="Arial" w:cs="Arial" w:eastAsia="Arial" w:hAnsi="Arial"/>
          <w:sz w:val="15"/>
          <w:szCs w:val="15"/>
          <w:color w:val="110E13"/>
        </w:rPr>
        <w:t xml:space="preserve"> whether the untrue or alleged untrue statement of a material fact or the omission to state a material fact relates to information supplied by the indemnifying party or by the indemnified party</w:t>
      </w:r>
      <w:r>
        <w:rPr>
          <w:rFonts w:ascii="Arial" w:cs="Arial" w:eastAsia="Arial" w:hAnsi="Arial"/>
          <w:sz w:val="15"/>
          <w:szCs w:val="15"/>
          <w:color w:val="2A2A2D"/>
        </w:rPr>
        <w:t>,</w:t>
      </w:r>
      <w:r>
        <w:rPr>
          <w:rFonts w:ascii="Arial" w:cs="Arial" w:eastAsia="Arial" w:hAnsi="Arial"/>
          <w:sz w:val="15"/>
          <w:szCs w:val="15"/>
          <w:color w:val="110E13"/>
        </w:rPr>
        <w:t xml:space="preserve"> the Persons’ relative knowledge and access to information concerning the matter with respect to which the claim was asserted</w:t>
      </w:r>
      <w:r>
        <w:rPr>
          <w:rFonts w:ascii="Arial" w:cs="Arial" w:eastAsia="Arial" w:hAnsi="Arial"/>
          <w:sz w:val="15"/>
          <w:szCs w:val="15"/>
          <w:color w:val="2A2A2D"/>
        </w:rPr>
        <w:t>,</w:t>
      </w:r>
      <w:r>
        <w:rPr>
          <w:rFonts w:ascii="Arial" w:cs="Arial" w:eastAsia="Arial" w:hAnsi="Arial"/>
          <w:sz w:val="15"/>
          <w:szCs w:val="15"/>
          <w:color w:val="110E13"/>
        </w:rPr>
        <w:t xml:space="preserve"> the opportunity to correct and prevent any statement or omission</w:t>
      </w:r>
      <w:r>
        <w:rPr>
          <w:rFonts w:ascii="Arial" w:cs="Arial" w:eastAsia="Arial" w:hAnsi="Arial"/>
          <w:sz w:val="15"/>
          <w:szCs w:val="15"/>
          <w:color w:val="2A2A2D"/>
        </w:rPr>
        <w:t>,</w:t>
      </w:r>
      <w:r>
        <w:rPr>
          <w:rFonts w:ascii="Arial" w:cs="Arial" w:eastAsia="Arial" w:hAnsi="Arial"/>
          <w:sz w:val="15"/>
          <w:szCs w:val="15"/>
          <w:color w:val="110E13"/>
        </w:rPr>
        <w:t xml:space="preserve"> and other equitable considerations appropriate under the circumstances. It is hereby agreed that it would not necessarily be equitable if the amount of such contribution were determined by </w:t>
      </w:r>
      <w:r>
        <w:rPr>
          <w:rFonts w:ascii="Arial" w:cs="Arial" w:eastAsia="Arial" w:hAnsi="Arial"/>
          <w:sz w:val="15"/>
          <w:szCs w:val="15"/>
          <w:i w:val="1"/>
          <w:iCs w:val="1"/>
          <w:color w:val="110E13"/>
        </w:rPr>
        <w:t>pro rata</w:t>
      </w:r>
      <w:r>
        <w:rPr>
          <w:rFonts w:ascii="Arial" w:cs="Arial" w:eastAsia="Arial" w:hAnsi="Arial"/>
          <w:sz w:val="15"/>
          <w:szCs w:val="15"/>
          <w:color w:val="110E13"/>
        </w:rPr>
        <w:t xml:space="preserve"> or per capita allocation that does not take into account the equitable considerations referred to in the immediately preceding sentence. Notwithstanding any other provision of this Agreement</w:t>
      </w:r>
      <w:r>
        <w:rPr>
          <w:rFonts w:ascii="Arial" w:cs="Arial" w:eastAsia="Arial" w:hAnsi="Arial"/>
          <w:sz w:val="15"/>
          <w:szCs w:val="15"/>
          <w:color w:val="2A2A2D"/>
        </w:rPr>
        <w:t>,</w:t>
      </w:r>
      <w:r>
        <w:rPr>
          <w:rFonts w:ascii="Arial" w:cs="Arial" w:eastAsia="Arial" w:hAnsi="Arial"/>
          <w:sz w:val="15"/>
          <w:szCs w:val="15"/>
          <w:color w:val="110E13"/>
        </w:rPr>
        <w:t xml:space="preserve"> no holder of Registrable Securities shall be required to contribute</w:t>
      </w:r>
      <w:r>
        <w:rPr>
          <w:rFonts w:ascii="Arial" w:cs="Arial" w:eastAsia="Arial" w:hAnsi="Arial"/>
          <w:sz w:val="15"/>
          <w:szCs w:val="15"/>
          <w:color w:val="2A2A2D"/>
        </w:rPr>
        <w:t>,</w:t>
      </w:r>
      <w:r>
        <w:rPr>
          <w:rFonts w:ascii="Arial" w:cs="Arial" w:eastAsia="Arial" w:hAnsi="Arial"/>
          <w:sz w:val="15"/>
          <w:szCs w:val="15"/>
          <w:color w:val="110E13"/>
        </w:rPr>
        <w:t xml:space="preserve"> in the aggregate</w:t>
      </w:r>
      <w:r>
        <w:rPr>
          <w:rFonts w:ascii="Arial" w:cs="Arial" w:eastAsia="Arial" w:hAnsi="Arial"/>
          <w:sz w:val="15"/>
          <w:szCs w:val="15"/>
          <w:color w:val="2A2A2D"/>
        </w:rPr>
        <w:t>,</w:t>
      </w:r>
      <w:r>
        <w:rPr>
          <w:rFonts w:ascii="Arial" w:cs="Arial" w:eastAsia="Arial" w:hAnsi="Arial"/>
          <w:sz w:val="15"/>
          <w:szCs w:val="15"/>
          <w:color w:val="110E13"/>
        </w:rPr>
        <w:t xml:space="preserve"> any amount in excess of its net proceeds from the sale of the Registrable Securities subject to any actions or proceedings over the amount of any damages</w:t>
      </w:r>
      <w:r>
        <w:rPr>
          <w:rFonts w:ascii="Arial" w:cs="Arial" w:eastAsia="Arial" w:hAnsi="Arial"/>
          <w:sz w:val="15"/>
          <w:szCs w:val="15"/>
          <w:color w:val="2A2A2D"/>
        </w:rPr>
        <w:t>,</w:t>
      </w:r>
      <w:r>
        <w:rPr>
          <w:rFonts w:ascii="Arial" w:cs="Arial" w:eastAsia="Arial" w:hAnsi="Arial"/>
          <w:sz w:val="15"/>
          <w:szCs w:val="15"/>
          <w:color w:val="110E13"/>
        </w:rPr>
        <w:t xml:space="preserve"> indemnity or contribution that such holder has otherwise been required to pay by reason of such untrue or alleged untrue statement or omission or alleged omission. No Person guilty of fraudulent misrepresentation (within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00"/>
          </w:cols>
          <w:pgMar w:left="300" w:top="1152" w:right="399" w:bottom="1440" w:gutter="0" w:footer="0" w:header="0"/>
        </w:sectPr>
      </w:pPr>
    </w:p>
    <w:bookmarkStart w:id="169" w:name="page170"/>
    <w:bookmarkEnd w:id="169"/>
    <w:p>
      <w:pPr>
        <w:spacing w:after="0"/>
        <w:rPr>
          <w:sz w:val="20"/>
          <w:szCs w:val="20"/>
          <w:color w:val="auto"/>
        </w:rPr>
      </w:pPr>
      <w:r>
        <w:rPr>
          <w:rFonts w:ascii="Arial" w:cs="Arial" w:eastAsia="Arial" w:hAnsi="Arial"/>
          <w:sz w:val="15"/>
          <w:szCs w:val="15"/>
          <w:color w:val="110E13"/>
        </w:rPr>
        <w:t>the meaning of Section 11(f) of the Securities Act) shall be entitled to contribution from any Person who was not found guilty of such fraudulent misrepresentation.</w:t>
      </w:r>
    </w:p>
    <w:p>
      <w:pPr>
        <w:spacing w:after="0" w:line="199" w:lineRule="exact"/>
        <w:rPr>
          <w:sz w:val="20"/>
          <w:szCs w:val="20"/>
          <w:color w:val="auto"/>
        </w:rPr>
      </w:pPr>
    </w:p>
    <w:p>
      <w:pPr>
        <w:ind w:right="20" w:firstLine="514"/>
        <w:spacing w:after="0" w:line="271" w:lineRule="auto"/>
        <w:tabs>
          <w:tab w:leader="none" w:pos="10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indemnification and contribution agreements contained in this Section </w:t>
      </w:r>
      <w:r>
        <w:rPr>
          <w:rFonts w:ascii="Arial" w:cs="Arial" w:eastAsia="Arial" w:hAnsi="Arial"/>
          <w:sz w:val="17"/>
          <w:szCs w:val="17"/>
          <w:color w:val="110E13"/>
        </w:rPr>
        <w:t>5.05 are in addition to any liability that the indemnifying party may have to</w:t>
      </w:r>
      <w:r>
        <w:rPr>
          <w:rFonts w:ascii="Arial" w:cs="Arial" w:eastAsia="Arial" w:hAnsi="Arial"/>
          <w:sz w:val="17"/>
          <w:szCs w:val="17"/>
          <w:color w:val="auto"/>
        </w:rPr>
        <w:t xml:space="preserve"> </w:t>
      </w:r>
      <w:r>
        <w:rPr>
          <w:rFonts w:ascii="Arial" w:cs="Arial" w:eastAsia="Arial" w:hAnsi="Arial"/>
          <w:sz w:val="17"/>
          <w:szCs w:val="17"/>
          <w:color w:val="110E13"/>
        </w:rPr>
        <w:t>the indemnified party and do not limit other provisions of this Agreement that provide for indemnification.</w:t>
      </w:r>
    </w:p>
    <w:p>
      <w:pPr>
        <w:spacing w:after="0" w:line="131" w:lineRule="exact"/>
        <w:rPr>
          <w:sz w:val="20"/>
          <w:szCs w:val="20"/>
          <w:color w:val="auto"/>
        </w:rPr>
      </w:pPr>
    </w:p>
    <w:p>
      <w:pPr>
        <w:ind w:firstLine="509"/>
        <w:spacing w:after="0" w:line="290"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i w:val="1"/>
          <w:iCs w:val="1"/>
          <w:color w:val="auto"/>
        </w:rPr>
        <w:t>Facilitation of Sales Pursuant to Rule 144.</w:t>
      </w:r>
      <w:r>
        <w:rPr>
          <w:rFonts w:ascii="Arial" w:cs="Arial" w:eastAsia="Arial" w:hAnsi="Arial"/>
          <w:sz w:val="15"/>
          <w:szCs w:val="15"/>
          <w:color w:val="auto"/>
        </w:rPr>
        <w:t xml:space="preserve"> For as long as the Purchaser or its Affiliates Beneficially Owns Notes or any Company Common Stock</w:t>
      </w:r>
      <w:r>
        <w:rPr>
          <w:rFonts w:ascii="Arial" w:cs="Arial" w:eastAsia="Arial" w:hAnsi="Arial"/>
          <w:sz w:val="15"/>
          <w:szCs w:val="15"/>
          <w:color w:val="28282A"/>
        </w:rPr>
        <w:t>,</w:t>
      </w:r>
      <w:r>
        <w:rPr>
          <w:rFonts w:ascii="Arial" w:cs="Arial" w:eastAsia="Arial" w:hAnsi="Arial"/>
          <w:sz w:val="15"/>
          <w:szCs w:val="15"/>
          <w:color w:val="auto"/>
        </w:rPr>
        <w:t xml:space="preserve"> including any shares of Company Common Stock issued or issuable upon conversion of the Notes</w:t>
      </w:r>
      <w:r>
        <w:rPr>
          <w:rFonts w:ascii="Arial" w:cs="Arial" w:eastAsia="Arial" w:hAnsi="Arial"/>
          <w:sz w:val="15"/>
          <w:szCs w:val="15"/>
          <w:color w:val="28282A"/>
        </w:rPr>
        <w:t>,</w:t>
      </w:r>
      <w:r>
        <w:rPr>
          <w:rFonts w:ascii="Arial" w:cs="Arial" w:eastAsia="Arial" w:hAnsi="Arial"/>
          <w:sz w:val="15"/>
          <w:szCs w:val="15"/>
          <w:color w:val="auto"/>
        </w:rPr>
        <w:t xml:space="preserve"> to the extent it shall be required to do so under the Exchange Act</w:t>
      </w:r>
      <w:r>
        <w:rPr>
          <w:rFonts w:ascii="Arial" w:cs="Arial" w:eastAsia="Arial" w:hAnsi="Arial"/>
          <w:sz w:val="15"/>
          <w:szCs w:val="15"/>
          <w:color w:val="28282A"/>
        </w:rPr>
        <w:t>,</w:t>
      </w:r>
      <w:r>
        <w:rPr>
          <w:rFonts w:ascii="Arial" w:cs="Arial" w:eastAsia="Arial" w:hAnsi="Arial"/>
          <w:sz w:val="15"/>
          <w:szCs w:val="15"/>
          <w:color w:val="auto"/>
        </w:rPr>
        <w:t xml:space="preserve"> the Company shall use reasonable efforts to timely file the reports required to be filed by it under the Exchange Act or the Securities Act (including the reports under Sections 13 and 15(d) of the Exchange Act referred to in subparagraph (c)(l) of Rule 144) and submit all required Interactive Data Files (as defined in Rule 11 of Regulation S-T of the SEC)</w:t>
      </w:r>
      <w:r>
        <w:rPr>
          <w:rFonts w:ascii="Arial" w:cs="Arial" w:eastAsia="Arial" w:hAnsi="Arial"/>
          <w:sz w:val="15"/>
          <w:szCs w:val="15"/>
          <w:color w:val="28282A"/>
        </w:rPr>
        <w:t>,</w:t>
      </w:r>
      <w:r>
        <w:rPr>
          <w:rFonts w:ascii="Arial" w:cs="Arial" w:eastAsia="Arial" w:hAnsi="Arial"/>
          <w:sz w:val="15"/>
          <w:szCs w:val="15"/>
          <w:color w:val="auto"/>
        </w:rPr>
        <w:t xml:space="preserve"> and shall use reasonable efforts to take such further necessary action as any holder of Subject Securities may reasonably request in </w:t>
      </w:r>
      <w:r>
        <w:rPr>
          <w:rFonts w:ascii="Arial" w:cs="Arial" w:eastAsia="Arial" w:hAnsi="Arial"/>
          <w:sz w:val="15"/>
          <w:szCs w:val="15"/>
          <w:color w:val="110F13"/>
        </w:rPr>
        <w:t>connection with the removal of any restrictive legend on the Subject Securities being sold</w:t>
      </w:r>
      <w:r>
        <w:rPr>
          <w:rFonts w:ascii="Arial" w:cs="Arial" w:eastAsia="Arial" w:hAnsi="Arial"/>
          <w:sz w:val="15"/>
          <w:szCs w:val="15"/>
          <w:color w:val="28282A"/>
        </w:rPr>
        <w:t>,</w:t>
      </w:r>
      <w:r>
        <w:rPr>
          <w:rFonts w:ascii="Arial" w:cs="Arial" w:eastAsia="Arial" w:hAnsi="Arial"/>
          <w:sz w:val="15"/>
          <w:szCs w:val="15"/>
          <w:color w:val="auto"/>
        </w:rPr>
        <w:t xml:space="preserve"> </w:t>
      </w:r>
      <w:r>
        <w:rPr>
          <w:rFonts w:ascii="Arial" w:cs="Arial" w:eastAsia="Arial" w:hAnsi="Arial"/>
          <w:sz w:val="15"/>
          <w:szCs w:val="15"/>
          <w:color w:val="110F13"/>
        </w:rPr>
        <w:t>all to the extent required from time to time to enable such holder</w:t>
      </w:r>
      <w:r>
        <w:rPr>
          <w:rFonts w:ascii="Arial" w:cs="Arial" w:eastAsia="Arial" w:hAnsi="Arial"/>
          <w:sz w:val="15"/>
          <w:szCs w:val="15"/>
          <w:color w:val="auto"/>
        </w:rPr>
        <w:t xml:space="preserve"> </w:t>
      </w:r>
      <w:r>
        <w:rPr>
          <w:rFonts w:ascii="Arial" w:cs="Arial" w:eastAsia="Arial" w:hAnsi="Arial"/>
          <w:sz w:val="15"/>
          <w:szCs w:val="15"/>
          <w:color w:val="110F13"/>
        </w:rPr>
        <w:t xml:space="preserve">to sell the Subject Securities without </w:t>
      </w:r>
      <w:r>
        <w:rPr>
          <w:rFonts w:ascii="Arial" w:cs="Arial" w:eastAsia="Arial" w:hAnsi="Arial"/>
          <w:sz w:val="15"/>
          <w:szCs w:val="15"/>
          <w:color w:val="000000"/>
        </w:rPr>
        <w:t>registration</w:t>
      </w:r>
      <w:r>
        <w:rPr>
          <w:rFonts w:ascii="Arial" w:cs="Arial" w:eastAsia="Arial" w:hAnsi="Arial"/>
          <w:sz w:val="15"/>
          <w:szCs w:val="15"/>
          <w:color w:val="110F13"/>
        </w:rPr>
        <w:t xml:space="preserve"> under the Securities Act within the limitations of the exemption provided by Rule 144.</w:t>
      </w:r>
    </w:p>
    <w:p>
      <w:pPr>
        <w:spacing w:after="0" w:line="133" w:lineRule="exact"/>
        <w:rPr>
          <w:sz w:val="20"/>
          <w:szCs w:val="20"/>
          <w:color w:val="auto"/>
        </w:rPr>
      </w:pPr>
    </w:p>
    <w:p>
      <w:pPr>
        <w:ind w:left="4640"/>
        <w:spacing w:after="0"/>
        <w:tabs>
          <w:tab w:leader="none" w:pos="5640" w:val="left"/>
        </w:tabs>
        <w:rPr>
          <w:sz w:val="20"/>
          <w:szCs w:val="20"/>
          <w:color w:val="auto"/>
        </w:rPr>
      </w:pPr>
      <w:r>
        <w:rPr>
          <w:rFonts w:ascii="Arial" w:cs="Arial" w:eastAsia="Arial" w:hAnsi="Arial"/>
          <w:sz w:val="17"/>
          <w:szCs w:val="17"/>
          <w:color w:val="auto"/>
        </w:rPr>
        <w:t>Article 6.</w:t>
      </w:r>
      <w:r>
        <w:rPr>
          <w:sz w:val="20"/>
          <w:szCs w:val="20"/>
          <w:color w:val="auto"/>
        </w:rPr>
        <w:tab/>
      </w:r>
      <w:r>
        <w:rPr>
          <w:rFonts w:ascii="Arial" w:cs="Arial" w:eastAsia="Arial" w:hAnsi="Arial"/>
          <w:sz w:val="15"/>
          <w:szCs w:val="15"/>
          <w:color w:val="110F13"/>
        </w:rPr>
        <w:t>Miscella</w:t>
      </w:r>
      <w:r>
        <w:rPr>
          <w:rFonts w:ascii="Arial" w:cs="Arial" w:eastAsia="Arial" w:hAnsi="Arial"/>
          <w:sz w:val="15"/>
          <w:szCs w:val="15"/>
          <w:color w:val="28282A"/>
        </w:rPr>
        <w:t>ne</w:t>
      </w:r>
      <w:r>
        <w:rPr>
          <w:rFonts w:ascii="Arial" w:cs="Arial" w:eastAsia="Arial" w:hAnsi="Arial"/>
          <w:sz w:val="15"/>
          <w:szCs w:val="15"/>
          <w:color w:val="110F13"/>
        </w:rPr>
        <w:t>ous</w:t>
      </w:r>
    </w:p>
    <w:p>
      <w:pPr>
        <w:spacing w:after="0" w:line="186" w:lineRule="exact"/>
        <w:rPr>
          <w:sz w:val="20"/>
          <w:szCs w:val="20"/>
          <w:color w:val="auto"/>
        </w:rPr>
      </w:pPr>
    </w:p>
    <w:p>
      <w:pPr>
        <w:ind w:right="200" w:firstLine="509"/>
        <w:spacing w:after="0" w:line="252"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Survival of Repre</w:t>
      </w:r>
      <w:r>
        <w:rPr>
          <w:rFonts w:ascii="Arial" w:cs="Arial" w:eastAsia="Arial" w:hAnsi="Arial"/>
          <w:sz w:val="17"/>
          <w:szCs w:val="17"/>
          <w:i w:val="1"/>
          <w:iCs w:val="1"/>
          <w:color w:val="28282A"/>
        </w:rPr>
        <w:t>s</w:t>
      </w:r>
      <w:r>
        <w:rPr>
          <w:rFonts w:ascii="Arial" w:cs="Arial" w:eastAsia="Arial" w:hAnsi="Arial"/>
          <w:sz w:val="17"/>
          <w:szCs w:val="17"/>
          <w:i w:val="1"/>
          <w:iCs w:val="1"/>
          <w:color w:val="auto"/>
        </w:rPr>
        <w:t>entations and Warrantie</w:t>
      </w:r>
      <w:r>
        <w:rPr>
          <w:rFonts w:ascii="Arial" w:cs="Arial" w:eastAsia="Arial" w:hAnsi="Arial"/>
          <w:sz w:val="17"/>
          <w:szCs w:val="17"/>
          <w:i w:val="1"/>
          <w:iCs w:val="1"/>
          <w:color w:val="28282A"/>
        </w:rPr>
        <w:t>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for the representations and warranties contained in clauses (a)</w:t>
      </w:r>
      <w:r>
        <w:rPr>
          <w:rFonts w:ascii="Arial" w:cs="Arial" w:eastAsia="Arial" w:hAnsi="Arial"/>
          <w:sz w:val="17"/>
          <w:szCs w:val="17"/>
          <w:color w:val="28282A"/>
        </w:rPr>
        <w:t>,</w:t>
      </w:r>
      <w:r>
        <w:rPr>
          <w:rFonts w:ascii="Arial" w:cs="Arial" w:eastAsia="Arial" w:hAnsi="Arial"/>
          <w:sz w:val="17"/>
          <w:szCs w:val="17"/>
          <w:color w:val="auto"/>
        </w:rPr>
        <w:t xml:space="preserve"> (b)</w:t>
      </w:r>
      <w:r>
        <w:rPr>
          <w:rFonts w:ascii="Arial" w:cs="Arial" w:eastAsia="Arial" w:hAnsi="Arial"/>
          <w:sz w:val="17"/>
          <w:szCs w:val="17"/>
          <w:color w:val="3D3B3B"/>
        </w:rPr>
        <w:t>,</w:t>
      </w:r>
      <w:r>
        <w:rPr>
          <w:rFonts w:ascii="Arial" w:cs="Arial" w:eastAsia="Arial" w:hAnsi="Arial"/>
          <w:sz w:val="17"/>
          <w:szCs w:val="17"/>
          <w:color w:val="auto"/>
        </w:rPr>
        <w:t xml:space="preserve"> (c)</w:t>
      </w:r>
      <w:r>
        <w:rPr>
          <w:rFonts w:ascii="Arial" w:cs="Arial" w:eastAsia="Arial" w:hAnsi="Arial"/>
          <w:sz w:val="17"/>
          <w:szCs w:val="17"/>
          <w:color w:val="28282A"/>
        </w:rPr>
        <w:t>,</w:t>
      </w:r>
      <w:r>
        <w:rPr>
          <w:rFonts w:ascii="Arial" w:cs="Arial" w:eastAsia="Arial" w:hAnsi="Arial"/>
          <w:sz w:val="17"/>
          <w:szCs w:val="17"/>
          <w:color w:val="auto"/>
        </w:rPr>
        <w:t xml:space="preserve"> (d) and (e) of Section 3.01 </w:t>
      </w:r>
      <w:r>
        <w:rPr>
          <w:rFonts w:ascii="Arial" w:cs="Arial" w:eastAsia="Arial" w:hAnsi="Arial"/>
          <w:sz w:val="17"/>
          <w:szCs w:val="17"/>
          <w:color w:val="110F13"/>
        </w:rPr>
        <w:t>and the representations and warranties contained in Section 3.02</w:t>
      </w:r>
      <w:r>
        <w:rPr>
          <w:rFonts w:ascii="Arial" w:cs="Arial" w:eastAsia="Arial" w:hAnsi="Arial"/>
          <w:sz w:val="17"/>
          <w:szCs w:val="17"/>
          <w:color w:val="28282A"/>
        </w:rPr>
        <w:t>,</w:t>
      </w:r>
      <w:r>
        <w:rPr>
          <w:rFonts w:ascii="Arial" w:cs="Arial" w:eastAsia="Arial" w:hAnsi="Arial"/>
          <w:sz w:val="17"/>
          <w:szCs w:val="17"/>
          <w:color w:val="auto"/>
        </w:rPr>
        <w:t xml:space="preserve"> </w:t>
      </w:r>
      <w:r>
        <w:rPr>
          <w:rFonts w:ascii="Arial" w:cs="Arial" w:eastAsia="Arial" w:hAnsi="Arial"/>
          <w:sz w:val="17"/>
          <w:szCs w:val="17"/>
          <w:color w:val="110F13"/>
        </w:rPr>
        <w:t>which shall survive the Closing indefinitely and the representations and warranties</w:t>
      </w:r>
      <w:r>
        <w:rPr>
          <w:rFonts w:ascii="Arial" w:cs="Arial" w:eastAsia="Arial" w:hAnsi="Arial"/>
          <w:sz w:val="17"/>
          <w:szCs w:val="17"/>
          <w:color w:val="auto"/>
        </w:rPr>
        <w:t xml:space="preserve"> contained </w:t>
      </w:r>
      <w:r>
        <w:rPr>
          <w:rFonts w:ascii="Arial" w:cs="Arial" w:eastAsia="Arial" w:hAnsi="Arial"/>
          <w:sz w:val="17"/>
          <w:szCs w:val="17"/>
          <w:color w:val="110F13"/>
        </w:rPr>
        <w:t>in clause (m) of Section 3.01</w:t>
      </w:r>
      <w:r>
        <w:rPr>
          <w:rFonts w:ascii="Arial" w:cs="Arial" w:eastAsia="Arial" w:hAnsi="Arial"/>
          <w:sz w:val="17"/>
          <w:szCs w:val="17"/>
          <w:color w:val="28282A"/>
        </w:rPr>
        <w:t>,</w:t>
      </w:r>
      <w:r>
        <w:rPr>
          <w:rFonts w:ascii="Arial" w:cs="Arial" w:eastAsia="Arial" w:hAnsi="Arial"/>
          <w:sz w:val="17"/>
          <w:szCs w:val="17"/>
          <w:color w:val="auto"/>
        </w:rPr>
        <w:t xml:space="preserve"> </w:t>
      </w:r>
      <w:r>
        <w:rPr>
          <w:rFonts w:ascii="Arial" w:cs="Arial" w:eastAsia="Arial" w:hAnsi="Arial"/>
          <w:sz w:val="17"/>
          <w:szCs w:val="17"/>
          <w:color w:val="110F13"/>
        </w:rPr>
        <w:t>which shall survive until 90 days after expiration of the applicable statute of limitations</w:t>
      </w:r>
      <w:r>
        <w:rPr>
          <w:rFonts w:ascii="Arial" w:cs="Arial" w:eastAsia="Arial" w:hAnsi="Arial"/>
          <w:sz w:val="17"/>
          <w:szCs w:val="17"/>
          <w:color w:val="28282A"/>
        </w:rPr>
        <w:t>,</w:t>
      </w:r>
      <w:r>
        <w:rPr>
          <w:rFonts w:ascii="Arial" w:cs="Arial" w:eastAsia="Arial" w:hAnsi="Arial"/>
          <w:sz w:val="17"/>
          <w:szCs w:val="17"/>
          <w:color w:val="auto"/>
        </w:rPr>
        <w:t xml:space="preserve"> </w:t>
      </w:r>
      <w:r>
        <w:rPr>
          <w:rFonts w:ascii="Arial" w:cs="Arial" w:eastAsia="Arial" w:hAnsi="Arial"/>
          <w:sz w:val="17"/>
          <w:szCs w:val="17"/>
          <w:color w:val="110F13"/>
        </w:rPr>
        <w:t>the warranties and representations</w:t>
      </w:r>
      <w:r>
        <w:rPr>
          <w:rFonts w:ascii="Arial" w:cs="Arial" w:eastAsia="Arial" w:hAnsi="Arial"/>
          <w:sz w:val="17"/>
          <w:szCs w:val="17"/>
          <w:color w:val="auto"/>
        </w:rPr>
        <w:t xml:space="preserve"> </w:t>
      </w:r>
      <w:r>
        <w:rPr>
          <w:rFonts w:ascii="Arial" w:cs="Arial" w:eastAsia="Arial" w:hAnsi="Arial"/>
          <w:sz w:val="17"/>
          <w:szCs w:val="17"/>
          <w:color w:val="110F13"/>
        </w:rPr>
        <w:t>made herein shall survive for one (1) year following the Closing Date and shall then expire</w:t>
      </w:r>
      <w:r>
        <w:rPr>
          <w:rFonts w:ascii="Arial" w:cs="Arial" w:eastAsia="Arial" w:hAnsi="Arial"/>
          <w:sz w:val="17"/>
          <w:szCs w:val="17"/>
          <w:color w:val="28282A"/>
        </w:rPr>
        <w:t>;</w:t>
      </w:r>
      <w:r>
        <w:rPr>
          <w:rFonts w:ascii="Arial" w:cs="Arial" w:eastAsia="Arial" w:hAnsi="Arial"/>
          <w:sz w:val="17"/>
          <w:szCs w:val="17"/>
          <w:color w:val="110F13"/>
        </w:rPr>
        <w:t xml:space="preserve"> </w:t>
      </w:r>
      <w:r>
        <w:rPr>
          <w:rFonts w:ascii="Arial" w:cs="Arial" w:eastAsia="Arial" w:hAnsi="Arial"/>
          <w:sz w:val="17"/>
          <w:szCs w:val="17"/>
          <w:i w:val="1"/>
          <w:iCs w:val="1"/>
          <w:color w:val="110F13"/>
        </w:rPr>
        <w:t>provided</w:t>
      </w:r>
      <w:r>
        <w:rPr>
          <w:rFonts w:ascii="Arial" w:cs="Arial" w:eastAsia="Arial" w:hAnsi="Arial"/>
          <w:sz w:val="17"/>
          <w:szCs w:val="17"/>
          <w:color w:val="110F13"/>
        </w:rPr>
        <w:t xml:space="preserve"> that nothing herein shall relieve any party of liability for any inaccuracy or breach of such representation or warranty to the extent that any good faith allegation of such inaccuracy or breach is made in writing prior to such expiration.</w:t>
      </w:r>
    </w:p>
    <w:p>
      <w:pPr>
        <w:spacing w:after="0" w:line="148" w:lineRule="exact"/>
        <w:rPr>
          <w:sz w:val="20"/>
          <w:szCs w:val="20"/>
          <w:color w:val="auto"/>
        </w:rPr>
      </w:pPr>
    </w:p>
    <w:p>
      <w:pPr>
        <w:ind w:right="620" w:firstLine="509"/>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Notic</w:t>
      </w:r>
      <w:r>
        <w:rPr>
          <w:rFonts w:ascii="Arial" w:cs="Arial" w:eastAsia="Arial" w:hAnsi="Arial"/>
          <w:sz w:val="17"/>
          <w:szCs w:val="17"/>
          <w:i w:val="1"/>
          <w:iCs w:val="1"/>
          <w:color w:val="28282A"/>
        </w:rPr>
        <w:t>e</w:t>
      </w:r>
      <w:r>
        <w:rPr>
          <w:rFonts w:ascii="Arial" w:cs="Arial" w:eastAsia="Arial" w:hAnsi="Arial"/>
          <w:sz w:val="17"/>
          <w:szCs w:val="17"/>
          <w:i w:val="1"/>
          <w:iCs w:val="1"/>
          <w:color w:val="auto"/>
        </w:rPr>
        <w:t>s.</w:t>
      </w:r>
      <w:r>
        <w:rPr>
          <w:rFonts w:ascii="Arial" w:cs="Arial" w:eastAsia="Arial" w:hAnsi="Arial"/>
          <w:sz w:val="17"/>
          <w:szCs w:val="17"/>
          <w:color w:val="auto"/>
        </w:rPr>
        <w:t xml:space="preserve"> All notices and other communications hereunder shall be in writing and shall be deemed to have been duly given if delivered personally</w:t>
      </w:r>
      <w:r>
        <w:rPr>
          <w:rFonts w:ascii="Arial" w:cs="Arial" w:eastAsia="Arial" w:hAnsi="Arial"/>
          <w:sz w:val="17"/>
          <w:szCs w:val="17"/>
          <w:color w:val="28282A"/>
        </w:rPr>
        <w:t>,</w:t>
      </w:r>
      <w:r>
        <w:rPr>
          <w:rFonts w:ascii="Arial" w:cs="Arial" w:eastAsia="Arial" w:hAnsi="Arial"/>
          <w:sz w:val="17"/>
          <w:szCs w:val="17"/>
          <w:color w:val="auto"/>
        </w:rPr>
        <w:t xml:space="preserve"> sent by overnight courier or sent via email (with receipt confirmed) as follows: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(i)If to the Purchaser</w:t>
      </w:r>
      <w:r>
        <w:rPr>
          <w:rFonts w:ascii="Arial" w:cs="Arial" w:eastAsia="Arial" w:hAnsi="Arial"/>
          <w:sz w:val="17"/>
          <w:szCs w:val="17"/>
          <w:color w:val="28282A"/>
        </w:rPr>
        <w:t>,</w:t>
      </w:r>
      <w:r>
        <w:rPr>
          <w:rFonts w:ascii="Arial" w:cs="Arial" w:eastAsia="Arial" w:hAnsi="Arial"/>
          <w:sz w:val="17"/>
          <w:szCs w:val="17"/>
          <w:color w:val="auto"/>
        </w:rPr>
        <w:t xml:space="preserve"> to</w:t>
      </w:r>
      <w:r>
        <w:rPr>
          <w:rFonts w:ascii="Arial" w:cs="Arial" w:eastAsia="Arial" w:hAnsi="Arial"/>
          <w:sz w:val="17"/>
          <w:szCs w:val="17"/>
          <w:color w:val="28282A"/>
        </w:rPr>
        <w:t>:</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Spring Creek Capital, LLC</w:t>
      </w:r>
    </w:p>
    <w:p>
      <w:pPr>
        <w:ind w:left="1160"/>
        <w:spacing w:after="0" w:line="210" w:lineRule="auto"/>
        <w:rPr>
          <w:sz w:val="20"/>
          <w:szCs w:val="20"/>
          <w:color w:val="auto"/>
        </w:rPr>
      </w:pPr>
      <w:r>
        <w:rPr>
          <w:rFonts w:ascii="Arial" w:cs="Arial" w:eastAsia="Arial" w:hAnsi="Arial"/>
          <w:sz w:val="17"/>
          <w:szCs w:val="17"/>
          <w:color w:val="auto"/>
        </w:rPr>
        <w:t>4111 East 37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North</w:t>
      </w:r>
    </w:p>
    <w:p>
      <w:pPr>
        <w:ind w:left="1160"/>
        <w:spacing w:after="0"/>
        <w:rPr>
          <w:sz w:val="20"/>
          <w:szCs w:val="20"/>
          <w:color w:val="auto"/>
        </w:rPr>
      </w:pPr>
      <w:r>
        <w:rPr>
          <w:rFonts w:ascii="Arial" w:cs="Arial" w:eastAsia="Arial" w:hAnsi="Arial"/>
          <w:sz w:val="17"/>
          <w:szCs w:val="17"/>
          <w:color w:val="auto"/>
        </w:rPr>
        <w:t>Wichita, Kansas 67220</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President</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Email: legalnotices@kochind.com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80"/>
          </w:cols>
          <w:pgMar w:left="300" w:top="1152" w:right="319" w:bottom="1440" w:gutter="0" w:footer="0" w:header="0"/>
        </w:sectPr>
      </w:pPr>
    </w:p>
    <w:bookmarkStart w:id="170" w:name="page171"/>
    <w:bookmarkEnd w:id="170"/>
    <w:p>
      <w:pPr>
        <w:ind w:left="1020"/>
        <w:spacing w:after="0"/>
        <w:rPr>
          <w:sz w:val="20"/>
          <w:szCs w:val="20"/>
          <w:color w:val="auto"/>
        </w:rPr>
      </w:pPr>
      <w:r>
        <w:rPr>
          <w:rFonts w:ascii="Arial" w:cs="Arial" w:eastAsia="Arial" w:hAnsi="Arial"/>
          <w:sz w:val="17"/>
          <w:szCs w:val="17"/>
          <w:color w:val="auto"/>
        </w:rPr>
        <w:t xml:space="preserve">With </w:t>
      </w:r>
      <w:r>
        <w:rPr>
          <w:rFonts w:ascii="Arial" w:cs="Arial" w:eastAsia="Arial" w:hAnsi="Arial"/>
          <w:sz w:val="17"/>
          <w:szCs w:val="17"/>
          <w:color w:val="110F13"/>
        </w:rPr>
        <w:t>a copy (which shall not constitute actual or constructive notice) to:</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Koch Companies Public Sector, LLC</w:t>
      </w:r>
    </w:p>
    <w:p>
      <w:pPr>
        <w:ind w:left="1160"/>
        <w:spacing w:after="0" w:line="210" w:lineRule="auto"/>
        <w:rPr>
          <w:sz w:val="20"/>
          <w:szCs w:val="20"/>
          <w:color w:val="auto"/>
        </w:rPr>
      </w:pPr>
      <w:r>
        <w:rPr>
          <w:rFonts w:ascii="Arial" w:cs="Arial" w:eastAsia="Arial" w:hAnsi="Arial"/>
          <w:sz w:val="17"/>
          <w:szCs w:val="17"/>
          <w:color w:val="auto"/>
        </w:rPr>
        <w:t>4111 East 37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North</w:t>
      </w:r>
    </w:p>
    <w:p>
      <w:pPr>
        <w:ind w:left="1160"/>
        <w:spacing w:after="0"/>
        <w:rPr>
          <w:sz w:val="20"/>
          <w:szCs w:val="20"/>
          <w:color w:val="auto"/>
        </w:rPr>
      </w:pPr>
      <w:r>
        <w:rPr>
          <w:rFonts w:ascii="Arial" w:cs="Arial" w:eastAsia="Arial" w:hAnsi="Arial"/>
          <w:sz w:val="17"/>
          <w:szCs w:val="17"/>
          <w:color w:val="auto"/>
        </w:rPr>
        <w:t>Wichita, Kansas 67220</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General Counsel, Koch Strategic Platforms</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legalnotices@kochind.com</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and</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Stinson LLP</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1201 Walnut Street, Suite 2900</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Kansas City, Missouri 64106</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Jack Bowling; Stephen Quinlivan</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jack.bowling@stinson.com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stephen.quinlivan@stinson.com</w:t>
      </w:r>
    </w:p>
    <w:p>
      <w:pPr>
        <w:spacing w:after="0" w:line="162" w:lineRule="exact"/>
        <w:rPr>
          <w:sz w:val="20"/>
          <w:szCs w:val="20"/>
          <w:color w:val="auto"/>
        </w:rPr>
      </w:pPr>
    </w:p>
    <w:p>
      <w:pPr>
        <w:ind w:left="1020" w:hanging="506"/>
        <w:spacing w:after="0"/>
        <w:tabs>
          <w:tab w:leader="none" w:pos="10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to the Company</w:t>
      </w:r>
      <w:r>
        <w:rPr>
          <w:rFonts w:ascii="Arial" w:cs="Arial" w:eastAsia="Arial" w:hAnsi="Arial"/>
          <w:sz w:val="17"/>
          <w:szCs w:val="17"/>
          <w:color w:val="28282A"/>
        </w:rPr>
        <w:t>,</w:t>
      </w:r>
      <w:r>
        <w:rPr>
          <w:rFonts w:ascii="Arial" w:cs="Arial" w:eastAsia="Arial" w:hAnsi="Arial"/>
          <w:sz w:val="17"/>
          <w:szCs w:val="17"/>
          <w:color w:val="auto"/>
        </w:rPr>
        <w:t xml:space="preserve"> to:</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color w:val="110F13"/>
        </w:rPr>
        <w:t>EOS Energy Enterprises, Inc.</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Edison, New Jersey 08820</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Sagar Kurada, Chief Financial Officer</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skurada@eose.com</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7"/>
          <w:szCs w:val="17"/>
          <w:color w:val="110F13"/>
        </w:rPr>
        <w:t>With a copy (which shall not constitute actual or constructive notice) to:</w:t>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Davis Polk &amp; Wardwell LLP</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450 Lexington Avenue</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New York, NY 10017</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Attention: Michael Kaplan, Mark DiFiore, Roshni Banker Cariello</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Email: michael.kaplan@davispolk.com; mark.difiore@davispolk.com; roshni.cariello@davispolk.com</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or to such other address or addresses as shall be designated in writing. All notices shall be deemed effective (a) when delivered personally</w:t>
      </w:r>
      <w:r>
        <w:rPr>
          <w:rFonts w:ascii="Arial" w:cs="Arial" w:eastAsia="Arial" w:hAnsi="Arial"/>
          <w:sz w:val="17"/>
          <w:szCs w:val="17"/>
          <w:color w:val="28282A"/>
        </w:rPr>
        <w:t>,</w:t>
      </w:r>
      <w:r>
        <w:rPr>
          <w:rFonts w:ascii="Arial" w:cs="Arial" w:eastAsia="Arial" w:hAnsi="Arial"/>
          <w:sz w:val="17"/>
          <w:szCs w:val="17"/>
          <w:color w:val="auto"/>
        </w:rPr>
        <w:t xml:space="preserve"> (b) when sent by email (with written confirmation of receipt</w:t>
      </w:r>
      <w:r>
        <w:rPr>
          <w:rFonts w:ascii="Arial" w:cs="Arial" w:eastAsia="Arial" w:hAnsi="Arial"/>
          <w:sz w:val="17"/>
          <w:szCs w:val="17"/>
          <w:color w:val="28282A"/>
        </w:rPr>
        <w:t>,</w:t>
      </w:r>
      <w:r>
        <w:rPr>
          <w:rFonts w:ascii="Arial" w:cs="Arial" w:eastAsia="Arial" w:hAnsi="Arial"/>
          <w:sz w:val="17"/>
          <w:szCs w:val="17"/>
          <w:color w:val="auto"/>
        </w:rPr>
        <w:t xml:space="preserve"> by other than automatic means</w:t>
      </w:r>
      <w:r>
        <w:rPr>
          <w:rFonts w:ascii="Arial" w:cs="Arial" w:eastAsia="Arial" w:hAnsi="Arial"/>
          <w:sz w:val="17"/>
          <w:szCs w:val="17"/>
          <w:color w:val="28282A"/>
        </w:rPr>
        <w:t>,</w:t>
      </w:r>
      <w:r>
        <w:rPr>
          <w:rFonts w:ascii="Arial" w:cs="Arial" w:eastAsia="Arial" w:hAnsi="Arial"/>
          <w:sz w:val="17"/>
          <w:szCs w:val="17"/>
          <w:color w:val="auto"/>
        </w:rPr>
        <w:t xml:space="preserve"> whether electronic or otherwise)</w:t>
      </w:r>
      <w:r>
        <w:rPr>
          <w:rFonts w:ascii="Arial" w:cs="Arial" w:eastAsia="Arial" w:hAnsi="Arial"/>
          <w:sz w:val="17"/>
          <w:szCs w:val="17"/>
          <w:color w:val="28282A"/>
        </w:rPr>
        <w:t>,</w:t>
      </w:r>
      <w:r>
        <w:rPr>
          <w:rFonts w:ascii="Arial" w:cs="Arial" w:eastAsia="Arial" w:hAnsi="Arial"/>
          <w:sz w:val="17"/>
          <w:szCs w:val="17"/>
          <w:color w:val="auto"/>
        </w:rPr>
        <w:t xml:space="preserve"> or (c) one (1) Business Day following the day sent by overnight courier.</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Entire Agreement; Third Party B</w:t>
      </w:r>
      <w:r>
        <w:rPr>
          <w:rFonts w:ascii="Arial" w:cs="Arial" w:eastAsia="Arial" w:hAnsi="Arial"/>
          <w:sz w:val="17"/>
          <w:szCs w:val="17"/>
          <w:i w:val="1"/>
          <w:iCs w:val="1"/>
          <w:color w:val="28282A"/>
        </w:rPr>
        <w:t>e</w:t>
      </w:r>
      <w:r>
        <w:rPr>
          <w:rFonts w:ascii="Arial" w:cs="Arial" w:eastAsia="Arial" w:hAnsi="Arial"/>
          <w:sz w:val="17"/>
          <w:szCs w:val="17"/>
          <w:i w:val="1"/>
          <w:iCs w:val="1"/>
          <w:color w:val="auto"/>
        </w:rPr>
        <w:t>neficiari</w:t>
      </w:r>
      <w:r>
        <w:rPr>
          <w:rFonts w:ascii="Arial" w:cs="Arial" w:eastAsia="Arial" w:hAnsi="Arial"/>
          <w:sz w:val="17"/>
          <w:szCs w:val="17"/>
          <w:i w:val="1"/>
          <w:iCs w:val="1"/>
          <w:color w:val="28282A"/>
        </w:rPr>
        <w:t>es</w:t>
      </w:r>
      <w:r>
        <w:rPr>
          <w:rFonts w:ascii="Arial" w:cs="Arial" w:eastAsia="Arial" w:hAnsi="Arial"/>
          <w:sz w:val="17"/>
          <w:szCs w:val="17"/>
          <w:i w:val="1"/>
          <w:iCs w:val="1"/>
          <w:color w:val="auto"/>
        </w:rPr>
        <w:t>; Amendment.</w:t>
      </w:r>
      <w:r>
        <w:rPr>
          <w:rFonts w:ascii="Arial" w:cs="Arial" w:eastAsia="Arial" w:hAnsi="Arial"/>
          <w:sz w:val="17"/>
          <w:szCs w:val="17"/>
          <w:color w:val="auto"/>
        </w:rPr>
        <w:t xml:space="preserve"> This Agreement</w:t>
      </w:r>
      <w:r>
        <w:rPr>
          <w:rFonts w:ascii="Arial" w:cs="Arial" w:eastAsia="Arial" w:hAnsi="Arial"/>
          <w:sz w:val="17"/>
          <w:szCs w:val="17"/>
          <w:color w:val="28282A"/>
        </w:rPr>
        <w:t>,</w:t>
      </w:r>
      <w:r>
        <w:rPr>
          <w:rFonts w:ascii="Arial" w:cs="Arial" w:eastAsia="Arial" w:hAnsi="Arial"/>
          <w:sz w:val="17"/>
          <w:szCs w:val="17"/>
          <w:color w:val="auto"/>
        </w:rPr>
        <w:t xml:space="preserve"> together with the surviving provisions of the Confidentiality Agreement and the other Transaction Documents</w:t>
      </w:r>
      <w:r>
        <w:rPr>
          <w:rFonts w:ascii="Arial" w:cs="Arial" w:eastAsia="Arial" w:hAnsi="Arial"/>
          <w:sz w:val="17"/>
          <w:szCs w:val="17"/>
          <w:color w:val="28282A"/>
        </w:rPr>
        <w:t>,</w:t>
      </w:r>
      <w:r>
        <w:rPr>
          <w:rFonts w:ascii="Arial" w:cs="Arial" w:eastAsia="Arial" w:hAnsi="Arial"/>
          <w:sz w:val="17"/>
          <w:szCs w:val="17"/>
          <w:color w:val="auto"/>
        </w:rPr>
        <w:t xml:space="preserve"> sets forth the entire agreement between the parties hereto with respect to the Transactions</w:t>
      </w:r>
      <w:r>
        <w:rPr>
          <w:rFonts w:ascii="Arial" w:cs="Arial" w:eastAsia="Arial" w:hAnsi="Arial"/>
          <w:sz w:val="17"/>
          <w:szCs w:val="17"/>
          <w:color w:val="28282A"/>
        </w:rPr>
        <w:t>,</w:t>
      </w:r>
      <w:r>
        <w:rPr>
          <w:rFonts w:ascii="Arial" w:cs="Arial" w:eastAsia="Arial" w:hAnsi="Arial"/>
          <w:sz w:val="17"/>
          <w:szCs w:val="17"/>
          <w:color w:val="auto"/>
        </w:rPr>
        <w:t xml:space="preserve"> and supersedes all prior agreements and understandings</w:t>
      </w:r>
      <w:r>
        <w:rPr>
          <w:rFonts w:ascii="Arial" w:cs="Arial" w:eastAsia="Arial" w:hAnsi="Arial"/>
          <w:sz w:val="17"/>
          <w:szCs w:val="17"/>
          <w:color w:val="28282A"/>
        </w:rPr>
        <w:t>,</w:t>
      </w:r>
      <w:r>
        <w:rPr>
          <w:rFonts w:ascii="Arial" w:cs="Arial" w:eastAsia="Arial" w:hAnsi="Arial"/>
          <w:sz w:val="17"/>
          <w:szCs w:val="17"/>
          <w:color w:val="auto"/>
        </w:rPr>
        <w:t xml:space="preserve"> both oral and written</w:t>
      </w:r>
      <w:r>
        <w:rPr>
          <w:rFonts w:ascii="Arial" w:cs="Arial" w:eastAsia="Arial" w:hAnsi="Arial"/>
          <w:sz w:val="17"/>
          <w:szCs w:val="17"/>
          <w:color w:val="3D3B3F"/>
        </w:rPr>
        <w:t>,</w:t>
      </w:r>
      <w:r>
        <w:rPr>
          <w:rFonts w:ascii="Arial" w:cs="Arial" w:eastAsia="Arial" w:hAnsi="Arial"/>
          <w:sz w:val="17"/>
          <w:szCs w:val="17"/>
          <w:color w:val="auto"/>
        </w:rPr>
        <w:t xml:space="preserve"> among the parties and their respective Affiliates with respect to the subject matter hereof and thereof</w:t>
      </w:r>
      <w:r>
        <w:rPr>
          <w:rFonts w:ascii="Arial" w:cs="Arial" w:eastAsia="Arial" w:hAnsi="Arial"/>
          <w:sz w:val="17"/>
          <w:szCs w:val="17"/>
          <w:color w:val="28282A"/>
        </w:rPr>
        <w:t>,</w:t>
      </w:r>
      <w:r>
        <w:rPr>
          <w:rFonts w:ascii="Arial" w:cs="Arial" w:eastAsia="Arial" w:hAnsi="Arial"/>
          <w:sz w:val="17"/>
          <w:szCs w:val="17"/>
          <w:color w:val="auto"/>
        </w:rPr>
        <w:t xml:space="preserve"> and is not intended to and shall not confer upon any person other than the parties hereto</w:t>
      </w:r>
      <w:r>
        <w:rPr>
          <w:rFonts w:ascii="Arial" w:cs="Arial" w:eastAsia="Arial" w:hAnsi="Arial"/>
          <w:sz w:val="17"/>
          <w:szCs w:val="17"/>
          <w:color w:val="28282A"/>
        </w:rPr>
        <w:t>,</w:t>
      </w:r>
      <w:r>
        <w:rPr>
          <w:rFonts w:ascii="Arial" w:cs="Arial" w:eastAsia="Arial" w:hAnsi="Arial"/>
          <w:sz w:val="17"/>
          <w:szCs w:val="17"/>
          <w:color w:val="auto"/>
        </w:rPr>
        <w:t xml:space="preserve"> their successors and permitted assigns any rights or remedies hereunder</w:t>
      </w:r>
      <w:r>
        <w:rPr>
          <w:rFonts w:ascii="Arial" w:cs="Arial" w:eastAsia="Arial" w:hAnsi="Arial"/>
          <w:sz w:val="17"/>
          <w:szCs w:val="17"/>
          <w:color w:val="28282A"/>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 6.12 shall be for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180"/>
          </w:cols>
          <w:pgMar w:left="300" w:top="1152" w:right="419" w:bottom="1440" w:gutter="0" w:footer="0" w:header="0"/>
        </w:sectPr>
      </w:pPr>
    </w:p>
    <w:bookmarkStart w:id="171" w:name="page172"/>
    <w:bookmarkEnd w:id="171"/>
    <w:p>
      <w:pPr>
        <w:ind w:right="180"/>
        <w:spacing w:after="0" w:line="255" w:lineRule="auto"/>
        <w:rPr>
          <w:sz w:val="20"/>
          <w:szCs w:val="20"/>
          <w:color w:val="auto"/>
        </w:rPr>
      </w:pPr>
      <w:r>
        <w:rPr>
          <w:rFonts w:ascii="Arial" w:cs="Arial" w:eastAsia="Arial" w:hAnsi="Arial"/>
          <w:sz w:val="17"/>
          <w:szCs w:val="17"/>
          <w:color w:val="auto"/>
        </w:rPr>
        <w:t>benefit of and fully enforceable by each of the Specified Persons. Any provision of this Agreement may be amended</w:t>
      </w:r>
      <w:r>
        <w:rPr>
          <w:rFonts w:ascii="Arial" w:cs="Arial" w:eastAsia="Arial" w:hAnsi="Arial"/>
          <w:sz w:val="17"/>
          <w:szCs w:val="17"/>
          <w:color w:val="28282A"/>
        </w:rPr>
        <w:t>,</w:t>
      </w:r>
      <w:r>
        <w:rPr>
          <w:rFonts w:ascii="Arial" w:cs="Arial" w:eastAsia="Arial" w:hAnsi="Arial"/>
          <w:sz w:val="17"/>
          <w:szCs w:val="17"/>
          <w:color w:val="auto"/>
        </w:rPr>
        <w:t xml:space="preserve"> waived or modified in whole or in part at any time by an agreement in writing between the parties hereto executed in the same manner as this Agreement. No failure on the part of any party to exercise</w:t>
      </w:r>
      <w:r>
        <w:rPr>
          <w:rFonts w:ascii="Arial" w:cs="Arial" w:eastAsia="Arial" w:hAnsi="Arial"/>
          <w:sz w:val="17"/>
          <w:szCs w:val="17"/>
          <w:color w:val="28282A"/>
        </w:rPr>
        <w:t>,</w:t>
      </w:r>
      <w:r>
        <w:rPr>
          <w:rFonts w:ascii="Arial" w:cs="Arial" w:eastAsia="Arial" w:hAnsi="Arial"/>
          <w:sz w:val="17"/>
          <w:szCs w:val="17"/>
          <w:color w:val="auto"/>
        </w:rPr>
        <w:t xml:space="preserve"> and no delay in exercising</w:t>
      </w:r>
      <w:r>
        <w:rPr>
          <w:rFonts w:ascii="Arial" w:cs="Arial" w:eastAsia="Arial" w:hAnsi="Arial"/>
          <w:sz w:val="17"/>
          <w:szCs w:val="17"/>
          <w:color w:val="28282A"/>
        </w:rPr>
        <w:t>,</w:t>
      </w:r>
      <w:r>
        <w:rPr>
          <w:rFonts w:ascii="Arial" w:cs="Arial" w:eastAsia="Arial" w:hAnsi="Arial"/>
          <w:sz w:val="17"/>
          <w:szCs w:val="17"/>
          <w:color w:val="auto"/>
        </w:rPr>
        <w:t xml:space="preserve"> any right shall operate as a waiver thereof nor shall any single or partial </w:t>
      </w:r>
      <w:r>
        <w:rPr>
          <w:rFonts w:ascii="Arial" w:cs="Arial" w:eastAsia="Arial" w:hAnsi="Arial"/>
          <w:sz w:val="17"/>
          <w:szCs w:val="17"/>
          <w:color w:val="110F13"/>
        </w:rPr>
        <w:t>exercise by any party of any right preclude any other or future exercise</w:t>
      </w:r>
      <w:r>
        <w:rPr>
          <w:rFonts w:ascii="Arial" w:cs="Arial" w:eastAsia="Arial" w:hAnsi="Arial"/>
          <w:sz w:val="17"/>
          <w:szCs w:val="17"/>
          <w:color w:val="auto"/>
        </w:rPr>
        <w:t xml:space="preserve"> </w:t>
      </w:r>
      <w:r>
        <w:rPr>
          <w:rFonts w:ascii="Arial" w:cs="Arial" w:eastAsia="Arial" w:hAnsi="Arial"/>
          <w:sz w:val="17"/>
          <w:szCs w:val="17"/>
          <w:color w:val="110F13"/>
        </w:rPr>
        <w:t>thereof or the exercise of any other right.</w:t>
      </w:r>
    </w:p>
    <w:p>
      <w:pPr>
        <w:spacing w:after="0" w:line="14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one or more counterparts</w:t>
      </w:r>
      <w:r>
        <w:rPr>
          <w:rFonts w:ascii="Arial" w:cs="Arial" w:eastAsia="Arial" w:hAnsi="Arial"/>
          <w:sz w:val="17"/>
          <w:szCs w:val="17"/>
          <w:color w:val="28282A"/>
        </w:rPr>
        <w:t>,</w:t>
      </w:r>
      <w:r>
        <w:rPr>
          <w:rFonts w:ascii="Arial" w:cs="Arial" w:eastAsia="Arial" w:hAnsi="Arial"/>
          <w:sz w:val="17"/>
          <w:szCs w:val="17"/>
          <w:color w:val="auto"/>
        </w:rPr>
        <w:t xml:space="preserve"> each of which shall be deemed to constitute any original</w:t>
      </w:r>
      <w:r>
        <w:rPr>
          <w:rFonts w:ascii="Arial" w:cs="Arial" w:eastAsia="Arial" w:hAnsi="Arial"/>
          <w:sz w:val="17"/>
          <w:szCs w:val="17"/>
          <w:color w:val="28282A"/>
        </w:rPr>
        <w:t>,</w:t>
      </w:r>
      <w:r>
        <w:rPr>
          <w:rFonts w:ascii="Arial" w:cs="Arial" w:eastAsia="Arial" w:hAnsi="Arial"/>
          <w:sz w:val="17"/>
          <w:szCs w:val="17"/>
          <w:color w:val="auto"/>
        </w:rPr>
        <w:t xml:space="preserve"> but all of which together shall constitute one and the same document. Signatures to this Agreement transmitted by facsimile transmission</w:t>
      </w:r>
      <w:r>
        <w:rPr>
          <w:rFonts w:ascii="Arial" w:cs="Arial" w:eastAsia="Arial" w:hAnsi="Arial"/>
          <w:sz w:val="17"/>
          <w:szCs w:val="17"/>
          <w:color w:val="28282A"/>
        </w:rPr>
        <w:t>,</w:t>
      </w:r>
      <w:r>
        <w:rPr>
          <w:rFonts w:ascii="Arial" w:cs="Arial" w:eastAsia="Arial" w:hAnsi="Arial"/>
          <w:sz w:val="17"/>
          <w:szCs w:val="17"/>
          <w:color w:val="auto"/>
        </w:rPr>
        <w:t xml:space="preserve"> by electronic mail in </w:t>
      </w:r>
      <w:r>
        <w:rPr>
          <w:rFonts w:ascii="Arial" w:cs="Arial" w:eastAsia="Arial" w:hAnsi="Arial"/>
          <w:sz w:val="17"/>
          <w:szCs w:val="17"/>
          <w:color w:val="28282A"/>
        </w:rPr>
        <w:t>“</w:t>
      </w:r>
      <w:r>
        <w:rPr>
          <w:rFonts w:ascii="Arial" w:cs="Arial" w:eastAsia="Arial" w:hAnsi="Arial"/>
          <w:sz w:val="17"/>
          <w:szCs w:val="17"/>
          <w:color w:val="auto"/>
        </w:rPr>
        <w:t>portable document format” (</w:t>
      </w:r>
      <w:r>
        <w:rPr>
          <w:rFonts w:ascii="Arial" w:cs="Arial" w:eastAsia="Arial" w:hAnsi="Arial"/>
          <w:sz w:val="17"/>
          <w:szCs w:val="17"/>
          <w:color w:val="28282A"/>
        </w:rPr>
        <w:t>“</w:t>
      </w:r>
      <w:r>
        <w:rPr>
          <w:rFonts w:ascii="Arial" w:cs="Arial" w:eastAsia="Arial" w:hAnsi="Arial"/>
          <w:sz w:val="17"/>
          <w:szCs w:val="17"/>
          <w:color w:val="auto"/>
        </w:rPr>
        <w:t>.pdf”) form</w:t>
      </w:r>
      <w:r>
        <w:rPr>
          <w:rFonts w:ascii="Arial" w:cs="Arial" w:eastAsia="Arial" w:hAnsi="Arial"/>
          <w:sz w:val="17"/>
          <w:szCs w:val="17"/>
          <w:color w:val="28282A"/>
        </w:rPr>
        <w:t>,</w:t>
      </w:r>
      <w:r>
        <w:rPr>
          <w:rFonts w:ascii="Arial" w:cs="Arial" w:eastAsia="Arial" w:hAnsi="Arial"/>
          <w:sz w:val="17"/>
          <w:szCs w:val="17"/>
          <w:color w:val="auto"/>
        </w:rPr>
        <w:t xml:space="preserve"> or by any other electronic means intended to preserve the original graphic and pictorial appearance of a document will have the same effect as physical delivery of the paper document bearing the original signature.</w:t>
      </w:r>
    </w:p>
    <w:p>
      <w:pPr>
        <w:spacing w:after="0" w:line="145" w:lineRule="exact"/>
        <w:rPr>
          <w:sz w:val="20"/>
          <w:szCs w:val="20"/>
          <w:color w:val="auto"/>
        </w:rPr>
      </w:pPr>
    </w:p>
    <w:p>
      <w:pPr>
        <w:ind w:firstLine="509"/>
        <w:spacing w:after="0" w:line="290" w:lineRule="auto"/>
        <w:rPr>
          <w:sz w:val="20"/>
          <w:szCs w:val="20"/>
          <w:color w:val="auto"/>
        </w:rPr>
      </w:pPr>
      <w:r>
        <w:rPr>
          <w:rFonts w:ascii="Arial" w:cs="Arial" w:eastAsia="Arial" w:hAnsi="Arial"/>
          <w:sz w:val="15"/>
          <w:szCs w:val="15"/>
          <w:color w:val="auto"/>
        </w:rPr>
        <w:t xml:space="preserve">Section 6.05. </w:t>
      </w:r>
      <w:r>
        <w:rPr>
          <w:rFonts w:ascii="Arial" w:cs="Arial" w:eastAsia="Arial" w:hAnsi="Arial"/>
          <w:sz w:val="15"/>
          <w:szCs w:val="15"/>
          <w:i w:val="1"/>
          <w:iCs w:val="1"/>
          <w:color w:val="auto"/>
        </w:rPr>
        <w:t>Public Announcement</w:t>
      </w:r>
      <w:r>
        <w:rPr>
          <w:rFonts w:ascii="Arial" w:cs="Arial" w:eastAsia="Arial" w:hAnsi="Arial"/>
          <w:sz w:val="15"/>
          <w:szCs w:val="15"/>
          <w:i w:val="1"/>
          <w:iCs w:val="1"/>
          <w:color w:val="28282A"/>
        </w:rPr>
        <w:t>s</w:t>
      </w:r>
      <w:r>
        <w:rPr>
          <w:rFonts w:ascii="Arial" w:cs="Arial" w:eastAsia="Arial" w:hAnsi="Arial"/>
          <w:sz w:val="15"/>
          <w:szCs w:val="15"/>
          <w:i w:val="1"/>
          <w:iCs w:val="1"/>
          <w:color w:val="auto"/>
        </w:rPr>
        <w:t>.</w:t>
      </w:r>
      <w:r>
        <w:rPr>
          <w:rFonts w:ascii="Arial" w:cs="Arial" w:eastAsia="Arial" w:hAnsi="Arial"/>
          <w:sz w:val="15"/>
          <w:szCs w:val="15"/>
          <w:color w:val="auto"/>
        </w:rPr>
        <w:t xml:space="preserve"> The initial press release related to this Agreement and the Transactions shall be a joint press release to be agreed upon by the Company and Purchaser. Thereafter</w:t>
      </w:r>
      <w:r>
        <w:rPr>
          <w:rFonts w:ascii="Arial" w:cs="Arial" w:eastAsia="Arial" w:hAnsi="Arial"/>
          <w:sz w:val="15"/>
          <w:szCs w:val="15"/>
          <w:color w:val="28282A"/>
        </w:rPr>
        <w:t>,</w:t>
      </w:r>
      <w:r>
        <w:rPr>
          <w:rFonts w:ascii="Arial" w:cs="Arial" w:eastAsia="Arial" w:hAnsi="Arial"/>
          <w:sz w:val="15"/>
          <w:szCs w:val="15"/>
          <w:color w:val="auto"/>
        </w:rPr>
        <w:t xml:space="preserve"> either party may issue or make one or more press releases or publ</w:t>
      </w:r>
      <w:r>
        <w:rPr>
          <w:rFonts w:ascii="Arial" w:cs="Arial" w:eastAsia="Arial" w:hAnsi="Arial"/>
          <w:sz w:val="15"/>
          <w:szCs w:val="15"/>
          <w:color w:val="28282A"/>
        </w:rPr>
        <w:t>i</w:t>
      </w:r>
      <w:r>
        <w:rPr>
          <w:rFonts w:ascii="Arial" w:cs="Arial" w:eastAsia="Arial" w:hAnsi="Arial"/>
          <w:sz w:val="15"/>
          <w:szCs w:val="15"/>
          <w:color w:val="auto"/>
        </w:rPr>
        <w:t>c announcements related to this Agreement or the Transactions (in which case the other party shall (to the extent permitted by applicable law) have the right to review and reasonably comment on such press release or announcement prior to issuance</w:t>
      </w:r>
      <w:r>
        <w:rPr>
          <w:rFonts w:ascii="Arial" w:cs="Arial" w:eastAsia="Arial" w:hAnsi="Arial"/>
          <w:sz w:val="15"/>
          <w:szCs w:val="15"/>
          <w:color w:val="28282A"/>
        </w:rPr>
        <w:t>,</w:t>
      </w:r>
      <w:r>
        <w:rPr>
          <w:rFonts w:ascii="Arial" w:cs="Arial" w:eastAsia="Arial" w:hAnsi="Arial"/>
          <w:sz w:val="15"/>
          <w:szCs w:val="15"/>
          <w:color w:val="auto"/>
        </w:rPr>
        <w:t xml:space="preserve"> distribution or publication)</w:t>
      </w:r>
      <w:r>
        <w:rPr>
          <w:rFonts w:ascii="Arial" w:cs="Arial" w:eastAsia="Arial" w:hAnsi="Arial"/>
          <w:sz w:val="15"/>
          <w:szCs w:val="15"/>
          <w:color w:val="28282A"/>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foregoing shall not apply to any press release or other public announcement to the extent that it contains substantially the same factual information related to this Agreement and the Transactions as previously communicated publicly by one or more of the parties in accordance with this Section 6.05. Without limiting the foregoing</w:t>
      </w:r>
      <w:r>
        <w:rPr>
          <w:rFonts w:ascii="Arial" w:cs="Arial" w:eastAsia="Arial" w:hAnsi="Arial"/>
          <w:sz w:val="15"/>
          <w:szCs w:val="15"/>
          <w:color w:val="28282A"/>
        </w:rPr>
        <w:t>,</w:t>
      </w:r>
      <w:r>
        <w:rPr>
          <w:rFonts w:ascii="Arial" w:cs="Arial" w:eastAsia="Arial" w:hAnsi="Arial"/>
          <w:sz w:val="15"/>
          <w:szCs w:val="15"/>
          <w:color w:val="auto"/>
        </w:rPr>
        <w:t xml:space="preserve"> the Company may file this Agreement with the SEC and may provide information about the subject matter of this Agreement in connection with equity or debt issuances</w:t>
      </w:r>
      <w:r>
        <w:rPr>
          <w:rFonts w:ascii="Arial" w:cs="Arial" w:eastAsia="Arial" w:hAnsi="Arial"/>
          <w:sz w:val="15"/>
          <w:szCs w:val="15"/>
          <w:color w:val="28282A"/>
        </w:rPr>
        <w:t>,</w:t>
      </w:r>
      <w:r>
        <w:rPr>
          <w:rFonts w:ascii="Arial" w:cs="Arial" w:eastAsia="Arial" w:hAnsi="Arial"/>
          <w:sz w:val="15"/>
          <w:szCs w:val="15"/>
          <w:color w:val="auto"/>
        </w:rPr>
        <w:t xml:space="preserve"> share repurchases</w:t>
      </w:r>
      <w:r>
        <w:rPr>
          <w:rFonts w:ascii="Arial" w:cs="Arial" w:eastAsia="Arial" w:hAnsi="Arial"/>
          <w:sz w:val="15"/>
          <w:szCs w:val="15"/>
          <w:color w:val="28282A"/>
        </w:rPr>
        <w:t>,</w:t>
      </w:r>
      <w:r>
        <w:rPr>
          <w:rFonts w:ascii="Arial" w:cs="Arial" w:eastAsia="Arial" w:hAnsi="Arial"/>
          <w:sz w:val="15"/>
          <w:szCs w:val="15"/>
          <w:color w:val="auto"/>
        </w:rPr>
        <w:t xml:space="preserve"> or marketing</w:t>
      </w:r>
      <w:r>
        <w:rPr>
          <w:rFonts w:ascii="Arial" w:cs="Arial" w:eastAsia="Arial" w:hAnsi="Arial"/>
          <w:sz w:val="15"/>
          <w:szCs w:val="15"/>
          <w:color w:val="28282A"/>
        </w:rPr>
        <w:t>,</w:t>
      </w:r>
      <w:r>
        <w:rPr>
          <w:rFonts w:ascii="Arial" w:cs="Arial" w:eastAsia="Arial" w:hAnsi="Arial"/>
          <w:sz w:val="15"/>
          <w:szCs w:val="15"/>
          <w:color w:val="auto"/>
        </w:rPr>
        <w:t xml:space="preserve"> informational or reporting activities.</w:t>
      </w:r>
    </w:p>
    <w:p>
      <w:pPr>
        <w:spacing w:after="0" w:line="122"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Expen</w:t>
      </w:r>
      <w:r>
        <w:rPr>
          <w:rFonts w:ascii="Arial" w:cs="Arial" w:eastAsia="Arial" w:hAnsi="Arial"/>
          <w:sz w:val="16"/>
          <w:szCs w:val="16"/>
          <w:i w:val="1"/>
          <w:iCs w:val="1"/>
          <w:color w:val="28282A"/>
        </w:rPr>
        <w:t>s</w:t>
      </w:r>
      <w:r>
        <w:rPr>
          <w:rFonts w:ascii="Arial" w:cs="Arial" w:eastAsia="Arial" w:hAnsi="Arial"/>
          <w:sz w:val="16"/>
          <w:szCs w:val="16"/>
          <w:i w:val="1"/>
          <w:iCs w:val="1"/>
          <w:color w:val="auto"/>
        </w:rPr>
        <w:t>es.</w:t>
      </w:r>
      <w:r>
        <w:rPr>
          <w:rFonts w:ascii="Arial" w:cs="Arial" w:eastAsia="Arial" w:hAnsi="Arial"/>
          <w:sz w:val="16"/>
          <w:szCs w:val="16"/>
          <w:color w:val="auto"/>
        </w:rPr>
        <w:t xml:space="preserve"> Except as otherwise expressly provided herein</w:t>
      </w:r>
      <w:r>
        <w:rPr>
          <w:rFonts w:ascii="Arial" w:cs="Arial" w:eastAsia="Arial" w:hAnsi="Arial"/>
          <w:sz w:val="16"/>
          <w:szCs w:val="16"/>
          <w:color w:val="28282A"/>
        </w:rPr>
        <w:t>,</w:t>
      </w:r>
      <w:r>
        <w:rPr>
          <w:rFonts w:ascii="Arial" w:cs="Arial" w:eastAsia="Arial" w:hAnsi="Arial"/>
          <w:sz w:val="16"/>
          <w:szCs w:val="16"/>
          <w:color w:val="auto"/>
        </w:rPr>
        <w:t xml:space="preserve"> each party hereto shall bear its own costs and expenses (including attorneys’ fees) incurred in connection with this Agreement and the Transactions. Notwithstanding the foregoing, from and after the date of this Agreement, at any time and from time to time, the Purchaser shall have the right to request that the Company reimburse all documented out-of- pocket expenses (including attorneys’ fees) incurred by the Purchaser or its Affiliates in connection with their evaluation of the Company and the transactions contemplated pursuant to this Agreement, including all expenses related to the due diligence review and the structuring, drafting, negotiating and entry into this Agreement and the other Transaction Agreements, up to one hundred fifty thousand dollars ($150,000) in the aggregate, which the Company shall do promptly and in any event within three (3) Business Days of the Closing Date or earlier termination. As of the Closing (and without duplication with the deduction for expenses contemplated in the definition of Purchase Price), the Company shall reimburse all such fees incurred by the Purchaser and its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80"/>
          </w:cols>
          <w:pgMar w:left="300" w:top="1152"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Affiliates in connection with the foregoing to the extent not previously paid pursuant to the first sentence of this Section 6.06.</w:t>
      </w:r>
    </w:p>
    <w:p>
      <w:pPr>
        <w:spacing w:after="0" w:line="176"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Except as otherwise expressly provided herein</w:t>
      </w:r>
      <w:r>
        <w:rPr>
          <w:rFonts w:ascii="Arial" w:cs="Arial" w:eastAsia="Arial" w:hAnsi="Arial"/>
          <w:sz w:val="16"/>
          <w:szCs w:val="16"/>
          <w:color w:val="28282A"/>
        </w:rPr>
        <w:t>,</w:t>
      </w:r>
      <w:r>
        <w:rPr>
          <w:rFonts w:ascii="Arial" w:cs="Arial" w:eastAsia="Arial" w:hAnsi="Arial"/>
          <w:sz w:val="16"/>
          <w:szCs w:val="16"/>
          <w:color w:val="auto"/>
        </w:rPr>
        <w:t xml:space="preserve"> the provisions hereof shall inure to the benefit of</w:t>
      </w:r>
      <w:r>
        <w:rPr>
          <w:rFonts w:ascii="Arial" w:cs="Arial" w:eastAsia="Arial" w:hAnsi="Arial"/>
          <w:sz w:val="16"/>
          <w:szCs w:val="16"/>
          <w:color w:val="28282A"/>
        </w:rPr>
        <w:t>,</w:t>
      </w:r>
      <w:r>
        <w:rPr>
          <w:rFonts w:ascii="Arial" w:cs="Arial" w:eastAsia="Arial" w:hAnsi="Arial"/>
          <w:sz w:val="16"/>
          <w:szCs w:val="16"/>
          <w:color w:val="auto"/>
        </w:rPr>
        <w:t xml:space="preserve"> and be binding upon</w:t>
      </w:r>
      <w:r>
        <w:rPr>
          <w:rFonts w:ascii="Arial" w:cs="Arial" w:eastAsia="Arial" w:hAnsi="Arial"/>
          <w:sz w:val="16"/>
          <w:szCs w:val="16"/>
          <w:color w:val="28282A"/>
        </w:rPr>
        <w:t>,</w:t>
      </w:r>
      <w:r>
        <w:rPr>
          <w:rFonts w:ascii="Arial" w:cs="Arial" w:eastAsia="Arial" w:hAnsi="Arial"/>
          <w:sz w:val="16"/>
          <w:szCs w:val="16"/>
          <w:color w:val="auto"/>
        </w:rPr>
        <w:t xml:space="preserve"> the Company’s successors and assigns and Purchaser’s successors and assigns</w:t>
      </w:r>
      <w:r>
        <w:rPr>
          <w:rFonts w:ascii="Arial" w:cs="Arial" w:eastAsia="Arial" w:hAnsi="Arial"/>
          <w:sz w:val="16"/>
          <w:szCs w:val="16"/>
          <w:color w:val="28282A"/>
        </w:rPr>
        <w:t>,</w:t>
      </w:r>
      <w:r>
        <w:rPr>
          <w:rFonts w:ascii="Arial" w:cs="Arial" w:eastAsia="Arial" w:hAnsi="Arial"/>
          <w:sz w:val="16"/>
          <w:szCs w:val="16"/>
          <w:color w:val="auto"/>
        </w:rPr>
        <w:t xml:space="preserve"> and no other person</w:t>
      </w:r>
      <w:r>
        <w:rPr>
          <w:rFonts w:ascii="Arial" w:cs="Arial" w:eastAsia="Arial" w:hAnsi="Arial"/>
          <w:sz w:val="16"/>
          <w:szCs w:val="16"/>
          <w:color w:val="28282A"/>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the Purchaser may assign its respective rights or delegate its respective obligations under this Agreement</w:t>
      </w:r>
      <w:r>
        <w:rPr>
          <w:rFonts w:ascii="Arial" w:cs="Arial" w:eastAsia="Arial" w:hAnsi="Arial"/>
          <w:sz w:val="16"/>
          <w:szCs w:val="16"/>
          <w:color w:val="28282A"/>
        </w:rPr>
        <w:t>,</w:t>
      </w:r>
      <w:r>
        <w:rPr>
          <w:rFonts w:ascii="Arial" w:cs="Arial" w:eastAsia="Arial" w:hAnsi="Arial"/>
          <w:sz w:val="16"/>
          <w:szCs w:val="16"/>
          <w:color w:val="auto"/>
        </w:rPr>
        <w:t xml:space="preserve"> whether by operation of law or otherwise</w:t>
      </w:r>
      <w:r>
        <w:rPr>
          <w:rFonts w:ascii="Arial" w:cs="Arial" w:eastAsia="Arial" w:hAnsi="Arial"/>
          <w:sz w:val="16"/>
          <w:szCs w:val="16"/>
          <w:color w:val="28282A"/>
        </w:rPr>
        <w:t>,</w:t>
      </w:r>
      <w:r>
        <w:rPr>
          <w:rFonts w:ascii="Arial" w:cs="Arial" w:eastAsia="Arial" w:hAnsi="Arial"/>
          <w:sz w:val="16"/>
          <w:szCs w:val="16"/>
          <w:color w:val="auto"/>
        </w:rPr>
        <w:t xml:space="preserve"> without the prior written consent of the other party</w:t>
      </w:r>
      <w:r>
        <w:rPr>
          <w:rFonts w:ascii="Arial" w:cs="Arial" w:eastAsia="Arial" w:hAnsi="Arial"/>
          <w:sz w:val="16"/>
          <w:szCs w:val="16"/>
          <w:color w:val="28282A"/>
        </w:rPr>
        <w:t>,</w:t>
      </w:r>
      <w:r>
        <w:rPr>
          <w:rFonts w:ascii="Arial" w:cs="Arial" w:eastAsia="Arial" w:hAnsi="Arial"/>
          <w:sz w:val="16"/>
          <w:szCs w:val="16"/>
          <w:color w:val="auto"/>
        </w:rPr>
        <w:t xml:space="preserve"> and any assignment by the Company or the Purchaser in contravention hereof shall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Affiliate of the Purchaser who executes and delivers a Joinder pursuant to a Permitted </w:t>
      </w:r>
      <w:r>
        <w:rPr>
          <w:rFonts w:ascii="Arial" w:cs="Arial" w:eastAsia="Arial" w:hAnsi="Arial"/>
          <w:sz w:val="16"/>
          <w:szCs w:val="16"/>
          <w:color w:val="110F13"/>
        </w:rPr>
        <w:t>Transfer of any Notes or shares of Company Common Stock pursuant to Section 4.02(a)(i) shall be deemed a</w:t>
      </w:r>
      <w:r>
        <w:rPr>
          <w:rFonts w:ascii="Arial" w:cs="Arial" w:eastAsia="Arial" w:hAnsi="Arial"/>
          <w:sz w:val="16"/>
          <w:szCs w:val="16"/>
          <w:color w:val="auto"/>
        </w:rPr>
        <w:t xml:space="preserve"> </w:t>
      </w:r>
      <w:r>
        <w:rPr>
          <w:rFonts w:ascii="Arial" w:cs="Arial" w:eastAsia="Arial" w:hAnsi="Arial"/>
          <w:sz w:val="16"/>
          <w:szCs w:val="16"/>
          <w:color w:val="110F13"/>
        </w:rPr>
        <w:t>Purchaser hereunder and have all the rights and obligations of a Purchaser</w:t>
      </w:r>
      <w:r>
        <w:rPr>
          <w:rFonts w:ascii="Arial" w:cs="Arial" w:eastAsia="Arial" w:hAnsi="Arial"/>
          <w:sz w:val="16"/>
          <w:szCs w:val="16"/>
          <w:color w:val="28282A"/>
        </w:rPr>
        <w:t>, and</w:t>
      </w:r>
      <w:r>
        <w:rPr>
          <w:rFonts w:ascii="Arial" w:cs="Arial" w:eastAsia="Arial" w:hAnsi="Arial"/>
          <w:sz w:val="16"/>
          <w:szCs w:val="16"/>
          <w:color w:val="110F13"/>
        </w:rPr>
        <w:t xml:space="preserve"> if the Company consolidates or merges with or into any Person and the Company Common Stock is</w:t>
      </w:r>
      <w:r>
        <w:rPr>
          <w:rFonts w:ascii="Arial" w:cs="Arial" w:eastAsia="Arial" w:hAnsi="Arial"/>
          <w:sz w:val="16"/>
          <w:szCs w:val="16"/>
          <w:color w:val="2A2A2D"/>
        </w:rPr>
        <w:t>,</w:t>
      </w:r>
      <w:r>
        <w:rPr>
          <w:rFonts w:ascii="Arial" w:cs="Arial" w:eastAsia="Arial" w:hAnsi="Arial"/>
          <w:sz w:val="16"/>
          <w:szCs w:val="16"/>
          <w:color w:val="110F13"/>
        </w:rPr>
        <w:t xml:space="preserve"> in whole or in part</w:t>
      </w:r>
      <w:r>
        <w:rPr>
          <w:rFonts w:ascii="Arial" w:cs="Arial" w:eastAsia="Arial" w:hAnsi="Arial"/>
          <w:sz w:val="16"/>
          <w:szCs w:val="16"/>
          <w:color w:val="2A2A2D"/>
        </w:rPr>
        <w:t>,</w:t>
      </w:r>
      <w:r>
        <w:rPr>
          <w:rFonts w:ascii="Arial" w:cs="Arial" w:eastAsia="Arial" w:hAnsi="Arial"/>
          <w:sz w:val="16"/>
          <w:szCs w:val="16"/>
          <w:color w:val="110F13"/>
        </w:rPr>
        <w:t xml:space="preserve"> converted into or exchanged for securities of a different issuer in a transaction that does not constitute a Change in Control</w:t>
      </w:r>
      <w:r>
        <w:rPr>
          <w:rFonts w:ascii="Arial" w:cs="Arial" w:eastAsia="Arial" w:hAnsi="Arial"/>
          <w:sz w:val="16"/>
          <w:szCs w:val="16"/>
          <w:color w:val="2A2A2D"/>
        </w:rPr>
        <w:t>,</w:t>
      </w:r>
      <w:r>
        <w:rPr>
          <w:rFonts w:ascii="Arial" w:cs="Arial" w:eastAsia="Arial" w:hAnsi="Arial"/>
          <w:sz w:val="16"/>
          <w:szCs w:val="16"/>
          <w:color w:val="110F13"/>
        </w:rPr>
        <w:t xml:space="preserve"> then as a condition to such transaction the Company will cause such issuer to assume all of the Company’s rights and obligations under this Agreement in a written instrument delivered to the Purchaser. For the avoidance of doubt</w:t>
      </w:r>
      <w:r>
        <w:rPr>
          <w:rFonts w:ascii="Arial" w:cs="Arial" w:eastAsia="Arial" w:hAnsi="Arial"/>
          <w:sz w:val="16"/>
          <w:szCs w:val="16"/>
          <w:color w:val="2A2A2D"/>
        </w:rPr>
        <w:t>,</w:t>
      </w:r>
      <w:r>
        <w:rPr>
          <w:rFonts w:ascii="Arial" w:cs="Arial" w:eastAsia="Arial" w:hAnsi="Arial"/>
          <w:sz w:val="16"/>
          <w:szCs w:val="16"/>
          <w:color w:val="110F13"/>
        </w:rPr>
        <w:t xml:space="preserve"> no Third Party to whom any of the Notes or shares of Company Common Stock are transferred shall have any rights or obligations under this Agreement.</w:t>
      </w:r>
    </w:p>
    <w:p>
      <w:pPr>
        <w:spacing w:after="0" w:line="139" w:lineRule="exact"/>
        <w:rPr>
          <w:sz w:val="20"/>
          <w:szCs w:val="20"/>
          <w:color w:val="auto"/>
        </w:rPr>
      </w:pPr>
    </w:p>
    <w:p>
      <w:pPr>
        <w:ind w:left="520"/>
        <w:spacing w:after="0"/>
        <w:tabs>
          <w:tab w:leader="none" w:pos="1600" w:val="left"/>
        </w:tabs>
        <w:rPr>
          <w:sz w:val="20"/>
          <w:szCs w:val="20"/>
          <w:color w:val="auto"/>
        </w:rPr>
      </w:pPr>
      <w:r>
        <w:rPr>
          <w:rFonts w:ascii="Arial" w:cs="Arial" w:eastAsia="Arial" w:hAnsi="Arial"/>
          <w:sz w:val="17"/>
          <w:szCs w:val="17"/>
          <w:color w:val="auto"/>
        </w:rPr>
        <w:t>Section 6.08.</w:t>
      </w:r>
      <w:r>
        <w:rPr>
          <w:sz w:val="20"/>
          <w:szCs w:val="20"/>
          <w:color w:val="auto"/>
        </w:rPr>
        <w:tab/>
      </w:r>
      <w:r>
        <w:rPr>
          <w:rFonts w:ascii="Arial" w:cs="Arial" w:eastAsia="Arial" w:hAnsi="Arial"/>
          <w:sz w:val="16"/>
          <w:szCs w:val="16"/>
          <w:i w:val="1"/>
          <w:iCs w:val="1"/>
          <w:color w:val="auto"/>
        </w:rPr>
        <w:t>Governing Law; Juri</w:t>
      </w:r>
      <w:r>
        <w:rPr>
          <w:rFonts w:ascii="Arial" w:cs="Arial" w:eastAsia="Arial" w:hAnsi="Arial"/>
          <w:sz w:val="16"/>
          <w:szCs w:val="16"/>
          <w:i w:val="1"/>
          <w:iCs w:val="1"/>
          <w:color w:val="2A2A2D"/>
        </w:rPr>
        <w:t>s</w:t>
      </w:r>
      <w:r>
        <w:rPr>
          <w:rFonts w:ascii="Arial" w:cs="Arial" w:eastAsia="Arial" w:hAnsi="Arial"/>
          <w:sz w:val="16"/>
          <w:szCs w:val="16"/>
          <w:i w:val="1"/>
          <w:iCs w:val="1"/>
          <w:color w:val="auto"/>
        </w:rPr>
        <w:t>diction; Waiver of Jury Trial.</w:t>
      </w:r>
    </w:p>
    <w:p>
      <w:pPr>
        <w:spacing w:after="0" w:line="176" w:lineRule="exact"/>
        <w:rPr>
          <w:sz w:val="20"/>
          <w:szCs w:val="20"/>
          <w:color w:val="auto"/>
        </w:rPr>
      </w:pPr>
    </w:p>
    <w:p>
      <w:pPr>
        <w:ind w:firstLine="514"/>
        <w:spacing w:after="0" w:line="266" w:lineRule="auto"/>
        <w:tabs>
          <w:tab w:leader="none" w:pos="100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Delaware</w:t>
      </w:r>
      <w:r>
        <w:rPr>
          <w:rFonts w:ascii="Arial" w:cs="Arial" w:eastAsia="Arial" w:hAnsi="Arial"/>
          <w:sz w:val="16"/>
          <w:szCs w:val="16"/>
          <w:color w:val="2A2A2D"/>
        </w:rPr>
        <w:t>,</w:t>
      </w:r>
      <w:r>
        <w:rPr>
          <w:rFonts w:ascii="Arial" w:cs="Arial" w:eastAsia="Arial" w:hAnsi="Arial"/>
          <w:sz w:val="16"/>
          <w:szCs w:val="16"/>
          <w:color w:val="auto"/>
        </w:rPr>
        <w:t xml:space="preserve"> without giving effect to any choice or conflict of law provision or rule (whether of the State of Delaware or any other jurisdiction) that would cause the application of the laws of any jurisdiction other than the State of Delaware. In addition</w:t>
      </w:r>
      <w:r>
        <w:rPr>
          <w:rFonts w:ascii="Arial" w:cs="Arial" w:eastAsia="Arial" w:hAnsi="Arial"/>
          <w:sz w:val="16"/>
          <w:szCs w:val="16"/>
          <w:color w:val="2A2A2D"/>
        </w:rPr>
        <w:t>,</w:t>
      </w:r>
      <w:r>
        <w:rPr>
          <w:rFonts w:ascii="Arial" w:cs="Arial" w:eastAsia="Arial" w:hAnsi="Arial"/>
          <w:sz w:val="16"/>
          <w:szCs w:val="16"/>
          <w:color w:val="auto"/>
        </w:rPr>
        <w:t xml:space="preserve"> each of the parties hereto irrevocably agrees that any legal action or proceeding with respect to this Agreement and the rights and obligations arising hereunder</w:t>
      </w:r>
      <w:r>
        <w:rPr>
          <w:rFonts w:ascii="Arial" w:cs="Arial" w:eastAsia="Arial" w:hAnsi="Arial"/>
          <w:sz w:val="16"/>
          <w:szCs w:val="16"/>
          <w:color w:val="2A2A2D"/>
        </w:rPr>
        <w:t>,</w:t>
      </w:r>
      <w:r>
        <w:rPr>
          <w:rFonts w:ascii="Arial" w:cs="Arial" w:eastAsia="Arial" w:hAnsi="Arial"/>
          <w:sz w:val="16"/>
          <w:szCs w:val="16"/>
          <w:color w:val="auto"/>
        </w:rPr>
        <w:t xml:space="preserve"> or for recognition and enforcement of any judgment in respect of this Agreement and the rights and obligations arising hereunder brought by the other party hereto or its successors or assigns</w:t>
      </w:r>
      <w:r>
        <w:rPr>
          <w:rFonts w:ascii="Arial" w:cs="Arial" w:eastAsia="Arial" w:hAnsi="Arial"/>
          <w:sz w:val="16"/>
          <w:szCs w:val="16"/>
          <w:color w:val="2A2A2D"/>
        </w:rPr>
        <w:t>,</w:t>
      </w:r>
      <w:r>
        <w:rPr>
          <w:rFonts w:ascii="Arial" w:cs="Arial" w:eastAsia="Arial" w:hAnsi="Arial"/>
          <w:sz w:val="16"/>
          <w:szCs w:val="16"/>
          <w:color w:val="auto"/>
        </w:rPr>
        <w:t xml:space="preserve"> shall be brought and determined exclusively in the Delaware Court of Chancery and any state appellate court therefrom within the State of Delaware (or</w:t>
      </w:r>
      <w:r>
        <w:rPr>
          <w:rFonts w:ascii="Arial" w:cs="Arial" w:eastAsia="Arial" w:hAnsi="Arial"/>
          <w:sz w:val="16"/>
          <w:szCs w:val="16"/>
          <w:color w:val="2A2A2D"/>
        </w:rPr>
        <w:t>,</w:t>
      </w:r>
      <w:r>
        <w:rPr>
          <w:rFonts w:ascii="Arial" w:cs="Arial" w:eastAsia="Arial" w:hAnsi="Arial"/>
          <w:sz w:val="16"/>
          <w:szCs w:val="16"/>
          <w:color w:val="auto"/>
        </w:rPr>
        <w:t xml:space="preserve"> solely if the Delaware Court of Chancery declines to accept jurisdiction over a particular matter</w:t>
      </w:r>
      <w:r>
        <w:rPr>
          <w:rFonts w:ascii="Arial" w:cs="Arial" w:eastAsia="Arial" w:hAnsi="Arial"/>
          <w:sz w:val="16"/>
          <w:szCs w:val="16"/>
          <w:color w:val="2A2A2D"/>
        </w:rPr>
        <w:t>,</w:t>
      </w:r>
      <w:r>
        <w:rPr>
          <w:rFonts w:ascii="Arial" w:cs="Arial" w:eastAsia="Arial" w:hAnsi="Arial"/>
          <w:sz w:val="16"/>
          <w:szCs w:val="16"/>
          <w:color w:val="auto"/>
        </w:rPr>
        <w:t xml:space="preserve"> any state or federal court within the State of Delaware). Each of the parties hereto hereby irrevocably submits with regard to any such action or proceeding for itself and in respect of its property</w:t>
      </w:r>
      <w:r>
        <w:rPr>
          <w:rFonts w:ascii="Arial" w:cs="Arial" w:eastAsia="Arial" w:hAnsi="Arial"/>
          <w:sz w:val="16"/>
          <w:szCs w:val="16"/>
          <w:color w:val="2A2A2D"/>
        </w:rPr>
        <w:t>,</w:t>
      </w:r>
      <w:r>
        <w:rPr>
          <w:rFonts w:ascii="Arial" w:cs="Arial" w:eastAsia="Arial" w:hAnsi="Arial"/>
          <w:sz w:val="16"/>
          <w:szCs w:val="16"/>
          <w:color w:val="auto"/>
        </w:rPr>
        <w:t xml:space="preserve"> generally and unconditionally</w:t>
      </w:r>
      <w:r>
        <w:rPr>
          <w:rFonts w:ascii="Arial" w:cs="Arial" w:eastAsia="Arial" w:hAnsi="Arial"/>
          <w:sz w:val="16"/>
          <w:szCs w:val="16"/>
          <w:color w:val="2A2A2D"/>
        </w:rPr>
        <w:t>,</w:t>
      </w:r>
      <w:r>
        <w:rPr>
          <w:rFonts w:ascii="Arial" w:cs="Arial" w:eastAsia="Arial" w:hAnsi="Arial"/>
          <w:sz w:val="16"/>
          <w:szCs w:val="16"/>
          <w:color w:val="auto"/>
        </w:rPr>
        <w:t xml:space="preserve">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w:t>
      </w:r>
      <w:r>
        <w:rPr>
          <w:rFonts w:ascii="Arial" w:cs="Arial" w:eastAsia="Arial" w:hAnsi="Arial"/>
          <w:sz w:val="16"/>
          <w:szCs w:val="16"/>
          <w:color w:val="2A2A2D"/>
        </w:rPr>
        <w:t>,</w:t>
      </w:r>
      <w:r>
        <w:rPr>
          <w:rFonts w:ascii="Arial" w:cs="Arial" w:eastAsia="Arial" w:hAnsi="Arial"/>
          <w:sz w:val="16"/>
          <w:szCs w:val="16"/>
          <w:color w:val="auto"/>
        </w:rPr>
        <w:t xml:space="preserve"> and agrees not to assert as a defense</w:t>
      </w:r>
      <w:r>
        <w:rPr>
          <w:rFonts w:ascii="Arial" w:cs="Arial" w:eastAsia="Arial" w:hAnsi="Arial"/>
          <w:sz w:val="16"/>
          <w:szCs w:val="16"/>
          <w:color w:val="2A2A2D"/>
        </w:rPr>
        <w:t>,</w:t>
      </w:r>
      <w:r>
        <w:rPr>
          <w:rFonts w:ascii="Arial" w:cs="Arial" w:eastAsia="Arial" w:hAnsi="Arial"/>
          <w:sz w:val="16"/>
          <w:szCs w:val="16"/>
          <w:color w:val="auto"/>
        </w:rPr>
        <w:t xml:space="preserve"> counterclaim or otherwise</w:t>
      </w:r>
      <w:r>
        <w:rPr>
          <w:rFonts w:ascii="Arial" w:cs="Arial" w:eastAsia="Arial" w:hAnsi="Arial"/>
          <w:sz w:val="16"/>
          <w:szCs w:val="16"/>
          <w:color w:val="2A2A2D"/>
        </w:rPr>
        <w:t>,</w:t>
      </w:r>
      <w:r>
        <w:rPr>
          <w:rFonts w:ascii="Arial" w:cs="Arial" w:eastAsia="Arial" w:hAnsi="Arial"/>
          <w:sz w:val="16"/>
          <w:szCs w:val="16"/>
          <w:color w:val="auto"/>
        </w:rPr>
        <w:t xml:space="preserve"> in any action or proceeding with respect to this Agreement</w:t>
      </w:r>
      <w:r>
        <w:rPr>
          <w:rFonts w:ascii="Arial" w:cs="Arial" w:eastAsia="Arial" w:hAnsi="Arial"/>
          <w:sz w:val="16"/>
          <w:szCs w:val="16"/>
          <w:color w:val="2A2A2D"/>
        </w:rPr>
        <w:t>,</w:t>
      </w:r>
      <w:r>
        <w:rPr>
          <w:rFonts w:ascii="Arial" w:cs="Arial" w:eastAsia="Arial" w:hAnsi="Arial"/>
          <w:sz w:val="16"/>
          <w:szCs w:val="16"/>
          <w:color w:val="auto"/>
        </w:rPr>
        <w:t xml:space="preserve"> any claim that it is not personally subject to the jurisdiction of the above named courts for any reason other than the failure to serve in accordance with </w:t>
      </w:r>
      <w:r>
        <w:rPr>
          <w:rFonts w:ascii="Arial" w:cs="Arial" w:eastAsia="Arial" w:hAnsi="Arial"/>
          <w:sz w:val="16"/>
          <w:szCs w:val="16"/>
          <w:color w:val="110F13"/>
        </w:rPr>
        <w:t>this Section 6.08(a)</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F13"/>
        </w:rPr>
        <w:t>any claim that it or its property is exempt</w:t>
      </w:r>
      <w:r>
        <w:rPr>
          <w:rFonts w:ascii="Arial" w:cs="Arial" w:eastAsia="Arial" w:hAnsi="Arial"/>
          <w:sz w:val="16"/>
          <w:szCs w:val="16"/>
          <w:color w:val="auto"/>
        </w:rPr>
        <w:t xml:space="preserve"> </w:t>
      </w:r>
      <w:r>
        <w:rPr>
          <w:rFonts w:ascii="Arial" w:cs="Arial" w:eastAsia="Arial" w:hAnsi="Arial"/>
          <w:sz w:val="16"/>
          <w:szCs w:val="16"/>
          <w:color w:val="110F13"/>
        </w:rPr>
        <w:t>or immune from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80"/>
          </w:cols>
          <w:pgMar w:left="300" w:top="1152" w:right="319" w:bottom="1440" w:gutter="0" w:footer="0" w:header="0"/>
        </w:sectPr>
      </w:pPr>
    </w:p>
    <w:bookmarkStart w:id="173" w:name="page174"/>
    <w:bookmarkEnd w:id="173"/>
    <w:p>
      <w:pPr>
        <w:ind w:right="60"/>
        <w:spacing w:after="0" w:line="252" w:lineRule="auto"/>
        <w:rPr>
          <w:sz w:val="20"/>
          <w:szCs w:val="20"/>
          <w:color w:val="auto"/>
        </w:rPr>
      </w:pPr>
      <w:r>
        <w:rPr>
          <w:rFonts w:ascii="Arial" w:cs="Arial" w:eastAsia="Arial" w:hAnsi="Arial"/>
          <w:sz w:val="17"/>
          <w:szCs w:val="17"/>
          <w:color w:val="110F13"/>
        </w:rPr>
        <w:t>jurisdiction of any such court or from any legal process commenced in such courts (whether through service of notice</w:t>
      </w:r>
      <w:r>
        <w:rPr>
          <w:rFonts w:ascii="Arial" w:cs="Arial" w:eastAsia="Arial" w:hAnsi="Arial"/>
          <w:sz w:val="17"/>
          <w:szCs w:val="17"/>
          <w:color w:val="2A2A2D"/>
        </w:rPr>
        <w:t>,</w:t>
      </w:r>
      <w:r>
        <w:rPr>
          <w:rFonts w:ascii="Arial" w:cs="Arial" w:eastAsia="Arial" w:hAnsi="Arial"/>
          <w:sz w:val="17"/>
          <w:szCs w:val="17"/>
          <w:color w:val="110F13"/>
        </w:rPr>
        <w:t xml:space="preserve"> attachment prior to judgment</w:t>
      </w:r>
      <w:r>
        <w:rPr>
          <w:rFonts w:ascii="Arial" w:cs="Arial" w:eastAsia="Arial" w:hAnsi="Arial"/>
          <w:sz w:val="17"/>
          <w:szCs w:val="17"/>
          <w:color w:val="2A2A2D"/>
        </w:rPr>
        <w:t>,</w:t>
      </w:r>
      <w:r>
        <w:rPr>
          <w:rFonts w:ascii="Arial" w:cs="Arial" w:eastAsia="Arial" w:hAnsi="Arial"/>
          <w:sz w:val="17"/>
          <w:szCs w:val="17"/>
          <w:color w:val="110F13"/>
        </w:rPr>
        <w:t xml:space="preserve"> attachment in aid of execution of judgment</w:t>
      </w:r>
      <w:r>
        <w:rPr>
          <w:rFonts w:ascii="Arial" w:cs="Arial" w:eastAsia="Arial" w:hAnsi="Arial"/>
          <w:sz w:val="17"/>
          <w:szCs w:val="17"/>
          <w:color w:val="2A2A2D"/>
        </w:rPr>
        <w:t>,</w:t>
      </w:r>
      <w:r>
        <w:rPr>
          <w:rFonts w:ascii="Arial" w:cs="Arial" w:eastAsia="Arial" w:hAnsi="Arial"/>
          <w:sz w:val="17"/>
          <w:szCs w:val="17"/>
          <w:color w:val="110F13"/>
        </w:rPr>
        <w:t xml:space="preserve"> execution of judgment or otherwise) and to the fullest extent permitted by the applicable law</w:t>
      </w:r>
      <w:r>
        <w:rPr>
          <w:rFonts w:ascii="Arial" w:cs="Arial" w:eastAsia="Arial" w:hAnsi="Arial"/>
          <w:sz w:val="17"/>
          <w:szCs w:val="17"/>
          <w:color w:val="2A2A2D"/>
        </w:rPr>
        <w:t>,</w:t>
      </w:r>
      <w:r>
        <w:rPr>
          <w:rFonts w:ascii="Arial" w:cs="Arial" w:eastAsia="Arial" w:hAnsi="Arial"/>
          <w:sz w:val="17"/>
          <w:szCs w:val="17"/>
          <w:color w:val="110F13"/>
        </w:rPr>
        <w:t xml:space="preserve"> any claim that the suit</w:t>
      </w:r>
      <w:r>
        <w:rPr>
          <w:rFonts w:ascii="Arial" w:cs="Arial" w:eastAsia="Arial" w:hAnsi="Arial"/>
          <w:sz w:val="17"/>
          <w:szCs w:val="17"/>
          <w:color w:val="2A2A2D"/>
        </w:rPr>
        <w:t>,</w:t>
      </w:r>
      <w:r>
        <w:rPr>
          <w:rFonts w:ascii="Arial" w:cs="Arial" w:eastAsia="Arial" w:hAnsi="Arial"/>
          <w:sz w:val="17"/>
          <w:szCs w:val="17"/>
          <w:color w:val="110F13"/>
        </w:rPr>
        <w:t xml:space="preserve"> action or proceeding in such court is brought in an inconvenient forum</w:t>
      </w:r>
      <w:r>
        <w:rPr>
          <w:rFonts w:ascii="Arial" w:cs="Arial" w:eastAsia="Arial" w:hAnsi="Arial"/>
          <w:sz w:val="17"/>
          <w:szCs w:val="17"/>
          <w:color w:val="2A2A2D"/>
        </w:rPr>
        <w:t>,</w:t>
      </w:r>
      <w:r>
        <w:rPr>
          <w:rFonts w:ascii="Arial" w:cs="Arial" w:eastAsia="Arial" w:hAnsi="Arial"/>
          <w:sz w:val="17"/>
          <w:szCs w:val="17"/>
          <w:color w:val="110F13"/>
        </w:rPr>
        <w:t xml:space="preserve"> the venue of such suit</w:t>
      </w:r>
      <w:r>
        <w:rPr>
          <w:rFonts w:ascii="Arial" w:cs="Arial" w:eastAsia="Arial" w:hAnsi="Arial"/>
          <w:sz w:val="17"/>
          <w:szCs w:val="17"/>
          <w:color w:val="2A2A2D"/>
        </w:rPr>
        <w:t>,</w:t>
      </w:r>
      <w:r>
        <w:rPr>
          <w:rFonts w:ascii="Arial" w:cs="Arial" w:eastAsia="Arial" w:hAnsi="Arial"/>
          <w:sz w:val="17"/>
          <w:szCs w:val="17"/>
          <w:color w:val="110F13"/>
        </w:rPr>
        <w:t xml:space="preserve"> action or proceeding is improper or this Agreement</w:t>
      </w:r>
      <w:r>
        <w:rPr>
          <w:rFonts w:ascii="Arial" w:cs="Arial" w:eastAsia="Arial" w:hAnsi="Arial"/>
          <w:sz w:val="17"/>
          <w:szCs w:val="17"/>
          <w:color w:val="2A2A2D"/>
        </w:rPr>
        <w:t>,</w:t>
      </w:r>
      <w:r>
        <w:rPr>
          <w:rFonts w:ascii="Arial" w:cs="Arial" w:eastAsia="Arial" w:hAnsi="Arial"/>
          <w:sz w:val="17"/>
          <w:szCs w:val="17"/>
          <w:color w:val="110F13"/>
        </w:rPr>
        <w:t xml:space="preserve"> or the subject matter hereof</w:t>
      </w:r>
      <w:r>
        <w:rPr>
          <w:rFonts w:ascii="Arial" w:cs="Arial" w:eastAsia="Arial" w:hAnsi="Arial"/>
          <w:sz w:val="17"/>
          <w:szCs w:val="17"/>
          <w:color w:val="2A2A2D"/>
        </w:rPr>
        <w:t>,</w:t>
      </w:r>
      <w:r>
        <w:rPr>
          <w:rFonts w:ascii="Arial" w:cs="Arial" w:eastAsia="Arial" w:hAnsi="Arial"/>
          <w:sz w:val="17"/>
          <w:szCs w:val="17"/>
          <w:color w:val="110F13"/>
        </w:rPr>
        <w:t xml:space="preserve"> may not be enforced in or by such courts. Each of the parties hereby agrees that service of any process</w:t>
      </w:r>
      <w:r>
        <w:rPr>
          <w:rFonts w:ascii="Arial" w:cs="Arial" w:eastAsia="Arial" w:hAnsi="Arial"/>
          <w:sz w:val="17"/>
          <w:szCs w:val="17"/>
          <w:color w:val="2A2A2D"/>
        </w:rPr>
        <w:t>,</w:t>
      </w:r>
      <w:r>
        <w:rPr>
          <w:rFonts w:ascii="Arial" w:cs="Arial" w:eastAsia="Arial" w:hAnsi="Arial"/>
          <w:sz w:val="17"/>
          <w:szCs w:val="17"/>
          <w:color w:val="110F13"/>
        </w:rPr>
        <w:t xml:space="preserve"> summons</w:t>
      </w:r>
      <w:r>
        <w:rPr>
          <w:rFonts w:ascii="Arial" w:cs="Arial" w:eastAsia="Arial" w:hAnsi="Arial"/>
          <w:sz w:val="17"/>
          <w:szCs w:val="17"/>
          <w:color w:val="2A2A2D"/>
        </w:rPr>
        <w:t>,</w:t>
      </w:r>
      <w:r>
        <w:rPr>
          <w:rFonts w:ascii="Arial" w:cs="Arial" w:eastAsia="Arial" w:hAnsi="Arial"/>
          <w:sz w:val="17"/>
          <w:szCs w:val="17"/>
          <w:color w:val="110F13"/>
        </w:rPr>
        <w:t xml:space="preserve"> notice or document by U.S. registered mail to the respective addresses set forth in Section 6.02 shall be effective service of process for any suit or proceeding in connection with this Agreement or the transactions contemplated hereby.</w:t>
      </w:r>
    </w:p>
    <w:p>
      <w:pPr>
        <w:spacing w:after="0" w:line="148" w:lineRule="exact"/>
        <w:rPr>
          <w:sz w:val="20"/>
          <w:szCs w:val="20"/>
          <w:color w:val="auto"/>
        </w:rPr>
      </w:pPr>
    </w:p>
    <w:p>
      <w:pPr>
        <w:ind w:right="240" w:firstLine="514"/>
        <w:spacing w:after="0" w:line="255" w:lineRule="auto"/>
        <w:tabs>
          <w:tab w:leader="none" w:pos="10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THE PARTIES TO THIS AGREEMENT HEREBY IRREVOCABLY WAIVES ANY AND ALL RIGHT TO A TRIAL BY JURY IN ANY ACTION</w:t>
      </w:r>
      <w:r>
        <w:rPr>
          <w:rFonts w:ascii="Arial" w:cs="Arial" w:eastAsia="Arial" w:hAnsi="Arial"/>
          <w:sz w:val="17"/>
          <w:szCs w:val="17"/>
          <w:color w:val="2A2A2D"/>
        </w:rPr>
        <w:t>,</w:t>
      </w:r>
      <w:r>
        <w:rPr>
          <w:rFonts w:ascii="Arial" w:cs="Arial" w:eastAsia="Arial" w:hAnsi="Arial"/>
          <w:sz w:val="17"/>
          <w:szCs w:val="17"/>
          <w:color w:val="auto"/>
        </w:rPr>
        <w:t xml:space="preserve"> PROCEEDING OR COUNTERCLAIM ARISING OUT OF OR RELATING TO THIS AGREEMENT OR THE TRANSACTIONS CONTEMPLATED HEREBY. EACH PARTY MAKES THIS WAIVER VOLUNTARILY AND SUCH PARTY HAS BEEN INDUCED TO ENTER INTO THIS AGREEMENT BY</w:t>
      </w:r>
      <w:r>
        <w:rPr>
          <w:rFonts w:ascii="Arial" w:cs="Arial" w:eastAsia="Arial" w:hAnsi="Arial"/>
          <w:sz w:val="17"/>
          <w:szCs w:val="17"/>
          <w:color w:val="2A2A2D"/>
        </w:rPr>
        <w:t>,</w:t>
      </w:r>
      <w:r>
        <w:rPr>
          <w:rFonts w:ascii="Arial" w:cs="Arial" w:eastAsia="Arial" w:hAnsi="Arial"/>
          <w:sz w:val="17"/>
          <w:szCs w:val="17"/>
          <w:color w:val="auto"/>
        </w:rPr>
        <w:t xml:space="preserve"> AMONG OTHER THINGS</w:t>
      </w:r>
      <w:r>
        <w:rPr>
          <w:rFonts w:ascii="Arial" w:cs="Arial" w:eastAsia="Arial" w:hAnsi="Arial"/>
          <w:sz w:val="17"/>
          <w:szCs w:val="17"/>
          <w:color w:val="2A2A2D"/>
        </w:rPr>
        <w:t>,</w:t>
      </w:r>
      <w:r>
        <w:rPr>
          <w:rFonts w:ascii="Arial" w:cs="Arial" w:eastAsia="Arial" w:hAnsi="Arial"/>
          <w:sz w:val="17"/>
          <w:szCs w:val="17"/>
          <w:color w:val="auto"/>
        </w:rPr>
        <w:t xml:space="preserve"> THE MUTUAL WAIVERS CONTAINED IN THIS SECTION 6.08.</w:t>
      </w:r>
    </w:p>
    <w:p>
      <w:pPr>
        <w:spacing w:after="0" w:line="14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provision of this Agreement is determined to be invalid</w:t>
      </w:r>
      <w:r>
        <w:rPr>
          <w:rFonts w:ascii="Arial" w:cs="Arial" w:eastAsia="Arial" w:hAnsi="Arial"/>
          <w:sz w:val="17"/>
          <w:szCs w:val="17"/>
          <w:color w:val="2A2A2D"/>
        </w:rPr>
        <w:t>,</w:t>
      </w:r>
      <w:r>
        <w:rPr>
          <w:rFonts w:ascii="Arial" w:cs="Arial" w:eastAsia="Arial" w:hAnsi="Arial"/>
          <w:sz w:val="17"/>
          <w:szCs w:val="17"/>
          <w:color w:val="auto"/>
        </w:rPr>
        <w:t xml:space="preserve"> illegal or unenforceable</w:t>
      </w:r>
      <w:r>
        <w:rPr>
          <w:rFonts w:ascii="Arial" w:cs="Arial" w:eastAsia="Arial" w:hAnsi="Arial"/>
          <w:sz w:val="17"/>
          <w:szCs w:val="17"/>
          <w:color w:val="2A2A2D"/>
        </w:rPr>
        <w:t>,</w:t>
      </w:r>
      <w:r>
        <w:rPr>
          <w:rFonts w:ascii="Arial" w:cs="Arial" w:eastAsia="Arial" w:hAnsi="Arial"/>
          <w:sz w:val="17"/>
          <w:szCs w:val="17"/>
          <w:color w:val="auto"/>
        </w:rPr>
        <w:t xml:space="preserve"> the remaining provisions of this Agreement shall remain in full force and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economic and legal substance of</w:t>
      </w:r>
      <w:r>
        <w:rPr>
          <w:rFonts w:ascii="Arial" w:cs="Arial" w:eastAsia="Arial" w:hAnsi="Arial"/>
          <w:sz w:val="17"/>
          <w:szCs w:val="17"/>
          <w:color w:val="2A2A2D"/>
        </w:rPr>
        <w:t>,</w:t>
      </w:r>
      <w:r>
        <w:rPr>
          <w:rFonts w:ascii="Arial" w:cs="Arial" w:eastAsia="Arial" w:hAnsi="Arial"/>
          <w:sz w:val="17"/>
          <w:szCs w:val="17"/>
          <w:color w:val="auto"/>
        </w:rPr>
        <w:t xml:space="preserve"> any of the Transactions is not affected in any manner materially adverse to any party. In the event of any such determination</w:t>
      </w:r>
      <w:r>
        <w:rPr>
          <w:rFonts w:ascii="Arial" w:cs="Arial" w:eastAsia="Arial" w:hAnsi="Arial"/>
          <w:sz w:val="17"/>
          <w:szCs w:val="17"/>
          <w:color w:val="2A2A2D"/>
        </w:rPr>
        <w:t>,</w:t>
      </w:r>
      <w:r>
        <w:rPr>
          <w:rFonts w:ascii="Arial" w:cs="Arial" w:eastAsia="Arial" w:hAnsi="Arial"/>
          <w:sz w:val="17"/>
          <w:szCs w:val="17"/>
          <w:color w:val="auto"/>
        </w:rPr>
        <w:t xml:space="preserve"> the parties agree to negotiate in good faith to modify this Agreement to fulfill as closely as possible the original intent and purpose hereof. To the extent permitted by law</w:t>
      </w:r>
      <w:r>
        <w:rPr>
          <w:rFonts w:ascii="Arial" w:cs="Arial" w:eastAsia="Arial" w:hAnsi="Arial"/>
          <w:sz w:val="17"/>
          <w:szCs w:val="17"/>
          <w:color w:val="2A2A2D"/>
        </w:rPr>
        <w:t>,</w:t>
      </w:r>
      <w:r>
        <w:rPr>
          <w:rFonts w:ascii="Arial" w:cs="Arial" w:eastAsia="Arial" w:hAnsi="Arial"/>
          <w:sz w:val="17"/>
          <w:szCs w:val="17"/>
          <w:color w:val="auto"/>
        </w:rPr>
        <w:t xml:space="preserve"> the parties hereby to the same extent waive any provision of law that renders any provision hereof prohibited or unenforceable in any respect.</w:t>
      </w:r>
    </w:p>
    <w:p>
      <w:pPr>
        <w:spacing w:after="0" w:line="147" w:lineRule="exact"/>
        <w:rPr>
          <w:sz w:val="20"/>
          <w:szCs w:val="20"/>
          <w:color w:val="auto"/>
        </w:rPr>
      </w:pPr>
    </w:p>
    <w:p>
      <w:pPr>
        <w:ind w:firstLine="509"/>
        <w:spacing w:after="0" w:line="288"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5"/>
          <w:szCs w:val="15"/>
          <w:i w:val="1"/>
          <w:iCs w:val="1"/>
          <w:color w:val="auto"/>
        </w:rPr>
        <w:t>Specific Performance.</w:t>
      </w:r>
      <w:r>
        <w:rPr>
          <w:rFonts w:ascii="Arial" w:cs="Arial" w:eastAsia="Arial" w:hAnsi="Arial"/>
          <w:sz w:val="15"/>
          <w:szCs w:val="15"/>
          <w:color w:val="auto"/>
        </w:rPr>
        <w:t xml:space="preserve"> The parties agree that irreparable damage would occur in the event that any of the provisions of this Agreement were not performed in accordance with their specific terms or were otherwise breached. Accordingly</w:t>
      </w:r>
      <w:r>
        <w:rPr>
          <w:rFonts w:ascii="Arial" w:cs="Arial" w:eastAsia="Arial" w:hAnsi="Arial"/>
          <w:sz w:val="15"/>
          <w:szCs w:val="15"/>
          <w:color w:val="2A2A2D"/>
        </w:rPr>
        <w:t>,</w:t>
      </w:r>
      <w:r>
        <w:rPr>
          <w:rFonts w:ascii="Arial" w:cs="Arial" w:eastAsia="Arial" w:hAnsi="Arial"/>
          <w:sz w:val="15"/>
          <w:szCs w:val="15"/>
          <w:color w:val="auto"/>
        </w:rPr>
        <w:t xml:space="preserve"> each party agrees that in the event of any breach or threatened breach by any other party of any covenant or obligation contained in this Agreement</w:t>
      </w:r>
      <w:r>
        <w:rPr>
          <w:rFonts w:ascii="Arial" w:cs="Arial" w:eastAsia="Arial" w:hAnsi="Arial"/>
          <w:sz w:val="15"/>
          <w:szCs w:val="15"/>
          <w:color w:val="2A2A2D"/>
        </w:rPr>
        <w:t>,</w:t>
      </w:r>
      <w:r>
        <w:rPr>
          <w:rFonts w:ascii="Arial" w:cs="Arial" w:eastAsia="Arial" w:hAnsi="Arial"/>
          <w:sz w:val="15"/>
          <w:szCs w:val="15"/>
          <w:color w:val="auto"/>
        </w:rPr>
        <w:t xml:space="preserve"> the non-breaching party shall be entitled (in addition to any other remedy that may be available to it</w:t>
      </w:r>
      <w:r>
        <w:rPr>
          <w:rFonts w:ascii="Arial" w:cs="Arial" w:eastAsia="Arial" w:hAnsi="Arial"/>
          <w:sz w:val="15"/>
          <w:szCs w:val="15"/>
          <w:color w:val="2A2A2D"/>
        </w:rPr>
        <w:t>,</w:t>
      </w:r>
      <w:r>
        <w:rPr>
          <w:rFonts w:ascii="Arial" w:cs="Arial" w:eastAsia="Arial" w:hAnsi="Arial"/>
          <w:sz w:val="15"/>
          <w:szCs w:val="15"/>
          <w:color w:val="auto"/>
        </w:rPr>
        <w:t xml:space="preserve"> whether in law or equity) to obtain a decree or order of specific performance to enforce the observance and performance of such covenant or obligation</w:t>
      </w:r>
      <w:r>
        <w:rPr>
          <w:rFonts w:ascii="Arial" w:cs="Arial" w:eastAsia="Arial" w:hAnsi="Arial"/>
          <w:sz w:val="15"/>
          <w:szCs w:val="15"/>
          <w:color w:val="2A2A2D"/>
        </w:rPr>
        <w:t>,</w:t>
      </w:r>
      <w:r>
        <w:rPr>
          <w:rFonts w:ascii="Arial" w:cs="Arial" w:eastAsia="Arial" w:hAnsi="Arial"/>
          <w:sz w:val="15"/>
          <w:szCs w:val="15"/>
          <w:color w:val="auto"/>
        </w:rPr>
        <w:t xml:space="preserve"> and an injunction restraining such breach or threatened breach</w:t>
      </w:r>
      <w:r>
        <w:rPr>
          <w:rFonts w:ascii="Arial" w:cs="Arial" w:eastAsia="Arial" w:hAnsi="Arial"/>
          <w:sz w:val="15"/>
          <w:szCs w:val="15"/>
          <w:color w:val="2A2A2D"/>
        </w:rPr>
        <w:t>.</w:t>
      </w:r>
      <w:r>
        <w:rPr>
          <w:rFonts w:ascii="Arial" w:cs="Arial" w:eastAsia="Arial" w:hAnsi="Arial"/>
          <w:sz w:val="15"/>
          <w:szCs w:val="15"/>
          <w:color w:val="auto"/>
        </w:rPr>
        <w:t xml:space="preserve">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80"/>
          </w:cols>
          <w:pgMar w:left="300" w:top="1152" w:right="319" w:bottom="1440" w:gutter="0" w:footer="0" w:header="0"/>
        </w:sectPr>
      </w:pPr>
    </w:p>
    <w:bookmarkStart w:id="174" w:name="page175"/>
    <w:bookmarkEnd w:id="174"/>
    <w:p>
      <w:pPr>
        <w:ind w:right="640" w:firstLine="509"/>
        <w:spacing w:after="0" w:line="271"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Articles and Sections contained in this Agreement are for reference purposes only and are not part of this Agreement.</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Non-Recourse.</w:t>
      </w:r>
      <w:r>
        <w:rPr>
          <w:rFonts w:ascii="Arial" w:cs="Arial" w:eastAsia="Arial" w:hAnsi="Arial"/>
          <w:sz w:val="16"/>
          <w:szCs w:val="16"/>
          <w:color w:val="auto"/>
        </w:rPr>
        <w:t xml:space="preserve">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w:t>
      </w:r>
      <w:r>
        <w:rPr>
          <w:rFonts w:ascii="Arial" w:cs="Arial" w:eastAsia="Arial" w:hAnsi="Arial"/>
          <w:sz w:val="16"/>
          <w:szCs w:val="16"/>
          <w:color w:val="110F15"/>
        </w:rPr>
        <w:t>Except as set forth in the immediately preceding sentence</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F15"/>
        </w:rPr>
        <w:t>no past</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F15"/>
        </w:rPr>
        <w:t>present or future director</w:t>
      </w:r>
      <w:r>
        <w:rPr>
          <w:rFonts w:ascii="Arial" w:cs="Arial" w:eastAsia="Arial" w:hAnsi="Arial"/>
          <w:sz w:val="16"/>
          <w:szCs w:val="16"/>
          <w:color w:val="2A2A2D"/>
        </w:rPr>
        <w:t>,</w:t>
      </w:r>
      <w:r>
        <w:rPr>
          <w:rFonts w:ascii="Arial" w:cs="Arial" w:eastAsia="Arial" w:hAnsi="Arial"/>
          <w:sz w:val="16"/>
          <w:szCs w:val="16"/>
          <w:color w:val="auto"/>
        </w:rPr>
        <w:t xml:space="preserve"> </w:t>
      </w:r>
      <w:r>
        <w:rPr>
          <w:rFonts w:ascii="Arial" w:cs="Arial" w:eastAsia="Arial" w:hAnsi="Arial"/>
          <w:sz w:val="16"/>
          <w:szCs w:val="16"/>
          <w:color w:val="110F15"/>
        </w:rPr>
        <w:t>officer</w:t>
      </w:r>
      <w:r>
        <w:rPr>
          <w:rFonts w:ascii="Arial" w:cs="Arial" w:eastAsia="Arial" w:hAnsi="Arial"/>
          <w:sz w:val="16"/>
          <w:szCs w:val="16"/>
          <w:color w:val="2A2A2D"/>
        </w:rPr>
        <w:t>,</w:t>
      </w:r>
      <w:r>
        <w:rPr>
          <w:rFonts w:ascii="Arial" w:cs="Arial" w:eastAsia="Arial" w:hAnsi="Arial"/>
          <w:sz w:val="16"/>
          <w:szCs w:val="16"/>
          <w:color w:val="110F15"/>
        </w:rPr>
        <w:t xml:space="preserve"> employee</w:t>
      </w:r>
      <w:r>
        <w:rPr>
          <w:rFonts w:ascii="Arial" w:cs="Arial" w:eastAsia="Arial" w:hAnsi="Arial"/>
          <w:sz w:val="16"/>
          <w:szCs w:val="16"/>
          <w:color w:val="2A2A2D"/>
        </w:rPr>
        <w:t>,</w:t>
      </w:r>
      <w:r>
        <w:rPr>
          <w:rFonts w:ascii="Arial" w:cs="Arial" w:eastAsia="Arial" w:hAnsi="Arial"/>
          <w:sz w:val="16"/>
          <w:szCs w:val="16"/>
          <w:color w:val="110F15"/>
        </w:rPr>
        <w:t xml:space="preserve"> incorporator</w:t>
      </w:r>
      <w:r>
        <w:rPr>
          <w:rFonts w:ascii="Arial" w:cs="Arial" w:eastAsia="Arial" w:hAnsi="Arial"/>
          <w:sz w:val="16"/>
          <w:szCs w:val="16"/>
          <w:color w:val="2A2A2D"/>
        </w:rPr>
        <w:t>,</w:t>
      </w:r>
      <w:r>
        <w:rPr>
          <w:rFonts w:ascii="Arial" w:cs="Arial" w:eastAsia="Arial" w:hAnsi="Arial"/>
          <w:sz w:val="16"/>
          <w:szCs w:val="16"/>
          <w:color w:val="110F15"/>
        </w:rPr>
        <w:t xml:space="preserve"> member</w:t>
      </w:r>
      <w:r>
        <w:rPr>
          <w:rFonts w:ascii="Arial" w:cs="Arial" w:eastAsia="Arial" w:hAnsi="Arial"/>
          <w:sz w:val="16"/>
          <w:szCs w:val="16"/>
          <w:color w:val="2A2A2D"/>
        </w:rPr>
        <w:t>,</w:t>
      </w:r>
      <w:r>
        <w:rPr>
          <w:rFonts w:ascii="Arial" w:cs="Arial" w:eastAsia="Arial" w:hAnsi="Arial"/>
          <w:sz w:val="16"/>
          <w:szCs w:val="16"/>
          <w:color w:val="110F15"/>
        </w:rPr>
        <w:t xml:space="preserve"> partners</w:t>
      </w:r>
      <w:r>
        <w:rPr>
          <w:rFonts w:ascii="Arial" w:cs="Arial" w:eastAsia="Arial" w:hAnsi="Arial"/>
          <w:sz w:val="16"/>
          <w:szCs w:val="16"/>
          <w:color w:val="3B3A3A"/>
        </w:rPr>
        <w:t>,</w:t>
      </w:r>
      <w:r>
        <w:rPr>
          <w:rFonts w:ascii="Arial" w:cs="Arial" w:eastAsia="Arial" w:hAnsi="Arial"/>
          <w:sz w:val="16"/>
          <w:szCs w:val="16"/>
          <w:color w:val="110F15"/>
        </w:rPr>
        <w:t xml:space="preserve"> stockholder</w:t>
      </w:r>
      <w:r>
        <w:rPr>
          <w:rFonts w:ascii="Arial" w:cs="Arial" w:eastAsia="Arial" w:hAnsi="Arial"/>
          <w:sz w:val="16"/>
          <w:szCs w:val="16"/>
          <w:color w:val="2A2A2D"/>
        </w:rPr>
        <w:t>,</w:t>
      </w:r>
      <w:r>
        <w:rPr>
          <w:rFonts w:ascii="Arial" w:cs="Arial" w:eastAsia="Arial" w:hAnsi="Arial"/>
          <w:sz w:val="16"/>
          <w:szCs w:val="16"/>
          <w:color w:val="110F15"/>
        </w:rPr>
        <w:t xml:space="preserve"> Affiliate</w:t>
      </w:r>
      <w:r>
        <w:rPr>
          <w:rFonts w:ascii="Arial" w:cs="Arial" w:eastAsia="Arial" w:hAnsi="Arial"/>
          <w:sz w:val="16"/>
          <w:szCs w:val="16"/>
          <w:color w:val="2A2A2D"/>
        </w:rPr>
        <w:t>,</w:t>
      </w:r>
      <w:r>
        <w:rPr>
          <w:rFonts w:ascii="Arial" w:cs="Arial" w:eastAsia="Arial" w:hAnsi="Arial"/>
          <w:sz w:val="16"/>
          <w:szCs w:val="16"/>
          <w:color w:val="110F15"/>
        </w:rPr>
        <w:t xml:space="preserve"> agent</w:t>
      </w:r>
      <w:r>
        <w:rPr>
          <w:rFonts w:ascii="Arial" w:cs="Arial" w:eastAsia="Arial" w:hAnsi="Arial"/>
          <w:sz w:val="16"/>
          <w:szCs w:val="16"/>
          <w:color w:val="2A2A2D"/>
        </w:rPr>
        <w:t>,</w:t>
      </w:r>
      <w:r>
        <w:rPr>
          <w:rFonts w:ascii="Arial" w:cs="Arial" w:eastAsia="Arial" w:hAnsi="Arial"/>
          <w:sz w:val="16"/>
          <w:szCs w:val="16"/>
          <w:color w:val="110F15"/>
        </w:rPr>
        <w:t xml:space="preserve"> attorney</w:t>
      </w:r>
      <w:r>
        <w:rPr>
          <w:rFonts w:ascii="Arial" w:cs="Arial" w:eastAsia="Arial" w:hAnsi="Arial"/>
          <w:sz w:val="16"/>
          <w:szCs w:val="16"/>
          <w:color w:val="2A2A2D"/>
        </w:rPr>
        <w:t>,</w:t>
      </w:r>
      <w:r>
        <w:rPr>
          <w:rFonts w:ascii="Arial" w:cs="Arial" w:eastAsia="Arial" w:hAnsi="Arial"/>
          <w:sz w:val="16"/>
          <w:szCs w:val="16"/>
          <w:color w:val="110F15"/>
        </w:rPr>
        <w:t xml:space="preserve"> advisor or representative of any party hereto or of any Affiliate of a party hereto (collectively, the </w:t>
      </w:r>
      <w:r>
        <w:rPr>
          <w:rFonts w:ascii="Arial" w:cs="Arial" w:eastAsia="Arial" w:hAnsi="Arial"/>
          <w:sz w:val="16"/>
          <w:szCs w:val="16"/>
          <w:color w:val="2A2A2D"/>
        </w:rPr>
        <w:t>“</w:t>
      </w:r>
      <w:r>
        <w:rPr>
          <w:rFonts w:ascii="Arial" w:cs="Arial" w:eastAsia="Arial" w:hAnsi="Arial"/>
          <w:sz w:val="16"/>
          <w:szCs w:val="16"/>
          <w:b w:val="1"/>
          <w:bCs w:val="1"/>
          <w:color w:val="110F15"/>
        </w:rPr>
        <w:t>Specified Persons</w:t>
      </w:r>
      <w:r>
        <w:rPr>
          <w:rFonts w:ascii="Arial" w:cs="Arial" w:eastAsia="Arial" w:hAnsi="Arial"/>
          <w:sz w:val="16"/>
          <w:szCs w:val="16"/>
          <w:color w:val="110F15"/>
        </w:rPr>
        <w:t>”</w:t>
      </w:r>
      <w:r>
        <w:rPr>
          <w:rFonts w:ascii="Arial" w:cs="Arial" w:eastAsia="Arial" w:hAnsi="Arial"/>
          <w:sz w:val="16"/>
          <w:szCs w:val="16"/>
          <w:b w:val="1"/>
          <w:bCs w:val="1"/>
          <w:color w:val="110F15"/>
        </w:rPr>
        <w:t>)</w:t>
      </w:r>
      <w:r>
        <w:rPr>
          <w:rFonts w:ascii="Arial" w:cs="Arial" w:eastAsia="Arial" w:hAnsi="Arial"/>
          <w:sz w:val="16"/>
          <w:szCs w:val="16"/>
          <w:color w:val="110F15"/>
        </w:rPr>
        <w:t xml:space="preserve"> shall have any liability for any obligations or liabilities of any party hereto under this Agreement or for any claim based on</w:t>
      </w:r>
      <w:r>
        <w:rPr>
          <w:rFonts w:ascii="Arial" w:cs="Arial" w:eastAsia="Arial" w:hAnsi="Arial"/>
          <w:sz w:val="16"/>
          <w:szCs w:val="16"/>
          <w:color w:val="2A2A2D"/>
        </w:rPr>
        <w:t>,</w:t>
      </w:r>
      <w:r>
        <w:rPr>
          <w:rFonts w:ascii="Arial" w:cs="Arial" w:eastAsia="Arial" w:hAnsi="Arial"/>
          <w:sz w:val="16"/>
          <w:szCs w:val="16"/>
          <w:color w:val="110F15"/>
        </w:rPr>
        <w:t xml:space="preserve"> in respect of</w:t>
      </w:r>
      <w:r>
        <w:rPr>
          <w:rFonts w:ascii="Arial" w:cs="Arial" w:eastAsia="Arial" w:hAnsi="Arial"/>
          <w:sz w:val="16"/>
          <w:szCs w:val="16"/>
          <w:color w:val="2A2A2D"/>
        </w:rPr>
        <w:t>,</w:t>
      </w:r>
      <w:r>
        <w:rPr>
          <w:rFonts w:ascii="Arial" w:cs="Arial" w:eastAsia="Arial" w:hAnsi="Arial"/>
          <w:sz w:val="16"/>
          <w:szCs w:val="16"/>
          <w:color w:val="110F15"/>
        </w:rPr>
        <w:t xml:space="preserve"> or by reason of</w:t>
      </w:r>
      <w:r>
        <w:rPr>
          <w:rFonts w:ascii="Arial" w:cs="Arial" w:eastAsia="Arial" w:hAnsi="Arial"/>
          <w:sz w:val="16"/>
          <w:szCs w:val="16"/>
          <w:color w:val="2A2A2D"/>
        </w:rPr>
        <w:t>,</w:t>
      </w:r>
      <w:r>
        <w:rPr>
          <w:rFonts w:ascii="Arial" w:cs="Arial" w:eastAsia="Arial" w:hAnsi="Arial"/>
          <w:sz w:val="16"/>
          <w:szCs w:val="16"/>
          <w:color w:val="110F15"/>
        </w:rPr>
        <w:t xml:space="preserve"> the transactions contemplated hereby.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110F15"/>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300" w:top="1152" w:right="339" w:bottom="1440" w:gutter="0" w:footer="0" w:header="0"/>
        </w:sectPr>
      </w:pPr>
    </w:p>
    <w:bookmarkStart w:id="175" w:name="page176"/>
    <w:bookmarkEnd w:id="175"/>
    <w:p>
      <w:pPr>
        <w:ind w:firstLine="509"/>
        <w:spacing w:after="0" w:line="271" w:lineRule="auto"/>
        <w:rPr>
          <w:sz w:val="20"/>
          <w:szCs w:val="20"/>
          <w:color w:val="auto"/>
        </w:rPr>
      </w:pPr>
      <w:r>
        <w:rPr>
          <w:rFonts w:ascii="Arial" w:cs="Arial" w:eastAsia="Arial" w:hAnsi="Arial"/>
          <w:sz w:val="17"/>
          <w:szCs w:val="17"/>
          <w:color w:val="auto"/>
        </w:rPr>
        <w:t>IN WITNESS WHEREOF, this Agreement has been executed by the parties hereto or by their respective duly authorized officers, all of the dale first above written.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EOS Energy Enterprises, Inc.</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Sagar Kurada</w:t>
            </w:r>
          </w:p>
        </w:tc>
      </w:tr>
      <w:tr>
        <w:trPr>
          <w:trHeight w:val="228"/>
        </w:trPr>
        <w:tc>
          <w:tcPr>
            <w:tcW w:w="8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w w:val="91"/>
              </w:rPr>
              <w:t>Name:</w:t>
            </w:r>
          </w:p>
        </w:tc>
        <w:tc>
          <w:tcPr>
            <w:tcW w:w="4600" w:type="dxa"/>
            <w:vAlign w:val="bottom"/>
          </w:tcPr>
          <w:p>
            <w:pPr>
              <w:ind w:left="140"/>
              <w:spacing w:after="0"/>
              <w:rPr>
                <w:sz w:val="20"/>
                <w:szCs w:val="20"/>
                <w:color w:val="auto"/>
              </w:rPr>
            </w:pPr>
            <w:r>
              <w:rPr>
                <w:rFonts w:ascii="Arial" w:cs="Arial" w:eastAsia="Arial" w:hAnsi="Arial"/>
                <w:sz w:val="17"/>
                <w:szCs w:val="17"/>
                <w:color w:val="auto"/>
              </w:rPr>
              <w:t>Sagar Kurada</w:t>
            </w:r>
          </w:p>
        </w:tc>
      </w:tr>
      <w:tr>
        <w:trPr>
          <w:trHeight w:val="244"/>
        </w:trPr>
        <w:tc>
          <w:tcPr>
            <w:tcW w:w="8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rPr>
              <w:t>Title:</w:t>
            </w:r>
          </w:p>
        </w:tc>
        <w:tc>
          <w:tcPr>
            <w:tcW w:w="46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Investment Agreement</w:t>
      </w:r>
      <w:r>
        <w:rPr>
          <w:rFonts w:ascii="Arial" w:cs="Arial" w:eastAsia="Arial" w:hAnsi="Arial"/>
          <w:sz w:val="17"/>
          <w:szCs w:val="17"/>
          <w:color w:val="auto"/>
        </w:rPr>
        <w:t>]</w:t>
      </w:r>
    </w:p>
    <w:p>
      <w:pPr>
        <w:sectPr>
          <w:pgSz w:w="11900" w:h="16838" w:orient="portrait"/>
          <w:cols w:equalWidth="0" w:num="1">
            <w:col w:w="11060"/>
          </w:cols>
          <w:pgMar w:left="300" w:top="1152" w:right="5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Spring Creek Capital, LLC</w:t>
      </w:r>
    </w:p>
    <w:p>
      <w:pPr>
        <w:spacing w:after="0" w:line="4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Eric K. Butcher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20955</wp:posOffset>
            </wp:positionV>
            <wp:extent cx="323405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9"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Eric K. Butcher</w:t>
      </w:r>
    </w:p>
    <w:p>
      <w:pPr>
        <w:spacing w:after="0" w:line="49"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30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Investment Agreement</w:t>
      </w:r>
      <w:r>
        <w:rPr>
          <w:rFonts w:ascii="Arial" w:cs="Arial" w:eastAsia="Arial" w:hAnsi="Arial"/>
          <w:sz w:val="17"/>
          <w:szCs w:val="17"/>
          <w:color w:val="auto"/>
        </w:rPr>
        <w:t>]</w:t>
      </w:r>
    </w:p>
    <w:p>
      <w:pPr>
        <w:sectPr>
          <w:pgSz w:w="11900" w:h="16838" w:orient="portrait"/>
          <w:cols w:equalWidth="0" w:num="1">
            <w:col w:w="10139"/>
          </w:cols>
          <w:pgMar w:left="320" w:top="1194"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A</w:t>
      </w:r>
    </w:p>
    <w:p>
      <w:pPr>
        <w:spacing w:after="0" w:line="176"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Form of Note</w:t>
      </w:r>
    </w:p>
    <w:p>
      <w:pPr>
        <w:spacing w:after="0" w:line="1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EXCEPT:</w:t>
      </w:r>
    </w:p>
    <w:p>
      <w:pPr>
        <w:spacing w:after="0" w:line="131" w:lineRule="exact"/>
        <w:rPr>
          <w:sz w:val="20"/>
          <w:szCs w:val="20"/>
          <w:color w:val="auto"/>
        </w:rPr>
      </w:pPr>
    </w:p>
    <w:p>
      <w:pPr>
        <w:ind w:left="1820" w:hanging="287"/>
        <w:spacing w:after="0"/>
        <w:tabs>
          <w:tab w:leader="none" w:pos="18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THE COMPANY OR ANY SUBSIDIARY THEREOF, OR</w:t>
      </w:r>
    </w:p>
    <w:p>
      <w:pPr>
        <w:spacing w:after="0" w:line="175" w:lineRule="exact"/>
        <w:rPr>
          <w:rFonts w:ascii="Arial" w:cs="Arial" w:eastAsia="Arial" w:hAnsi="Arial"/>
          <w:sz w:val="17"/>
          <w:szCs w:val="17"/>
          <w:color w:val="auto"/>
        </w:rPr>
      </w:pPr>
    </w:p>
    <w:p>
      <w:pPr>
        <w:ind w:left="1800" w:hanging="267"/>
        <w:spacing w:after="0"/>
        <w:tabs>
          <w:tab w:leader="none" w:pos="18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75" w:lineRule="exact"/>
        <w:rPr>
          <w:rFonts w:ascii="Arial" w:cs="Arial" w:eastAsia="Arial" w:hAnsi="Arial"/>
          <w:sz w:val="17"/>
          <w:szCs w:val="17"/>
          <w:color w:val="auto"/>
        </w:rPr>
      </w:pPr>
    </w:p>
    <w:p>
      <w:pPr>
        <w:ind w:left="1020" w:firstLine="513"/>
        <w:spacing w:after="0" w:line="271" w:lineRule="auto"/>
        <w:tabs>
          <w:tab w:leader="none" w:pos="180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THIS SECURITY IS SUBJECT TO RESTRICTIONS ON TRANSFER AS SET FORTH IN AN INVESTMENT AGREEMENT DATED AS OF JULY 6, 2021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4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THIS NOTE HAS BEEN ISSUED WITH “ORIGINAL ISSUE DISCOUNT” (WITHIN THE MEANING OF SECTION 1272 OF THE INTERNAL REVENUE CODE OF 1986, AS AMENDED). UPON WRITTEN REQUEST, THE ISSUER OF THIS NOTE WILL PROMPTLY MAKE AVAILABLE TO ANY HOLDER OF THIS NOTE THE</w:t>
      </w:r>
    </w:p>
    <w:p>
      <w:pPr>
        <w:sectPr>
          <w:pgSz w:w="11900" w:h="16838" w:orient="portrait"/>
          <w:cols w:equalWidth="0" w:num="1">
            <w:col w:w="11280"/>
          </w:cols>
          <w:pgMar w:left="300" w:top="1350" w:right="319" w:bottom="1440" w:gutter="0" w:footer="0" w:header="0"/>
        </w:sectPr>
      </w:pPr>
    </w:p>
    <w:bookmarkStart w:id="178" w:name="page179"/>
    <w:bookmarkEnd w:id="178"/>
    <w:p>
      <w:pPr>
        <w:jc w:val="both"/>
        <w:spacing w:after="0" w:line="259" w:lineRule="auto"/>
        <w:rPr>
          <w:sz w:val="20"/>
          <w:szCs w:val="20"/>
          <w:color w:val="auto"/>
        </w:rPr>
      </w:pPr>
      <w:r>
        <w:rPr>
          <w:rFonts w:ascii="Arial" w:cs="Arial" w:eastAsia="Arial" w:hAnsi="Arial"/>
          <w:sz w:val="17"/>
          <w:szCs w:val="17"/>
          <w:color w:val="auto"/>
        </w:rPr>
        <w:t>INFORMATION REQUIRED TO BE FURNISHED BY TREASURY REGULATIONS SECTION 1.1275-3. IN ORDER TO REQUEST SUCH INFORMATION, A HOLDER OF THIS NOTE SHOULD CONTACT THE CHIEF ACCOUNTING OFFICER AT 3920 PARK AVENUE, EDISON, NJ, 08820, PHONE NUMBER 732-225-8400.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300" w:top="1353" w:right="31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7"/>
          <w:szCs w:val="17"/>
          <w:color w:val="auto"/>
        </w:rPr>
        <w:t>Eos Energy Enterprises, Inc.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 Convertible Senior PIK Toggle Note due 2026</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C-1</w:t>
      </w:r>
      <w:r>
        <w:rPr>
          <w:sz w:val="20"/>
          <w:szCs w:val="20"/>
          <w:color w:val="auto"/>
        </w:rPr>
        <w:tab/>
      </w:r>
      <w:r>
        <w:rPr>
          <w:rFonts w:ascii="Arial" w:cs="Arial" w:eastAsia="Arial" w:hAnsi="Arial"/>
          <w:sz w:val="16"/>
          <w:szCs w:val="16"/>
          <w:color w:val="auto"/>
        </w:rPr>
        <w:t>Initially $100,000,000</w:t>
      </w:r>
    </w:p>
    <w:p>
      <w:pPr>
        <w:spacing w:after="0" w:line="17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Eos Energy Enterprises, Inc., a corporation duly organized and validly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corporation or other entity under the Indenture referred to on the reverse hereof), for value received hereby promises to pay to Spring Creek Capital, LLC, or registered assigns, the principal sum of the Capitalized Principal Amount corresponding to the Initial Principal Amount of $100,000,000, on June 30, 2026, and interest thereon as set forth below.</w:t>
      </w:r>
    </w:p>
    <w:p>
      <w:pPr>
        <w:spacing w:after="0" w:line="14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7"/>
          <w:szCs w:val="17"/>
          <w:color w:val="auto"/>
        </w:rPr>
        <w:t>This Note shall bear interest at the applicable Cash Interest Rate or PIK Interest Rate from July 7, 2021, or from the most recent date to which interest had been paid or provided for to, but excluding, the next scheduled Interest Payment Date until June 30, 2026. Interest is payable semi-annually in arrears in cash at the Cash Interest Rate or by PIK Payments at the PIK Interest Rate, pursuant to Section 2.03(d) of the Indenture, on each June 30 and December 30, commencing on December 30, 2021, to Holders of record at the close of business on the preceding June 15 and December 15 (whether or not such day is a Business Day), respectively.</w:t>
      </w:r>
    </w:p>
    <w:p>
      <w:pPr>
        <w:spacing w:after="0" w:line="14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Company shall make payments on the Notes in the manner set forth in the Indenture. The Company has initially designated itself as the Paying Agent, Conversion Agent and Note Registrar in respect of the Notes and its office in Edison, NJ as a place where Notes may be presented for payment or for registration of transfer and exchange.</w:t>
      </w:r>
    </w:p>
    <w:p>
      <w:pPr>
        <w:spacing w:after="0" w:line="14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20" w:lineRule="exact"/>
        <w:rPr>
          <w:sz w:val="20"/>
          <w:szCs w:val="20"/>
          <w:color w:val="auto"/>
        </w:rPr>
      </w:pPr>
    </w:p>
    <w:p>
      <w:pPr>
        <w:ind w:right="280" w:firstLine="509"/>
        <w:spacing w:after="0" w:line="276" w:lineRule="auto"/>
        <w:rPr>
          <w:sz w:val="20"/>
          <w:szCs w:val="20"/>
          <w:color w:val="auto"/>
        </w:rPr>
      </w:pPr>
      <w:r>
        <w:rPr>
          <w:rFonts w:ascii="Arial" w:cs="Arial" w:eastAsia="Arial" w:hAnsi="Arial"/>
          <w:sz w:val="17"/>
          <w:szCs w:val="17"/>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any conflict between this Note and the Indenture, the provisions of this Note shall control and govern.</w:t>
      </w:r>
    </w:p>
    <w:p>
      <w:pPr>
        <w:spacing w:after="0" w:line="17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353" w:right="319" w:bottom="1440" w:gutter="0" w:footer="0" w:header="0"/>
        </w:sectPr>
      </w:pPr>
    </w:p>
    <w:bookmarkStart w:id="180" w:name="page181"/>
    <w:bookmarkEnd w:id="180"/>
    <w:p>
      <w:pPr>
        <w:ind w:left="520"/>
        <w:spacing w:after="0"/>
        <w:rPr>
          <w:sz w:val="20"/>
          <w:szCs w:val="20"/>
          <w:color w:val="auto"/>
        </w:rPr>
      </w:pPr>
      <w:r>
        <w:rPr>
          <w:rFonts w:ascii="Arial" w:cs="Arial" w:eastAsia="Arial" w:hAnsi="Arial"/>
          <w:sz w:val="15"/>
          <w:szCs w:val="15"/>
          <w:color w:val="auto"/>
        </w:rPr>
        <w:t>IN WITNESS WHEREOF, the Company has caused this Note to be duly executed.</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EOS ENERGY ENTERPRISES, INC.</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20955</wp:posOffset>
            </wp:positionV>
            <wp:extent cx="28232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2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SPRING CREEK CAPITAL, LLC, as Holder</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p>
    <w:p>
      <w:pPr>
        <w:sectPr>
          <w:pgSz w:w="11900" w:h="16838" w:orient="portrait"/>
          <w:cols w:equalWidth="0" w:num="1">
            <w:col w:w="10159"/>
          </w:cols>
          <w:pgMar w:left="300" w:top="1152" w:right="1440" w:bottom="1440" w:gutter="0" w:footer="0" w:header="0"/>
        </w:sectPr>
      </w:pPr>
    </w:p>
    <w:bookmarkStart w:id="181" w:name="page182"/>
    <w:bookmarkEnd w:id="181"/>
    <w:p>
      <w:pPr>
        <w:ind w:left="4440"/>
        <w:spacing w:after="0"/>
        <w:rPr>
          <w:sz w:val="20"/>
          <w:szCs w:val="20"/>
          <w:color w:val="auto"/>
        </w:rPr>
      </w:pPr>
      <w:r>
        <w:rPr>
          <w:rFonts w:ascii="Arial" w:cs="Arial" w:eastAsia="Arial" w:hAnsi="Arial"/>
          <w:sz w:val="17"/>
          <w:szCs w:val="17"/>
          <w:color w:val="auto"/>
        </w:rPr>
        <w:t>[FORM OF REVERSE OF NOTE]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 Convertible Senior PIK Toggle Note due 2026</w:t>
      </w:r>
    </w:p>
    <w:p>
      <w:pPr>
        <w:spacing w:after="0" w:line="15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This Note is one of a duly authorized issue of Notes of the Company, designated as its 5%/6%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initially in the aggregate principal amount of $100,000,000 (as increased by any PIK Payments). Additional Notes may be issued in an unlimited aggregate principal amount, subject to certain conditions specified in the Indenture. Capitalized terms used in this Note and not defined in this Note shall have the respective meanings set forth in the Indenture (as amended in accordance herewith, the “</w:t>
      </w:r>
      <w:r>
        <w:rPr>
          <w:rFonts w:ascii="Arial" w:cs="Arial" w:eastAsia="Arial" w:hAnsi="Arial"/>
          <w:sz w:val="16"/>
          <w:szCs w:val="16"/>
          <w:b w:val="1"/>
          <w:bCs w:val="1"/>
          <w:color w:val="auto"/>
        </w:rPr>
        <w:t>Indenture</w:t>
      </w:r>
      <w:r>
        <w:rPr>
          <w:rFonts w:ascii="Arial" w:cs="Arial" w:eastAsia="Arial" w:hAnsi="Arial"/>
          <w:sz w:val="16"/>
          <w:szCs w:val="16"/>
          <w:color w:val="auto"/>
        </w:rPr>
        <w:t>”) attached hereto as Exhibit A. The originally issued Notes, all PIK Notes, and any additional Notes issued as set forth in the Indenture or this Note shall constitute a single class.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Incorporation by Reference of Provisions of the Indenture</w:t>
      </w:r>
      <w:r>
        <w:rPr>
          <w:rFonts w:ascii="Arial" w:cs="Arial" w:eastAsia="Arial" w:hAnsi="Arial"/>
          <w:sz w:val="17"/>
          <w:szCs w:val="17"/>
          <w:color w:val="auto"/>
        </w:rPr>
        <w:t>.</w:t>
      </w:r>
    </w:p>
    <w:p>
      <w:pPr>
        <w:spacing w:after="0" w:line="176" w:lineRule="exact"/>
        <w:rPr>
          <w:sz w:val="20"/>
          <w:szCs w:val="20"/>
          <w:color w:val="auto"/>
        </w:rPr>
      </w:pPr>
    </w:p>
    <w:p>
      <w:pPr>
        <w:ind w:firstLine="509"/>
        <w:spacing w:after="0" w:line="284" w:lineRule="auto"/>
        <w:rPr>
          <w:sz w:val="20"/>
          <w:szCs w:val="20"/>
          <w:color w:val="auto"/>
        </w:rPr>
      </w:pPr>
      <w:r>
        <w:rPr>
          <w:rFonts w:ascii="Arial" w:cs="Arial" w:eastAsia="Arial" w:hAnsi="Arial"/>
          <w:sz w:val="15"/>
          <w:szCs w:val="15"/>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 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R-1</w:t>
      </w:r>
    </w:p>
    <w:p>
      <w:pPr>
        <w:sectPr>
          <w:pgSz w:w="11900" w:h="16838" w:orient="portrait"/>
          <w:cols w:equalWidth="0" w:num="1">
            <w:col w:w="11240"/>
          </w:cols>
          <w:pgMar w:left="300" w:top="1152" w:right="359" w:bottom="1440" w:gutter="0" w:footer="0" w:header="0"/>
        </w:sectPr>
      </w:pPr>
    </w:p>
    <w:bookmarkStart w:id="182" w:name="page183"/>
    <w:bookmarkEnd w:id="182"/>
    <w:p>
      <w:pPr>
        <w:spacing w:after="0" w:line="267" w:lineRule="auto"/>
        <w:rPr>
          <w:sz w:val="20"/>
          <w:szCs w:val="20"/>
          <w:color w:val="auto"/>
        </w:rPr>
      </w:pPr>
      <w:r>
        <w:rPr>
          <w:rFonts w:ascii="Arial" w:cs="Arial" w:eastAsia="Arial" w:hAnsi="Arial"/>
          <w:sz w:val="16"/>
          <w:szCs w:val="16"/>
          <w:color w:val="auto"/>
        </w:rPr>
        <w:t>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 (c) 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17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At any time, in the Company’s sole discretion, the Company may appoint a trustee (the “</w:t>
      </w:r>
      <w:r>
        <w:rPr>
          <w:rFonts w:ascii="Arial" w:cs="Arial" w:eastAsia="Arial" w:hAnsi="Arial"/>
          <w:sz w:val="16"/>
          <w:szCs w:val="16"/>
          <w:b w:val="1"/>
          <w:bCs w:val="1"/>
          <w:color w:val="auto"/>
        </w:rPr>
        <w:t>Trustee</w:t>
      </w:r>
      <w:r>
        <w:rPr>
          <w:rFonts w:ascii="Arial" w:cs="Arial" w:eastAsia="Arial" w:hAnsi="Arial"/>
          <w:sz w:val="16"/>
          <w:szCs w:val="16"/>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Events of Default.</w:t>
      </w:r>
    </w:p>
    <w:p>
      <w:pPr>
        <w:spacing w:after="0" w:line="1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case certain Events of Default shall have occurred and be continuing, the principal of, and interest on, all Notes may be declared, by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Payments.</w:t>
      </w:r>
    </w:p>
    <w:p>
      <w:pPr>
        <w:spacing w:after="0" w:line="17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Subject to the terms and conditions of the Indenture, the Company will make all payments and deliveries in respect of the Fundamental Change Repurchase Price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R-2</w:t>
      </w:r>
    </w:p>
    <w:p>
      <w:pPr>
        <w:sectPr>
          <w:pgSz w:w="11900" w:h="16838" w:orient="portrait"/>
          <w:cols w:equalWidth="0" w:num="1">
            <w:col w:w="11280"/>
          </w:cols>
          <w:pgMar w:left="300" w:top="1152" w:right="319" w:bottom="1440" w:gutter="0" w:footer="0" w:header="0"/>
        </w:sectPr>
      </w:pPr>
    </w:p>
    <w:bookmarkStart w:id="183" w:name="page184"/>
    <w:bookmarkEnd w:id="183"/>
    <w:p>
      <w:pPr>
        <w:ind w:right="80"/>
        <w:spacing w:after="0" w:line="259" w:lineRule="auto"/>
        <w:rPr>
          <w:sz w:val="20"/>
          <w:szCs w:val="20"/>
          <w:color w:val="auto"/>
        </w:rPr>
      </w:pPr>
      <w:r>
        <w:rPr>
          <w:rFonts w:ascii="Arial" w:cs="Arial" w:eastAsia="Arial" w:hAnsi="Arial"/>
          <w:sz w:val="17"/>
          <w:szCs w:val="17"/>
          <w:color w:val="auto"/>
        </w:rPr>
        <w:t>Fundamental Change Repurchase Date, the Redemption Price on any Redemption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Amendments and Waivers.</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Right to Payments.</w:t>
      </w:r>
    </w:p>
    <w:p>
      <w:pPr>
        <w:spacing w:after="0" w:line="176"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Registered Form; Denominations; Transfer and Exchange.</w:t>
      </w:r>
    </w:p>
    <w:p>
      <w:pPr>
        <w:spacing w:after="0" w:line="176"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Redemption.</w:t>
      </w:r>
    </w:p>
    <w:p>
      <w:pPr>
        <w:spacing w:after="0" w:line="17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The Notes shall be redeemable at the Company’s option on or after June 30, 2024 in accordance with the terms and subject to the conditions specified in the Indenture. No sinking fund is provided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R-3</w:t>
      </w:r>
    </w:p>
    <w:p>
      <w:pPr>
        <w:sectPr>
          <w:pgSz w:w="11900" w:h="16838" w:orient="portrait"/>
          <w:cols w:equalWidth="0" w:num="1">
            <w:col w:w="11240"/>
          </w:cols>
          <w:pgMar w:left="300" w:top="1152" w:right="359" w:bottom="1440" w:gutter="0" w:footer="0" w:header="0"/>
        </w:sectPr>
      </w:pPr>
    </w:p>
    <w:bookmarkStart w:id="184" w:name="page185"/>
    <w:bookmarkEnd w:id="184"/>
    <w:p>
      <w:pPr>
        <w:ind w:left="520"/>
        <w:spacing w:after="0"/>
        <w:rPr>
          <w:sz w:val="20"/>
          <w:szCs w:val="20"/>
          <w:color w:val="auto"/>
        </w:rPr>
      </w:pPr>
      <w:r>
        <w:rPr>
          <w:rFonts w:ascii="Arial" w:cs="Arial" w:eastAsia="Arial" w:hAnsi="Arial"/>
          <w:sz w:val="17"/>
          <w:szCs w:val="17"/>
          <w:i w:val="1"/>
          <w:iCs w:val="1"/>
          <w:color w:val="auto"/>
        </w:rPr>
        <w:t>Fundamental Change Repurchase Right.</w:t>
      </w:r>
    </w:p>
    <w:p>
      <w:pPr>
        <w:spacing w:after="0" w:line="17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Upon the occurrence of a Fundamental Change, the Holder has the right, at such Holder’s option, to require the Company to repurchase for cash all of such Holder’s Notes or any portion thereof (in principal amounts of $1,000 or integral multiples of $1.00 in excess thereof) on the Fundamental Change Repurchase Date at a price equal to the Fundamental Change Repurchase Price.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Conversion Rights.</w:t>
      </w:r>
    </w:p>
    <w:p>
      <w:pPr>
        <w:spacing w:after="0" w:line="1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cash, shares of Common Stock or a combination of cash and shares of Common Stock, as applicable, at the Conversion Rate specified in the Indenture, as adjusted from time to time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R-4</w:t>
      </w:r>
    </w:p>
    <w:p>
      <w:pPr>
        <w:sectPr>
          <w:pgSz w:w="11900" w:h="16838" w:orient="portrait"/>
          <w:cols w:equalWidth="0" w:num="1">
            <w:col w:w="11160"/>
          </w:cols>
          <w:pgMar w:left="300" w:top="1152" w:right="439" w:bottom="1440" w:gutter="0" w:footer="0" w:header="0"/>
        </w:sectPr>
      </w:pPr>
    </w:p>
    <w:bookmarkStart w:id="185" w:name="page186"/>
    <w:bookmarkEnd w:id="185"/>
    <w:p>
      <w:pPr>
        <w:jc w:val="center"/>
        <w:ind w:right="-419"/>
        <w:spacing w:after="0"/>
        <w:rPr>
          <w:sz w:val="20"/>
          <w:szCs w:val="20"/>
          <w:color w:val="auto"/>
        </w:rPr>
      </w:pPr>
      <w:r>
        <w:rPr>
          <w:rFonts w:ascii="Arial" w:cs="Arial" w:eastAsia="Arial" w:hAnsi="Arial"/>
          <w:sz w:val="17"/>
          <w:szCs w:val="17"/>
          <w:color w:val="auto"/>
        </w:rPr>
        <w:t>ABBREVIATIONS</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following abbreviations, when used in the inscription of the face of this Note, shall be construed as though they were written out in full according to applicable laws or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TEN COM = as tenants in common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Uniform Gifts to Minors 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CUST = Custodian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ENT = as tenants by the entireties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JT TEN = joint tenants with right of survivorship and not as tenants in common</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R-5</w:t>
      </w:r>
    </w:p>
    <w:p>
      <w:pPr>
        <w:sectPr>
          <w:pgSz w:w="11900" w:h="16838" w:orient="portrait"/>
          <w:cols w:equalWidth="0" w:num="1">
            <w:col w:w="10880"/>
          </w:cols>
          <w:pgMar w:left="300" w:top="1152" w:right="7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ATTACHMENT 1</w:t>
      </w:r>
    </w:p>
    <w:p>
      <w:pPr>
        <w:spacing w:after="0" w:line="1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[FORM OF NOTICE OF CONVERSION]</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83" w:lineRule="exact"/>
        <w:rPr>
          <w:sz w:val="20"/>
          <w:szCs w:val="20"/>
          <w:color w:val="auto"/>
        </w:rPr>
      </w:pPr>
    </w:p>
    <w:p>
      <w:pPr>
        <w:ind w:right="240" w:firstLine="509"/>
        <w:spacing w:after="0" w:line="288" w:lineRule="auto"/>
        <w:rPr>
          <w:sz w:val="20"/>
          <w:szCs w:val="20"/>
          <w:color w:val="auto"/>
        </w:rPr>
      </w:pPr>
      <w:r>
        <w:rPr>
          <w:rFonts w:ascii="Arial" w:cs="Arial" w:eastAsia="Arial" w:hAnsi="Arial"/>
          <w:sz w:val="15"/>
          <w:szCs w:val="15"/>
          <w:color w:val="auto"/>
        </w:rPr>
        <w:t>The undersigned registered owner of this Note hereby exercises the option to convert this Note, or the portion hereof (that is $1,000 principal amount or an integral multiple of $1.00 in excess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27" w:lineRule="exact"/>
        <w:rPr>
          <w:sz w:val="20"/>
          <w:szCs w:val="20"/>
          <w:color w:val="auto"/>
        </w:rPr>
      </w:pPr>
    </w:p>
    <w:p>
      <w:pPr>
        <w:spacing w:after="0"/>
        <w:tabs>
          <w:tab w:leader="none" w:pos="600" w:val="left"/>
          <w:tab w:leader="none" w:pos="2560" w:val="left"/>
        </w:tabs>
        <w:rPr>
          <w:sz w:val="20"/>
          <w:szCs w:val="20"/>
          <w:color w:val="auto"/>
        </w:rPr>
      </w:pPr>
      <w:r>
        <w:rPr>
          <w:rFonts w:ascii="Arial" w:cs="Arial" w:eastAsia="Arial" w:hAnsi="Arial"/>
          <w:sz w:val="17"/>
          <w:szCs w:val="17"/>
          <w:color w:val="auto"/>
        </w:rPr>
        <w:t>Dated:</w:t>
        <w:tab/>
        <w:t>_____________________</w:t>
      </w:r>
      <w:r>
        <w:rPr>
          <w:sz w:val="20"/>
          <w:szCs w:val="20"/>
          <w:color w:val="auto"/>
        </w:rPr>
        <w:tab/>
      </w:r>
      <w:r>
        <w:rPr>
          <w:rFonts w:ascii="Arial" w:cs="Arial" w:eastAsia="Arial" w:hAnsi="Arial"/>
          <w:sz w:val="15"/>
          <w:szCs w:val="15"/>
          <w:color w:val="auto"/>
        </w:rPr>
        <w:t>________________________________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by an eligible Guarantor Institution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(banks, stock brokers, savings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loan associations and credit unions)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with membership in an approved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Securities and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349" w:right="319" w:bottom="1440" w:gutter="0" w:footer="0" w:header="0"/>
        </w:sectPr>
      </w:pPr>
    </w:p>
    <w:bookmarkStart w:id="187" w:name="page188"/>
    <w:bookmarkEnd w:id="187"/>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Commission Rule 17Ad-15 if shares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are to be issued, 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Notes are to be delivered, other than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and in the 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Fill in for registration of shares if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to be issued, and Notes if 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be delivered, other than to and in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name of the registered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(Street Address)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(City, State and Zip Code)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Please print name and address</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converted (if less than all): $______,000</w:t>
      </w:r>
    </w:p>
    <w:p>
      <w:pPr>
        <w:spacing w:after="0" w:line="176" w:lineRule="exact"/>
        <w:rPr>
          <w:sz w:val="20"/>
          <w:szCs w:val="20"/>
          <w:color w:val="auto"/>
        </w:rPr>
      </w:pPr>
    </w:p>
    <w:p>
      <w:pPr>
        <w:ind w:left="256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131"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00" w:top="1440" w:right="3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ATTACHMENT 2</w:t>
      </w:r>
    </w:p>
    <w:p>
      <w:pPr>
        <w:spacing w:after="0" w:line="180"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[FORM OF FUNDAMENTAL CHANGE REPURCHASE NOTICE]</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Eos Energy Enterprises, Inc.</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3920 Park Avenue</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Edison, New Jersey 08820</w:t>
      </w:r>
    </w:p>
    <w:p>
      <w:pPr>
        <w:spacing w:after="0" w:line="179"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undersigned registered owner of this Note hereby acknowledges receipt of a notice from Eos Energy Enterprises,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the case of Physical Notes, the certificate numbers of the Notes to be repurchased are as set forth below:</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_____________________</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Signature(s)</w:t>
      </w:r>
    </w:p>
    <w:p>
      <w:pPr>
        <w:spacing w:after="0" w:line="35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_________________________</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Social Security or Other Taxpayer</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Identification Number</w:t>
      </w: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Principal amount to be repaid (if less than all): $______,000</w:t>
      </w:r>
    </w:p>
    <w:p>
      <w:pPr>
        <w:spacing w:after="0" w:line="176" w:lineRule="exact"/>
        <w:rPr>
          <w:sz w:val="20"/>
          <w:szCs w:val="20"/>
          <w:color w:val="auto"/>
        </w:rPr>
      </w:pPr>
    </w:p>
    <w:p>
      <w:pPr>
        <w:ind w:left="2560" w:right="40"/>
        <w:spacing w:after="0" w:line="271"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349"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ATTACHMENT 3</w:t>
      </w:r>
    </w:p>
    <w:p>
      <w:pPr>
        <w:spacing w:after="0" w:line="18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[FORM OF ASSIGNMENT AND TRANSFER]</w:t>
      </w:r>
    </w:p>
    <w:p>
      <w:pPr>
        <w:spacing w:after="0" w:line="17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Eos Energy Enterprises,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 Convertible Senior PIK Toggle Notes due 2026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For value received ____________________________ hereby sell(s), assign(s) and transfer(s) unto _________________ (Please insert social security or Taxpayer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Identification Number of assignee) the within Note, and hereby irrevocably constitutes and appoints _____________________ attorney to transfer the said Note 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books of the Company, with full power of substitution in the premises.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transfer of the within Note, the undersigned confirms that such Note is being transferred:</w:t>
      </w:r>
    </w:p>
    <w:p>
      <w:pPr>
        <w:spacing w:after="0" w:line="176" w:lineRule="exact"/>
        <w:rPr>
          <w:sz w:val="20"/>
          <w:szCs w:val="20"/>
          <w:color w:val="auto"/>
        </w:rPr>
      </w:pPr>
    </w:p>
    <w:p>
      <w:pPr>
        <w:ind w:left="280" w:hanging="275"/>
        <w:spacing w:after="0"/>
        <w:tabs>
          <w:tab w:leader="none" w:pos="2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Eos Energy Enterprises, Inc. or a subsidiary thereof; or</w:t>
      </w:r>
    </w:p>
    <w:p>
      <w:pPr>
        <w:spacing w:after="0" w:line="175" w:lineRule="exact"/>
        <w:rPr>
          <w:rFonts w:ascii="Arial" w:cs="Arial" w:eastAsia="Arial" w:hAnsi="Arial"/>
          <w:sz w:val="17"/>
          <w:szCs w:val="17"/>
          <w:color w:val="auto"/>
        </w:rPr>
      </w:pPr>
    </w:p>
    <w:p>
      <w:pPr>
        <w:ind w:left="280" w:hanging="275"/>
        <w:spacing w:after="0"/>
        <w:tabs>
          <w:tab w:leader="none" w:pos="2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Pursuant to a registration statement that has become or been declared effective under the Securities Act of 1933, as amended; or</w:t>
      </w:r>
    </w:p>
    <w:p>
      <w:pPr>
        <w:spacing w:after="0" w:line="175" w:lineRule="exact"/>
        <w:rPr>
          <w:rFonts w:ascii="Arial" w:cs="Arial" w:eastAsia="Arial" w:hAnsi="Arial"/>
          <w:sz w:val="17"/>
          <w:szCs w:val="17"/>
          <w:color w:val="auto"/>
        </w:rPr>
      </w:pPr>
    </w:p>
    <w:p>
      <w:pPr>
        <w:ind w:right="140" w:firstLine="5"/>
        <w:spacing w:after="0" w:line="271" w:lineRule="auto"/>
        <w:tabs>
          <w:tab w:leader="none" w:pos="27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349" w:right="31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color w:val="auto"/>
        </w:rPr>
        <w:t>Dated: 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Signature(s) must be guaranteed by 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eligible Guarantor Institution (banks,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brokers, savings and loan associations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credit unions) with membership in an approved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 medallion program pursuant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Securities and Exchange Commission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Rule 17Ad-15 if Notes are to be delivered, other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than to and in the name of the registered holder.</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1160"/>
          </w:cols>
          <w:pgMar w:left="300" w:top="1353" w:right="4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7"/>
          <w:szCs w:val="17"/>
          <w:b w:val="1"/>
          <w:bCs w:val="1"/>
          <w:color w:val="auto"/>
        </w:rPr>
        <w:t>EXHIBIT A – FORM OF INDENTURE</w:t>
      </w:r>
    </w:p>
    <w:p>
      <w:pPr>
        <w:sectPr>
          <w:pgSz w:w="11900" w:h="16838" w:orient="portrait"/>
          <w:cols w:equalWidth="0" w:num="1">
            <w:col w:w="9019"/>
          </w:cols>
          <w:pgMar w:left="1440" w:top="1148"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7"/>
          <w:szCs w:val="17"/>
          <w:b w:val="1"/>
          <w:bCs w:val="1"/>
          <w:color w:val="auto"/>
        </w:rPr>
        <w:t>EXHIBIT B</w:t>
      </w:r>
    </w:p>
    <w:p>
      <w:pPr>
        <w:spacing w:after="0" w:line="176"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auto"/>
        </w:rPr>
        <w:t>Form of Joinder</w:t>
      </w:r>
    </w:p>
    <w:p>
      <w:pPr>
        <w:spacing w:after="0" w:line="18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undersigned is executing and delivering this Joinder pursuant to that certain Investment Agreement, dated as of July 6, 2021 (as amended, restated, supplemented or otherwise modified in accordance with the terms thereof, the “</w:t>
      </w:r>
      <w:r>
        <w:rPr>
          <w:rFonts w:ascii="Arial" w:cs="Arial" w:eastAsia="Arial" w:hAnsi="Arial"/>
          <w:sz w:val="17"/>
          <w:szCs w:val="17"/>
          <w:b w:val="1"/>
          <w:bCs w:val="1"/>
          <w:color w:val="auto"/>
        </w:rPr>
        <w:t>Investment Agreement</w:t>
      </w:r>
      <w:r>
        <w:rPr>
          <w:rFonts w:ascii="Arial" w:cs="Arial" w:eastAsia="Arial" w:hAnsi="Arial"/>
          <w:sz w:val="17"/>
          <w:szCs w:val="17"/>
          <w:color w:val="auto"/>
        </w:rPr>
        <w:t>”), by and among Eos Energy Enterprises, Inc., Spring Creek Capital, LLC and any other Persons who become a party thereto in accordance with the terms thereof. Capitalized terms used but not defined in this Joinder shall have the respective meanings ascribed to such terms in the Investment Agreement.</w:t>
      </w:r>
    </w:p>
    <w:p>
      <w:pPr>
        <w:spacing w:after="0" w:line="145" w:lineRule="exact"/>
        <w:rPr>
          <w:sz w:val="20"/>
          <w:szCs w:val="20"/>
          <w:color w:val="auto"/>
        </w:rPr>
      </w:pPr>
    </w:p>
    <w:p>
      <w:pPr>
        <w:jc w:val="both"/>
        <w:ind w:right="220" w:firstLine="509"/>
        <w:spacing w:after="0" w:line="283" w:lineRule="auto"/>
        <w:rPr>
          <w:sz w:val="20"/>
          <w:szCs w:val="20"/>
          <w:color w:val="auto"/>
        </w:rPr>
      </w:pPr>
      <w:r>
        <w:rPr>
          <w:rFonts w:ascii="Arial" w:cs="Arial" w:eastAsia="Arial" w:hAnsi="Arial"/>
          <w:sz w:val="16"/>
          <w:szCs w:val="16"/>
          <w:color w:val="auto"/>
        </w:rPr>
        <w:t>By executing and delivering this Joinder to the Investment Agreement, the undersigned hereby adopts and approves the Investment Agreement and agrees, effective commencing on the date hereof, to become a party to, and to be bound by and comply with the provisions of, the Investment Agreement applicable to the Purchaser in the same manner as if the undersigned were an original Purchaser signatory to the Investment Agreement.</w:t>
      </w:r>
    </w:p>
    <w:p>
      <w:pPr>
        <w:spacing w:after="0" w:line="12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7"/>
          <w:szCs w:val="17"/>
          <w:color w:val="auto"/>
        </w:rPr>
        <w:t>The undersigned acknowledges and agrees that Sections 5.02, 5.03, 5.07, 5.08 and 5.12 of the Investment Agreement are incorporated herein by reference, mutatis mutandis.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ectPr>
          <w:pgSz w:w="11900" w:h="16838" w:orient="portrait"/>
          <w:cols w:equalWidth="0" w:num="1">
            <w:col w:w="11280"/>
          </w:cols>
          <w:pgMar w:left="300" w:top="1148" w:right="319" w:bottom="1440" w:gutter="0" w:footer="0" w:header="0"/>
        </w:sectPr>
      </w:pPr>
    </w:p>
    <w:bookmarkStart w:id="193" w:name="page194"/>
    <w:bookmarkEnd w:id="193"/>
    <w:p>
      <w:pPr>
        <w:ind w:left="500"/>
        <w:spacing w:after="0"/>
        <w:tabs>
          <w:tab w:leader="none" w:pos="6480" w:val="left"/>
          <w:tab w:leader="none" w:pos="7460" w:val="left"/>
          <w:tab w:leader="none" w:pos="7920" w:val="left"/>
        </w:tabs>
        <w:rPr>
          <w:sz w:val="20"/>
          <w:szCs w:val="20"/>
          <w:color w:val="auto"/>
        </w:rPr>
      </w:pPr>
      <w:r>
        <w:rPr>
          <w:rFonts w:ascii="Arial" w:cs="Arial" w:eastAsia="Arial" w:hAnsi="Arial"/>
          <w:sz w:val="17"/>
          <w:szCs w:val="17"/>
          <w:color w:val="auto"/>
        </w:rPr>
        <w:t>Accordingly, the undersigned has executed and delivered this Joinder as of the</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[_____]</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20955</wp:posOffset>
            </wp:positionV>
            <wp:extent cx="323405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Name:</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4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Telephone:</w:t>
      </w:r>
    </w:p>
    <w:p>
      <w:pPr>
        <w:spacing w:after="0" w:line="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Facsimile:</w:t>
      </w:r>
    </w:p>
    <w:p>
      <w:pPr>
        <w:spacing w:after="0" w:line="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Joinder</w:t>
      </w:r>
      <w:r>
        <w:rPr>
          <w:rFonts w:ascii="Arial" w:cs="Arial" w:eastAsia="Arial" w:hAnsi="Arial"/>
          <w:sz w:val="17"/>
          <w:szCs w:val="17"/>
          <w:color w:val="auto"/>
        </w:rPr>
        <w:t>]</w:t>
      </w:r>
    </w:p>
    <w:p>
      <w:pPr>
        <w:sectPr>
          <w:pgSz w:w="11900" w:h="16838" w:orient="portrait"/>
          <w:cols w:equalWidth="0" w:num="1">
            <w:col w:w="10139"/>
          </w:cols>
          <w:pgMar w:left="320" w:top="1152"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SCHEDULE A</w:t>
      </w:r>
    </w:p>
    <w:p>
      <w:pPr>
        <w:spacing w:after="0" w:line="17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Purchaser Beneficial Ownership Table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hereof, Spring Creek Capital, LLC owns 2,538,261 shares of Company Common Stock.</w:t>
      </w:r>
    </w:p>
    <w:p>
      <w:pPr>
        <w:sectPr>
          <w:pgSz w:w="11900" w:h="16838" w:orient="portrait"/>
          <w:cols w:equalWidth="0" w:num="1">
            <w:col w:w="10760"/>
          </w:cols>
          <w:pgMar w:left="820" w:top="1148"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b w:val="1"/>
          <w:bCs w:val="1"/>
          <w:color w:val="auto"/>
        </w:rPr>
        <w:t>SCHEDULE B</w:t>
      </w:r>
    </w:p>
    <w:p>
      <w:pPr>
        <w:spacing w:after="0" w:line="176"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List of Competitors</w:t>
      </w:r>
    </w:p>
    <w:p>
      <w:pPr>
        <w:spacing w:after="0" w:line="180" w:lineRule="exact"/>
        <w:rPr>
          <w:sz w:val="20"/>
          <w:szCs w:val="20"/>
          <w:color w:val="auto"/>
        </w:rPr>
      </w:pPr>
    </w:p>
    <w:p>
      <w:pPr>
        <w:ind w:left="240" w:hanging="240"/>
        <w:spacing w:after="0"/>
        <w:tabs>
          <w:tab w:leader="none" w:pos="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QuantumScape Corporation</w:t>
      </w:r>
    </w:p>
    <w:p>
      <w:pPr>
        <w:spacing w:after="0" w:line="19" w:lineRule="exact"/>
        <w:rPr>
          <w:rFonts w:ascii="Arial" w:cs="Arial" w:eastAsia="Arial" w:hAnsi="Arial"/>
          <w:sz w:val="17"/>
          <w:szCs w:val="17"/>
          <w:color w:val="auto"/>
        </w:rPr>
      </w:pPr>
    </w:p>
    <w:p>
      <w:pPr>
        <w:ind w:left="240" w:hanging="240"/>
        <w:spacing w:after="0"/>
        <w:tabs>
          <w:tab w:leader="none" w:pos="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ESS, Inc.</w:t>
      </w:r>
    </w:p>
    <w:p>
      <w:pPr>
        <w:spacing w:after="0" w:line="6" w:lineRule="exact"/>
        <w:rPr>
          <w:rFonts w:ascii="Arial" w:cs="Arial" w:eastAsia="Arial" w:hAnsi="Arial"/>
          <w:sz w:val="17"/>
          <w:szCs w:val="17"/>
          <w:color w:val="auto"/>
        </w:rPr>
      </w:pPr>
    </w:p>
    <w:p>
      <w:pPr>
        <w:ind w:left="240" w:hanging="240"/>
        <w:spacing w:after="0"/>
        <w:tabs>
          <w:tab w:leader="none" w:pos="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Stem, Inc.</w:t>
      </w:r>
    </w:p>
    <w:p>
      <w:pPr>
        <w:spacing w:after="0" w:line="6" w:lineRule="exact"/>
        <w:rPr>
          <w:rFonts w:ascii="Arial" w:cs="Arial" w:eastAsia="Arial" w:hAnsi="Arial"/>
          <w:sz w:val="17"/>
          <w:szCs w:val="17"/>
          <w:color w:val="auto"/>
        </w:rPr>
      </w:pPr>
    </w:p>
    <w:p>
      <w:pPr>
        <w:ind w:left="240" w:hanging="240"/>
        <w:spacing w:after="0"/>
        <w:tabs>
          <w:tab w:leader="none" w:pos="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Tesla, Inc.</w:t>
      </w:r>
    </w:p>
    <w:p>
      <w:pPr>
        <w:spacing w:after="0" w:line="6" w:lineRule="exact"/>
        <w:rPr>
          <w:rFonts w:ascii="Arial" w:cs="Arial" w:eastAsia="Arial" w:hAnsi="Arial"/>
          <w:sz w:val="17"/>
          <w:szCs w:val="17"/>
          <w:color w:val="auto"/>
        </w:rPr>
      </w:pPr>
    </w:p>
    <w:p>
      <w:pPr>
        <w:ind w:left="240" w:hanging="240"/>
        <w:spacing w:after="0"/>
        <w:tabs>
          <w:tab w:leader="none" w:pos="2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General Electric Company</w:t>
      </w:r>
    </w:p>
    <w:p>
      <w:pPr>
        <w:sectPr>
          <w:pgSz w:w="11900" w:h="16838" w:orient="portrait"/>
          <w:cols w:equalWidth="0" w:num="1">
            <w:col w:w="11020"/>
          </w:cols>
          <w:pgMar w:left="560" w:top="1148" w:right="319" w:bottom="1440" w:gutter="0" w:footer="0" w:header="0"/>
        </w:sectPr>
      </w:pPr>
    </w:p>
    <w:bookmarkStart w:id="196" w:name="page197"/>
    <w:bookmarkEnd w:id="196"/>
    <w:p>
      <w:pP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7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upperLetter"/>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lowerLetter"/>
      <w:start w:val="1"/>
    </w:lvl>
  </w:abstractNum>
  <w:abstractNum w:abstractNumId="4">
    <w:nsid w:val="15014ACB"/>
    <w:multiLevelType w:val="hybridMultilevel"/>
    <w:lvl w:ilvl="0">
      <w:lvlJc w:val="left"/>
      <w:lvlText w:val="(%1)"/>
      <w:numFmt w:val="lowerLetter"/>
      <w:start w:val="1"/>
    </w:lvl>
  </w:abstractNum>
  <w:abstractNum w:abstractNumId="5">
    <w:nsid w:val="5F5E7FD0"/>
    <w:multiLevelType w:val="hybridMultilevel"/>
    <w:lvl w:ilvl="0">
      <w:lvlJc w:val="left"/>
      <w:lvlText w:val="(%1)"/>
      <w:numFmt w:val="lowerLetter"/>
      <w:start w:val="1"/>
    </w:lvl>
  </w:abstractNum>
  <w:abstractNum w:abstractNumId="6">
    <w:nsid w:val="98A3148"/>
    <w:multiLevelType w:val="hybridMultilevel"/>
    <w:lvl w:ilvl="0">
      <w:lvlJc w:val="left"/>
      <w:lvlText w:val="(%1)"/>
      <w:numFmt w:val="lowerLetter"/>
      <w:start w:val="5"/>
    </w:lvl>
  </w:abstractNum>
  <w:abstractNum w:abstractNumId="7">
    <w:nsid w:val="799D0247"/>
    <w:multiLevelType w:val="hybridMultilevel"/>
    <w:lvl w:ilvl="0">
      <w:lvlJc w:val="left"/>
      <w:lvlText w:val="%1."/>
      <w:numFmt w:val="lowerLetter"/>
      <w:start w:val="1"/>
    </w:lvl>
    <w:lvl w:ilvl="1">
      <w:lvlJc w:val="left"/>
      <w:lvlText w:val="%2."/>
      <w:numFmt w:val="lowerLetter"/>
      <w:start w:val="9"/>
    </w:lvl>
  </w:abstractNum>
  <w:abstractNum w:abstractNumId="8">
    <w:nsid w:val="6B94764"/>
    <w:multiLevelType w:val="hybridMultilevel"/>
    <w:lvl w:ilvl="0">
      <w:lvlJc w:val="left"/>
      <w:lvlText w:val="%1."/>
      <w:numFmt w:val="lowerRoman"/>
      <w:start w:val="2"/>
    </w:lvl>
  </w:abstractNum>
  <w:abstractNum w:abstractNumId="9">
    <w:nsid w:val="42C296BD"/>
    <w:multiLevelType w:val="hybridMultilevel"/>
    <w:lvl w:ilvl="0">
      <w:lvlJc w:val="left"/>
      <w:lvlText w:val="%1."/>
      <w:numFmt w:val="lowerRoman"/>
      <w:start w:val="1"/>
    </w:lvl>
  </w:abstractNum>
  <w:abstractNum w:abstractNumId="10">
    <w:nsid w:val="168E121F"/>
    <w:multiLevelType w:val="hybridMultilevel"/>
    <w:lvl w:ilvl="0">
      <w:lvlJc w:val="left"/>
      <w:lvlText w:val="%1."/>
      <w:numFmt w:val="lowerRoman"/>
      <w:start w:val="2"/>
    </w:lvl>
  </w:abstractNum>
  <w:abstractNum w:abstractNumId="11">
    <w:nsid w:val="1EBA5D23"/>
    <w:multiLevelType w:val="hybridMultilevel"/>
    <w:lvl w:ilvl="0">
      <w:lvlJc w:val="left"/>
      <w:lvlText w:val="%1."/>
      <w:numFmt w:val="lowerLetter"/>
      <w:start w:val="1"/>
    </w:lvl>
  </w:abstractNum>
  <w:abstractNum w:abstractNumId="12">
    <w:nsid w:val="661E3F1E"/>
    <w:multiLevelType w:val="hybridMultilevel"/>
    <w:lvl w:ilvl="0">
      <w:lvlJc w:val="left"/>
      <w:lvlText w:val="%1."/>
      <w:numFmt w:val="lowerLetter"/>
      <w:start w:val="2"/>
    </w:lvl>
  </w:abstractNum>
  <w:abstractNum w:abstractNumId="13">
    <w:nsid w:val="5DC79EA8"/>
    <w:multiLevelType w:val="hybridMultilevel"/>
    <w:lvl w:ilvl="0">
      <w:lvlJc w:val="left"/>
      <w:lvlText w:val="(%1)"/>
      <w:numFmt w:val="upperLetter"/>
      <w:start w:val="1"/>
    </w:lvl>
  </w:abstractNum>
  <w:abstractNum w:abstractNumId="14">
    <w:nsid w:val="540A471C"/>
    <w:multiLevelType w:val="hybridMultilevel"/>
    <w:lvl w:ilvl="0">
      <w:lvlJc w:val="left"/>
      <w:lvlText w:val="%1."/>
      <w:numFmt w:val="lowerLetter"/>
      <w:start w:val="4"/>
    </w:lvl>
  </w:abstractNum>
  <w:abstractNum w:abstractNumId="15">
    <w:nsid w:val="7BD3EE7B"/>
    <w:multiLevelType w:val="hybridMultilevel"/>
    <w:lvl w:ilvl="0">
      <w:lvlJc w:val="left"/>
      <w:lvlText w:val="(%1)"/>
      <w:numFmt w:val="upperLetter"/>
      <w:start w:val="1"/>
    </w:lvl>
  </w:abstractNum>
  <w:abstractNum w:abstractNumId="16">
    <w:nsid w:val="51D9C564"/>
    <w:multiLevelType w:val="hybridMultilevel"/>
    <w:lvl w:ilvl="0">
      <w:lvlJc w:val="left"/>
      <w:lvlText w:val="(%1)"/>
      <w:numFmt w:val="upperLetter"/>
      <w:start w:val="2"/>
    </w:lvl>
  </w:abstractNum>
  <w:abstractNum w:abstractNumId="17">
    <w:nsid w:val="613EFDC5"/>
    <w:multiLevelType w:val="hybridMultilevel"/>
    <w:lvl w:ilvl="0">
      <w:lvlJc w:val="left"/>
      <w:lvlText w:val="%1."/>
      <w:numFmt w:val="lowerLetter"/>
      <w:start w:val="1"/>
    </w:lvl>
    <w:lvl w:ilvl="1">
      <w:lvlJc w:val="left"/>
      <w:lvlText w:val="%2."/>
      <w:numFmt w:val="lowerRoman"/>
      <w:start w:val="1"/>
    </w:lvl>
  </w:abstractNum>
  <w:abstractNum w:abstractNumId="18">
    <w:nsid w:val="BF72B14"/>
    <w:multiLevelType w:val="hybridMultilevel"/>
    <w:lvl w:ilvl="0">
      <w:lvlJc w:val="left"/>
      <w:lvlText w:val="%1."/>
      <w:numFmt w:val="lowerLetter"/>
      <w:start w:val="2"/>
    </w:lvl>
  </w:abstractNum>
  <w:abstractNum w:abstractNumId="19">
    <w:nsid w:val="11447B73"/>
    <w:multiLevelType w:val="hybridMultilevel"/>
    <w:lvl w:ilvl="0">
      <w:lvlJc w:val="left"/>
      <w:lvlText w:val="%1."/>
      <w:numFmt w:val="lowerLetter"/>
      <w:start w:val="1"/>
    </w:lvl>
  </w:abstractNum>
  <w:abstractNum w:abstractNumId="20">
    <w:nsid w:val="42963E5A"/>
    <w:multiLevelType w:val="hybridMultilevel"/>
    <w:lvl w:ilvl="0">
      <w:lvlJc w:val="left"/>
      <w:lvlText w:val="%1."/>
      <w:numFmt w:val="lowerLetter"/>
      <w:start w:val="6"/>
    </w:lvl>
  </w:abstractNum>
  <w:abstractNum w:abstractNumId="21">
    <w:nsid w:val="A0382C5"/>
    <w:multiLevelType w:val="hybridMultilevel"/>
    <w:lvl w:ilvl="0">
      <w:lvlJc w:val="left"/>
      <w:lvlText w:val="%1."/>
      <w:numFmt w:val="lowerLetter"/>
      <w:start w:val="1"/>
    </w:lvl>
  </w:abstractNum>
  <w:abstractNum w:abstractNumId="22">
    <w:nsid w:val="8F2B15E"/>
    <w:multiLevelType w:val="hybridMultilevel"/>
    <w:lvl w:ilvl="0">
      <w:lvlJc w:val="left"/>
      <w:lvlText w:val="%1."/>
      <w:numFmt w:val="lowerLetter"/>
      <w:start w:val="5"/>
    </w:lvl>
  </w:abstractNum>
  <w:abstractNum w:abstractNumId="23">
    <w:nsid w:val="1A32234B"/>
    <w:multiLevelType w:val="hybridMultilevel"/>
    <w:lvl w:ilvl="0">
      <w:lvlJc w:val="left"/>
      <w:lvlText w:val="%1."/>
      <w:numFmt w:val="lowerLetter"/>
      <w:start w:val="1"/>
    </w:lvl>
    <w:lvl w:ilvl="1">
      <w:lvlJc w:val="left"/>
      <w:lvlText w:val="%2."/>
      <w:numFmt w:val="lowerRoman"/>
      <w:start w:val="1"/>
    </w:lvl>
  </w:abstractNum>
  <w:abstractNum w:abstractNumId="24">
    <w:nsid w:val="3B0FD379"/>
    <w:multiLevelType w:val="hybridMultilevel"/>
    <w:lvl w:ilvl="0">
      <w:lvlJc w:val="left"/>
      <w:lvlText w:val="%1."/>
      <w:numFmt w:val="lowerLetter"/>
      <w:start w:val="2"/>
    </w:lvl>
  </w:abstractNum>
  <w:abstractNum w:abstractNumId="25">
    <w:nsid w:val="68EB2F63"/>
    <w:multiLevelType w:val="hybridMultilevel"/>
    <w:lvl w:ilvl="0">
      <w:lvlJc w:val="left"/>
      <w:lvlText w:val="%1."/>
      <w:numFmt w:val="lowerLetter"/>
      <w:start w:val="1"/>
    </w:lvl>
  </w:abstractNum>
  <w:abstractNum w:abstractNumId="26">
    <w:nsid w:val="4962813B"/>
    <w:multiLevelType w:val="hybridMultilevel"/>
    <w:lvl w:ilvl="0">
      <w:lvlJc w:val="left"/>
      <w:lvlText w:val="%1."/>
      <w:numFmt w:val="lowerLetter"/>
      <w:start w:val="1"/>
    </w:lvl>
  </w:abstractNum>
  <w:abstractNum w:abstractNumId="27">
    <w:nsid w:val="60B6DF70"/>
    <w:multiLevelType w:val="hybridMultilevel"/>
    <w:lvl w:ilvl="0">
      <w:lvlJc w:val="left"/>
      <w:lvlText w:val="%1."/>
      <w:numFmt w:val="lowerLetter"/>
      <w:start w:val="2"/>
    </w:lvl>
    <w:lvl w:ilvl="1">
      <w:lvlJc w:val="left"/>
      <w:lvlText w:val="%2."/>
      <w:numFmt w:val="lowerRoman"/>
      <w:start w:val="1"/>
    </w:lvl>
  </w:abstractNum>
  <w:abstractNum w:abstractNumId="28">
    <w:nsid w:val="6A5EE64"/>
    <w:multiLevelType w:val="hybridMultilevel"/>
    <w:lvl w:ilvl="0">
      <w:lvlJc w:val="left"/>
      <w:lvlText w:val="%1."/>
      <w:numFmt w:val="lowerLetter"/>
      <w:start w:val="3"/>
    </w:lvl>
  </w:abstractNum>
  <w:abstractNum w:abstractNumId="29">
    <w:nsid w:val="14330624"/>
    <w:multiLevelType w:val="hybridMultilevel"/>
    <w:lvl w:ilvl="0">
      <w:lvlJc w:val="left"/>
      <w:lvlText w:val="%1."/>
      <w:numFmt w:val="lowerLetter"/>
      <w:start w:val="1"/>
    </w:lvl>
  </w:abstractNum>
  <w:abstractNum w:abstractNumId="30">
    <w:nsid w:val="7FFFCA11"/>
    <w:multiLevelType w:val="hybridMultilevel"/>
    <w:lvl w:ilvl="0">
      <w:lvlJc w:val="left"/>
      <w:lvlText w:val="%1."/>
      <w:numFmt w:val="lowerLetter"/>
      <w:start w:val="1"/>
    </w:lvl>
  </w:abstractNum>
  <w:abstractNum w:abstractNumId="31">
    <w:nsid w:val="1A27709E"/>
    <w:multiLevelType w:val="hybridMultilevel"/>
    <w:lvl w:ilvl="0">
      <w:lvlJc w:val="left"/>
      <w:lvlText w:val="%1."/>
      <w:numFmt w:val="lowerLetter"/>
      <w:start w:val="7"/>
    </w:lvl>
  </w:abstractNum>
  <w:abstractNum w:abstractNumId="32">
    <w:nsid w:val="71EA1109"/>
    <w:multiLevelType w:val="hybridMultilevel"/>
    <w:lvl w:ilvl="0">
      <w:lvlJc w:val="left"/>
      <w:lvlText w:val="%1."/>
      <w:numFmt w:val="lowerLetter"/>
      <w:start w:val="1"/>
    </w:lvl>
  </w:abstractNum>
  <w:abstractNum w:abstractNumId="33">
    <w:nsid w:val="100F59DC"/>
    <w:multiLevelType w:val="hybridMultilevel"/>
    <w:lvl w:ilvl="0">
      <w:lvlJc w:val="left"/>
      <w:lvlText w:val="%1."/>
      <w:numFmt w:val="lowerLetter"/>
      <w:start w:val="1"/>
    </w:lvl>
  </w:abstractNum>
  <w:abstractNum w:abstractNumId="34">
    <w:nsid w:val="7FB7E0AA"/>
    <w:multiLevelType w:val="hybridMultilevel"/>
    <w:lvl w:ilvl="0">
      <w:lvlJc w:val="left"/>
      <w:lvlText w:val="%1."/>
      <w:numFmt w:val="lowerLetter"/>
      <w:start w:val="1"/>
    </w:lvl>
    <w:lvl w:ilvl="1">
      <w:lvlJc w:val="left"/>
      <w:lvlText w:val="%2."/>
      <w:numFmt w:val="lowerRoman"/>
      <w:start w:val="1"/>
    </w:lvl>
  </w:abstractNum>
  <w:abstractNum w:abstractNumId="35">
    <w:nsid w:val="6EB5BD4"/>
    <w:multiLevelType w:val="hybridMultilevel"/>
    <w:lvl w:ilvl="0">
      <w:lvlJc w:val="left"/>
      <w:lvlText w:val="%1"/>
      <w:numFmt w:val="lowerRoman"/>
      <w:start w:val="1"/>
    </w:lvl>
    <w:lvl w:ilvl="1">
      <w:lvlJc w:val="left"/>
      <w:lvlText w:val="%2."/>
      <w:numFmt w:val="lowerRoman"/>
      <w:start w:val="3"/>
    </w:lvl>
  </w:abstractNum>
  <w:abstractNum w:abstractNumId="36">
    <w:nsid w:val="6F6DD9AC"/>
    <w:multiLevelType w:val="hybridMultilevel"/>
    <w:lvl w:ilvl="0">
      <w:lvlJc w:val="left"/>
      <w:lvlText w:val="(%1)"/>
      <w:numFmt w:val="lowerRoman"/>
      <w:start w:val="10"/>
    </w:lvl>
    <w:lvl w:ilvl="1">
      <w:lvlJc w:val="left"/>
      <w:lvlText w:val="%2"/>
      <w:numFmt w:val="lowerRoman"/>
      <w:start w:val="1"/>
    </w:lvl>
  </w:abstractNum>
  <w:abstractNum w:abstractNumId="37">
    <w:nsid w:val="94211F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8">
    <w:nsid w:val="885E1B"/>
    <w:multiLevelType w:val="hybridMultilevel"/>
    <w:lvl w:ilvl="0">
      <w:lvlJc w:val="left"/>
      <w:lvlText w:val="%1."/>
      <w:numFmt w:val="lowerLetter"/>
      <w:start w:val="2"/>
    </w:lvl>
  </w:abstractNum>
  <w:abstractNum w:abstractNumId="39">
    <w:nsid w:val="76272110"/>
    <w:multiLevelType w:val="hybridMultilevel"/>
    <w:lvl w:ilvl="0">
      <w:lvlJc w:val="left"/>
      <w:lvlText w:val="%1."/>
      <w:numFmt w:val="lowerLetter"/>
      <w:start w:val="3"/>
    </w:lvl>
  </w:abstractNum>
  <w:abstractNum w:abstractNumId="40">
    <w:nsid w:val="4C04A8AF"/>
    <w:multiLevelType w:val="hybridMultilevel"/>
    <w:lvl w:ilvl="0">
      <w:lvlJc w:val="left"/>
      <w:lvlText w:val="%1."/>
      <w:numFmt w:val="lowerLetter"/>
      <w:start w:val="9"/>
    </w:lvl>
  </w:abstractNum>
  <w:abstractNum w:abstractNumId="41">
    <w:nsid w:val="1716703B"/>
    <w:multiLevelType w:val="hybridMultilevel"/>
    <w:lvl w:ilvl="0">
      <w:lvlJc w:val="left"/>
      <w:lvlText w:val="%1."/>
      <w:numFmt w:val="lowerLetter"/>
      <w:start w:val="11"/>
    </w:lvl>
  </w:abstractNum>
  <w:abstractNum w:abstractNumId="42">
    <w:nsid w:val="14E17E33"/>
    <w:multiLevelType w:val="hybridMultilevel"/>
    <w:lvl w:ilvl="0">
      <w:lvlJc w:val="left"/>
      <w:lvlText w:val="%1."/>
      <w:numFmt w:val="lowerLetter"/>
      <w:start w:val="1"/>
    </w:lvl>
  </w:abstractNum>
  <w:abstractNum w:abstractNumId="43">
    <w:nsid w:val="3222E7CD"/>
    <w:multiLevelType w:val="hybridMultilevel"/>
    <w:lvl w:ilvl="0">
      <w:lvlJc w:val="left"/>
      <w:lvlText w:val="%1."/>
      <w:numFmt w:val="lowerLetter"/>
      <w:start w:val="2"/>
    </w:lvl>
  </w:abstractNum>
  <w:abstractNum w:abstractNumId="44">
    <w:nsid w:val="74DE0EE3"/>
    <w:multiLevelType w:val="hybridMultilevel"/>
    <w:lvl w:ilvl="0">
      <w:lvlJc w:val="left"/>
      <w:lvlText w:val="X"/>
      <w:numFmt w:val="bullet"/>
      <w:start w:val="1"/>
    </w:lvl>
  </w:abstractNum>
  <w:abstractNum w:abstractNumId="45">
    <w:nsid w:val="68EBC550"/>
    <w:multiLevelType w:val="hybridMultilevel"/>
    <w:lvl w:ilvl="0">
      <w:lvlJc w:val="left"/>
      <w:lvlText w:val="Y"/>
      <w:numFmt w:val="bullet"/>
      <w:start w:val="1"/>
    </w:lvl>
  </w:abstractNum>
  <w:abstractNum w:abstractNumId="46">
    <w:nsid w:val="2DF6D648"/>
    <w:multiLevelType w:val="hybridMultilevel"/>
    <w:lvl w:ilvl="0">
      <w:lvlJc w:val="left"/>
      <w:lvlText w:val="%1."/>
      <w:numFmt w:val="lowerLetter"/>
      <w:start w:val="3"/>
    </w:lvl>
  </w:abstractNum>
  <w:abstractNum w:abstractNumId="47">
    <w:nsid w:val="46B7D447"/>
    <w:multiLevelType w:val="hybridMultilevel"/>
    <w:lvl w:ilvl="0">
      <w:lvlJc w:val="left"/>
      <w:lvlText w:val="(%1)"/>
      <w:numFmt w:val="upperLetter"/>
      <w:start w:val="1"/>
    </w:lvl>
  </w:abstractNum>
  <w:abstractNum w:abstractNumId="48">
    <w:nsid w:val="4A2AC315"/>
    <w:multiLevelType w:val="hybridMultilevel"/>
    <w:lvl w:ilvl="0">
      <w:lvlJc w:val="left"/>
      <w:lvlText w:val="%1."/>
      <w:numFmt w:val="lowerLetter"/>
      <w:start w:val="4"/>
    </w:lvl>
  </w:abstractNum>
  <w:abstractNum w:abstractNumId="49">
    <w:nsid w:val="39EE015C"/>
    <w:multiLevelType w:val="hybridMultilevel"/>
    <w:lvl w:ilvl="0">
      <w:lvlJc w:val="left"/>
      <w:lvlText w:val="%1."/>
      <w:numFmt w:val="lowerLetter"/>
      <w:start w:val="5"/>
    </w:lvl>
  </w:abstractNum>
  <w:abstractNum w:abstractNumId="50">
    <w:nsid w:val="57FC4FBB"/>
    <w:multiLevelType w:val="hybridMultilevel"/>
    <w:lvl w:ilvl="0">
      <w:lvlJc w:val="left"/>
      <w:lvlText w:val="%1."/>
      <w:numFmt w:val="lowerLetter"/>
      <w:start w:val="6"/>
    </w:lvl>
    <w:lvl w:ilvl="1">
      <w:lvlJc w:val="left"/>
      <w:lvlText w:val="%2"/>
      <w:numFmt w:val="lowerLetter"/>
      <w:start w:val="1"/>
    </w:lvl>
  </w:abstractNum>
  <w:abstractNum w:abstractNumId="51">
    <w:nsid w:val="CC1016F"/>
    <w:multiLevelType w:val="hybridMultilevel"/>
    <w:lvl w:ilvl="0">
      <w:lvlJc w:val="left"/>
      <w:lvlText w:val="%1"/>
      <w:numFmt w:val="lowerLetter"/>
      <w:start w:val="1"/>
    </w:lvl>
    <w:lvl w:ilvl="1">
      <w:lvlJc w:val="left"/>
      <w:lvlText w:val="%2."/>
      <w:numFmt w:val="lowerRoman"/>
      <w:start w:val="3"/>
    </w:lvl>
  </w:abstractNum>
  <w:abstractNum w:abstractNumId="52">
    <w:nsid w:val="43F18422"/>
    <w:multiLevelType w:val="hybridMultilevel"/>
    <w:lvl w:ilvl="0">
      <w:lvlJc w:val="left"/>
      <w:lvlText w:val="%1."/>
      <w:numFmt w:val="lowerLetter"/>
      <w:start w:val="10"/>
    </w:lvl>
    <w:lvl w:ilvl="1">
      <w:lvlJc w:val="left"/>
      <w:lvlText w:val="%2"/>
      <w:numFmt w:val="lowerRoman"/>
      <w:start w:val="1"/>
    </w:lvl>
  </w:abstractNum>
  <w:abstractNum w:abstractNumId="53">
    <w:nsid w:val="60EF0119"/>
    <w:multiLevelType w:val="hybridMultilevel"/>
    <w:lvl w:ilvl="0">
      <w:lvlJc w:val="left"/>
      <w:lvlText w:val="%1."/>
      <w:numFmt w:val="lowerLetter"/>
      <w:start w:val="13"/>
    </w:lvl>
  </w:abstractNum>
  <w:abstractNum w:abstractNumId="54">
    <w:nsid w:val="26F324BA"/>
    <w:multiLevelType w:val="hybridMultilevel"/>
    <w:lvl w:ilvl="0">
      <w:lvlJc w:val="left"/>
      <w:lvlText w:val="%1."/>
      <w:numFmt w:val="lowerLetter"/>
      <w:start w:val="1"/>
    </w:lvl>
    <w:lvl w:ilvl="1">
      <w:lvlJc w:val="left"/>
      <w:lvlText w:val="%2."/>
      <w:numFmt w:val="lowerRoman"/>
      <w:start w:val="1"/>
    </w:lvl>
  </w:abstractNum>
  <w:abstractNum w:abstractNumId="55">
    <w:nsid w:val="7F01579B"/>
    <w:multiLevelType w:val="hybridMultilevel"/>
    <w:lvl w:ilvl="0">
      <w:lvlJc w:val="left"/>
      <w:lvlText w:val="(%1)"/>
      <w:numFmt w:val="upperLetter"/>
      <w:start w:val="1"/>
    </w:lvl>
  </w:abstractNum>
  <w:abstractNum w:abstractNumId="56">
    <w:nsid w:val="49DA307D"/>
    <w:multiLevelType w:val="hybridMultilevel"/>
    <w:lvl w:ilvl="0">
      <w:lvlJc w:val="left"/>
      <w:lvlText w:val="%1."/>
      <w:numFmt w:val="lowerLetter"/>
      <w:start w:val="2"/>
    </w:lvl>
  </w:abstractNum>
  <w:abstractNum w:abstractNumId="57">
    <w:nsid w:val="7055A5F5"/>
    <w:multiLevelType w:val="hybridMultilevel"/>
    <w:lvl w:ilvl="0">
      <w:lvlJc w:val="left"/>
      <w:lvlText w:val="%1."/>
      <w:numFmt w:val="lowerLetter"/>
      <w:start w:val="1"/>
    </w:lvl>
  </w:abstractNum>
  <w:abstractNum w:abstractNumId="58">
    <w:nsid w:val="5FB8370B"/>
    <w:multiLevelType w:val="hybridMultilevel"/>
    <w:lvl w:ilvl="0">
      <w:lvlJc w:val="left"/>
      <w:lvlText w:val="%1."/>
      <w:numFmt w:val="lowerLetter"/>
      <w:start w:val="1"/>
    </w:lvl>
  </w:abstractNum>
  <w:abstractNum w:abstractNumId="59">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
    <w:nsid w:val="488AC1A"/>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1">
    <w:nsid w:val="5FB8011C"/>
    <w:multiLevelType w:val="hybridMultilevel"/>
    <w:lvl w:ilvl="0">
      <w:lvlJc w:val="left"/>
      <w:lvlText w:val="%1."/>
      <w:numFmt w:val="lowerRoman"/>
      <w:start w:val="1"/>
    </w:lvl>
  </w:abstractNum>
  <w:abstractNum w:abstractNumId="62">
    <w:nsid w:val="6AA78F7F"/>
    <w:multiLevelType w:val="hybridMultilevel"/>
    <w:lvl w:ilvl="0">
      <w:lvlJc w:val="left"/>
      <w:lvlText w:val="%1."/>
      <w:numFmt w:val="lowerLetter"/>
      <w:start w:val="3"/>
    </w:lvl>
    <w:lvl w:ilvl="1">
      <w:lvlJc w:val="left"/>
      <w:lvlText w:val="%2."/>
      <w:numFmt w:val="lowerRoman"/>
      <w:start w:val="1"/>
    </w:lvl>
  </w:abstractNum>
  <w:abstractNum w:abstractNumId="63">
    <w:nsid w:val="7672BD23"/>
    <w:multiLevelType w:val="hybridMultilevel"/>
    <w:lvl w:ilvl="0">
      <w:lvlJc w:val="left"/>
      <w:lvlText w:val="%1."/>
      <w:numFmt w:val="lowerRoman"/>
      <w:start w:val="7"/>
    </w:lvl>
  </w:abstractNum>
  <w:abstractNum w:abstractNumId="64">
    <w:nsid w:val="6FC75AF8"/>
    <w:multiLevelType w:val="hybridMultilevel"/>
    <w:lvl w:ilvl="0">
      <w:lvlJc w:val="left"/>
      <w:lvlText w:val="%1."/>
      <w:numFmt w:val="lowerLetter"/>
      <w:start w:val="4"/>
    </w:lvl>
  </w:abstractNum>
  <w:abstractNum w:abstractNumId="65">
    <w:nsid w:val="6A5F7029"/>
    <w:multiLevelType w:val="hybridMultilevel"/>
    <w:lvl w:ilvl="0">
      <w:lvlJc w:val="left"/>
      <w:lvlText w:val="%1."/>
      <w:numFmt w:val="lowerRoman"/>
      <w:start w:val="1"/>
    </w:lvl>
  </w:abstractNum>
  <w:abstractNum w:abstractNumId="66">
    <w:nsid w:val="7D5E18F8"/>
    <w:multiLevelType w:val="hybridMultilevel"/>
    <w:lvl w:ilvl="0">
      <w:lvlJc w:val="left"/>
      <w:lvlText w:val="%1."/>
      <w:numFmt w:val="lowerLetter"/>
      <w:start w:val="1"/>
    </w:lvl>
  </w:abstractNum>
  <w:abstractNum w:abstractNumId="67">
    <w:nsid w:val="5F3534A4"/>
    <w:multiLevelType w:val="hybridMultilevel"/>
    <w:lvl w:ilvl="0">
      <w:lvlJc w:val="left"/>
      <w:lvlText w:val="%1."/>
      <w:numFmt w:val="lowerLetter"/>
      <w:start w:val="3"/>
    </w:lvl>
  </w:abstractNum>
  <w:abstractNum w:abstractNumId="68">
    <w:nsid w:val="73A1821B"/>
    <w:multiLevelType w:val="hybridMultilevel"/>
    <w:lvl w:ilvl="0">
      <w:lvlJc w:val="left"/>
      <w:lvlText w:val="%1."/>
      <w:numFmt w:val="lowerLetter"/>
      <w:start w:val="1"/>
    </w:lvl>
  </w:abstractNum>
  <w:abstractNum w:abstractNumId="69">
    <w:nsid w:val="7DE67713"/>
    <w:multiLevelType w:val="hybridMultilevel"/>
    <w:lvl w:ilvl="0">
      <w:lvlJc w:val="left"/>
      <w:lvlText w:val="%1."/>
      <w:numFmt w:val="lowerLetter"/>
      <w:start w:val="2"/>
    </w:lvl>
    <w:lvl w:ilvl="1">
      <w:lvlJc w:val="left"/>
      <w:lvlText w:val="%2."/>
      <w:numFmt w:val="lowerRoman"/>
      <w:start w:val="1"/>
    </w:lvl>
  </w:abstractNum>
  <w:abstractNum w:abstractNumId="70">
    <w:nsid w:val="555C55B5"/>
    <w:multiLevelType w:val="hybridMultilevel"/>
    <w:lvl w:ilvl="0">
      <w:lvlJc w:val="left"/>
      <w:lvlText w:val="%1."/>
      <w:numFmt w:val="lowerLetter"/>
      <w:start w:val="4"/>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upperLetter"/>
      <w:start w:val="1"/>
    </w:lvl>
  </w:abstractNum>
  <w:abstractNum w:abstractNumId="73">
    <w:nsid w:val="6A3DD3E8"/>
    <w:multiLevelType w:val="hybridMultilevel"/>
    <w:lvl w:ilvl="0">
      <w:lvlJc w:val="left"/>
      <w:lvlText w:val="1"/>
      <w:numFmt w:val="bullet"/>
      <w:start w:val="1"/>
    </w:lvl>
  </w:abstractNum>
  <w:abstractNum w:abstractNumId="74">
    <w:nsid w:val="71C91298"/>
    <w:multiLevelType w:val="hybridMultilevel"/>
    <w:lvl w:ilvl="0">
      <w:lvlJc w:val="left"/>
      <w:lvlText w:val="2"/>
      <w:numFmt w:val="bullet"/>
      <w:start w:val="1"/>
    </w:lvl>
  </w:abstractNum>
  <w:abstractNum w:abstractNumId="75">
    <w:nsid w:val="9DAF632"/>
    <w:multiLevelType w:val="hybridMultilevel"/>
    <w:lvl w:ilvl="0">
      <w:lvlJc w:val="left"/>
      <w:lvlText w:val="7"/>
      <w:numFmt w:val="bullet"/>
      <w:start w:val="1"/>
    </w:lvl>
  </w:abstractNum>
  <w:abstractNum w:abstractNumId="76">
    <w:nsid w:val="53299938"/>
    <w:multiLevelType w:val="hybridMultilevel"/>
    <w:lvl w:ilvl="0">
      <w:lvlJc w:val="left"/>
      <w:lvlText w:val="8"/>
      <w:numFmt w:val="bullet"/>
      <w:start w:val="1"/>
    </w:lvl>
  </w:abstractNum>
  <w:abstractNum w:abstractNumId="77">
    <w:nsid w:val="1FBFE8E0"/>
    <w:multiLevelType w:val="hybridMultilevel"/>
    <w:lvl w:ilvl="0">
      <w:lvlJc w:val="left"/>
      <w:lvlText w:val="%1"/>
      <w:numFmt w:val="decimal"/>
      <w:start w:val="10"/>
    </w:lvl>
  </w:abstractNum>
  <w:abstractNum w:abstractNumId="78">
    <w:nsid w:val="5092CA79"/>
    <w:multiLevelType w:val="hybridMultilevel"/>
    <w:lvl w:ilvl="0">
      <w:lvlJc w:val="left"/>
      <w:lvlText w:val="%1"/>
      <w:numFmt w:val="decimal"/>
      <w:start w:val="12"/>
    </w:lvl>
  </w:abstractNum>
  <w:abstractNum w:abstractNumId="79">
    <w:nsid w:val="1D545C4D"/>
    <w:multiLevelType w:val="hybridMultilevel"/>
    <w:lvl w:ilvl="0">
      <w:lvlJc w:val="left"/>
      <w:lvlText w:val="%1"/>
      <w:numFmt w:val="decimal"/>
      <w:start w:val="13"/>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decimal"/>
      <w:start w:val="14"/>
    </w:lvl>
  </w:abstractNum>
  <w:abstractNum w:abstractNumId="82">
    <w:nsid w:val="2A155DBC"/>
    <w:multiLevelType w:val="hybridMultilevel"/>
    <w:lvl w:ilvl="0">
      <w:lvlJc w:val="left"/>
      <w:lvlText w:val="%1."/>
      <w:numFmt w:val="lowerLetter"/>
      <w:start w:val="1"/>
    </w:lvl>
  </w:abstractNum>
  <w:abstractNum w:abstractNumId="83">
    <w:nsid w:val="1D9F6E5F"/>
    <w:multiLevelType w:val="hybridMultilevel"/>
    <w:lvl w:ilvl="0">
      <w:lvlJc w:val="left"/>
      <w:lvlText w:val="%1."/>
      <w:numFmt w:val="lowerLetter"/>
      <w:start w:val="2"/>
    </w:lvl>
    <w:lvl w:ilvl="1">
      <w:lvlJc w:val="left"/>
      <w:lvlText w:val="%2."/>
      <w:numFmt w:val="lowerRoman"/>
      <w:start w:val="1"/>
    </w:lvl>
  </w:abstractNum>
  <w:abstractNum w:abstractNumId="84">
    <w:nsid w:val="97E1B4E"/>
    <w:multiLevelType w:val="hybridMultilevel"/>
    <w:lvl w:ilvl="0">
      <w:lvlJc w:val="left"/>
      <w:lvlText w:val="%1."/>
      <w:numFmt w:val="lowerLetter"/>
      <w:start w:val="4"/>
    </w:lvl>
    <w:lvl w:ilvl="1">
      <w:lvlJc w:val="left"/>
      <w:lvlText w:val="%2."/>
      <w:numFmt w:val="lowerRoman"/>
      <w:start w:val="1"/>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1."/>
      <w:numFmt w:val="lowerLetter"/>
      <w:start w:val="2"/>
    </w:lvl>
  </w:abstractNum>
  <w:abstractNum w:abstractNumId="87">
    <w:nsid w:val="53584BCB"/>
    <w:multiLevelType w:val="hybridMultilevel"/>
    <w:lvl w:ilvl="0">
      <w:lvlJc w:val="left"/>
      <w:lvlText w:val="%1."/>
      <w:numFmt w:val="lowerLetter"/>
      <w:start w:val="3"/>
    </w:lvl>
  </w:abstractNum>
  <w:abstractNum w:abstractNumId="88">
    <w:nsid w:val="415E286C"/>
    <w:multiLevelType w:val="hybridMultilevel"/>
    <w:lvl w:ilvl="0">
      <w:lvlJc w:val="left"/>
      <w:lvlText w:val="%1."/>
      <w:numFmt w:val="lowerLetter"/>
      <w:start w:val="7"/>
    </w:lvl>
    <w:lvl w:ilvl="1">
      <w:lvlJc w:val="left"/>
      <w:lvlText w:val="%2"/>
      <w:numFmt w:val="lowerLetter"/>
      <w:start w:val="1"/>
    </w:lvl>
  </w:abstractNum>
  <w:abstractNum w:abstractNumId="89">
    <w:nsid w:val="7C58FD05"/>
    <w:multiLevelType w:val="hybridMultilevel"/>
    <w:lvl w:ilvl="0">
      <w:lvlJc w:val="left"/>
      <w:lvlText w:val="%1"/>
      <w:numFmt w:val="lowerLetter"/>
      <w:start w:val="1"/>
    </w:lvl>
    <w:lvl w:ilvl="1">
      <w:lvlJc w:val="left"/>
      <w:lvlText w:val="%2."/>
      <w:numFmt w:val="lowerRoman"/>
      <w:start w:val="2"/>
    </w:lvl>
  </w:abstractNum>
  <w:abstractNum w:abstractNumId="90">
    <w:nsid w:val="23D86AAC"/>
    <w:multiLevelType w:val="hybridMultilevel"/>
    <w:lvl w:ilvl="0">
      <w:lvlJc w:val="left"/>
      <w:lvlText w:val="%1."/>
      <w:numFmt w:val="lowerLetter"/>
      <w:start w:val="8"/>
    </w:lvl>
    <w:lvl w:ilvl="1">
      <w:lvlJc w:val="left"/>
      <w:lvlText w:val="%2."/>
      <w:numFmt w:val="lowerRoman"/>
      <w:start w:val="1"/>
    </w:lvl>
  </w:abstractNum>
  <w:abstractNum w:abstractNumId="91">
    <w:nsid w:val="45E6D486"/>
    <w:multiLevelType w:val="hybridMultilevel"/>
    <w:lvl w:ilvl="0">
      <w:lvlJc w:val="left"/>
      <w:lvlText w:val="%1"/>
      <w:numFmt w:val="lowerLetter"/>
      <w:start w:val="1"/>
    </w:lvl>
    <w:lvl w:ilvl="1">
      <w:lvlJc w:val="left"/>
      <w:lvlText w:val="%2."/>
      <w:numFmt w:val="lowerLetter"/>
      <w:start w:val="35"/>
    </w:lvl>
  </w:abstractNum>
  <w:abstractNum w:abstractNumId="92">
    <w:nsid w:val="5C10FE21"/>
    <w:multiLevelType w:val="hybridMultilevel"/>
    <w:lvl w:ilvl="0">
      <w:lvlJc w:val="left"/>
      <w:lvlText w:val="%1."/>
      <w:numFmt w:val="lowerLetter"/>
      <w:start w:val="11"/>
    </w:lvl>
    <w:lvl w:ilvl="1">
      <w:lvlJc w:val="left"/>
      <w:lvlText w:val="%2"/>
      <w:numFmt w:val="lowerLetter"/>
      <w:start w:val="1"/>
    </w:lvl>
  </w:abstractNum>
  <w:abstractNum w:abstractNumId="93">
    <w:nsid w:val="E7FFA2B"/>
    <w:multiLevelType w:val="hybridMultilevel"/>
    <w:lvl w:ilvl="0">
      <w:lvlJc w:val="left"/>
      <w:lvlText w:val="%1."/>
      <w:numFmt w:val="lowerLetter"/>
      <w:start w:val="13"/>
    </w:lvl>
  </w:abstractNum>
  <w:abstractNum w:abstractNumId="94">
    <w:nsid w:val="3C5991AA"/>
    <w:multiLevelType w:val="hybridMultilevel"/>
    <w:lvl w:ilvl="0">
      <w:lvlJc w:val="left"/>
      <w:lvlText w:val="%1"/>
      <w:numFmt w:val="lowerLetter"/>
      <w:start w:val="1"/>
    </w:lvl>
    <w:lvl w:ilvl="1">
      <w:lvlJc w:val="left"/>
      <w:lvlText w:val="%2."/>
      <w:numFmt w:val="lowerRoman"/>
      <w:start w:val="1"/>
    </w:lvl>
  </w:abstractNum>
  <w:abstractNum w:abstractNumId="95">
    <w:nsid w:val="4BD8591A"/>
    <w:multiLevelType w:val="hybridMultilevel"/>
    <w:lvl w:ilvl="0">
      <w:lvlJc w:val="left"/>
      <w:lvlText w:val="%1."/>
      <w:numFmt w:val="lowerLetter"/>
      <w:start w:val="14"/>
    </w:lvl>
    <w:lvl w:ilvl="1">
      <w:lvlJc w:val="left"/>
      <w:lvlText w:val="%2"/>
      <w:numFmt w:val="lowerRoman"/>
      <w:start w:val="1"/>
    </w:lvl>
  </w:abstractNum>
  <w:abstractNum w:abstractNumId="96">
    <w:nsid w:val="78DF6A55"/>
    <w:multiLevelType w:val="hybridMultilevel"/>
    <w:lvl w:ilvl="0">
      <w:lvlJc w:val="left"/>
      <w:lvlText w:val="%1."/>
      <w:numFmt w:val="lowerLetter"/>
      <w:start w:val="18"/>
    </w:lvl>
    <w:lvl w:ilvl="1">
      <w:lvlJc w:val="left"/>
      <w:lvlText w:val="%2."/>
      <w:numFmt w:val="lowerRoman"/>
      <w:start w:val="1"/>
    </w:lvl>
  </w:abstractNum>
  <w:abstractNum w:abstractNumId="97">
    <w:nsid w:val="39B7AAA2"/>
    <w:multiLevelType w:val="hybridMultilevel"/>
    <w:lvl w:ilvl="0">
      <w:lvlJc w:val="left"/>
      <w:lvlText w:val="%1."/>
      <w:numFmt w:val="lowerLetter"/>
      <w:start w:val="1"/>
    </w:lvl>
    <w:lvl w:ilvl="1">
      <w:lvlJc w:val="left"/>
      <w:lvlText w:val="%2"/>
      <w:numFmt w:val="lowerLetter"/>
      <w:start w:val="1"/>
    </w:lvl>
  </w:abstractNum>
  <w:abstractNum w:abstractNumId="98">
    <w:nsid w:val="2B0D8DBE"/>
    <w:multiLevelType w:val="hybridMultilevel"/>
    <w:lvl w:ilvl="0">
      <w:lvlJc w:val="left"/>
      <w:lvlText w:val="%1"/>
      <w:numFmt w:val="lowerLetter"/>
      <w:start w:val="1"/>
    </w:lvl>
    <w:lvl w:ilvl="1">
      <w:lvlJc w:val="left"/>
      <w:lvlText w:val="%2."/>
      <w:numFmt w:val="lowerRoman"/>
      <w:start w:val="2"/>
    </w:lvl>
  </w:abstractNum>
  <w:abstractNum w:abstractNumId="99">
    <w:nsid w:val="6C80EC70"/>
    <w:multiLevelType w:val="hybridMultilevel"/>
    <w:lvl w:ilvl="0">
      <w:lvlJc w:val="left"/>
      <w:lvlText w:val="%1."/>
      <w:numFmt w:val="lowerLetter"/>
      <w:start w:val="3"/>
    </w:lvl>
    <w:lvl w:ilvl="1">
      <w:lvlJc w:val="left"/>
      <w:lvlText w:val="%2."/>
      <w:numFmt w:val="lowerRoman"/>
      <w:start w:val="1"/>
    </w:lvl>
  </w:abstractNum>
  <w:abstractNum w:abstractNumId="100">
    <w:nsid w:val="379E21B5"/>
    <w:multiLevelType w:val="hybridMultilevel"/>
    <w:lvl w:ilvl="0">
      <w:lvlJc w:val="left"/>
      <w:lvlText w:val="%1"/>
      <w:numFmt w:val="decimal"/>
      <w:start w:val="1"/>
    </w:lvl>
    <w:lvl w:ilvl="1">
      <w:lvlJc w:val="left"/>
      <w:lvlText w:val="%2."/>
      <w:numFmt w:val="lowerRoman"/>
      <w:start w:val="2"/>
    </w:lvl>
  </w:abstractNum>
  <w:abstractNum w:abstractNumId="101">
    <w:nsid w:val="69E373"/>
    <w:multiLevelType w:val="hybridMultilevel"/>
    <w:lvl w:ilvl="0">
      <w:lvlJc w:val="left"/>
      <w:lvlText w:val="(%1)"/>
      <w:numFmt w:val="decimal"/>
      <w:start w:val="3"/>
    </w:lvl>
    <w:lvl w:ilvl="1">
      <w:lvlJc w:val="left"/>
      <w:lvlText w:val="%2."/>
      <w:numFmt w:val="lowerRoman"/>
      <w:start w:val="3"/>
    </w:lvl>
  </w:abstractNum>
  <w:abstractNum w:abstractNumId="102">
    <w:nsid w:val="2C27173B"/>
    <w:multiLevelType w:val="hybridMultilevel"/>
    <w:lvl w:ilvl="0">
      <w:lvlJc w:val="left"/>
      <w:lvlText w:val="%1."/>
      <w:numFmt w:val="lowerLetter"/>
      <w:start w:val="5"/>
    </w:lvl>
  </w:abstractNum>
  <w:abstractNum w:abstractNumId="103">
    <w:nsid w:val="4C9B0904"/>
    <w:multiLevelType w:val="hybridMultilevel"/>
    <w:lvl w:ilvl="0">
      <w:lvlJc w:val="left"/>
      <w:lvlText w:val="%1."/>
      <w:numFmt w:val="lowerLetter"/>
      <w:start w:val="7"/>
    </w:lvl>
    <w:lvl w:ilvl="1">
      <w:lvlJc w:val="left"/>
      <w:lvlText w:val="%2."/>
      <w:numFmt w:val="lowerRoman"/>
      <w:start w:val="1"/>
    </w:lvl>
  </w:abstractNum>
  <w:abstractNum w:abstractNumId="104">
    <w:nsid w:val="6AA7B75C"/>
    <w:multiLevelType w:val="hybridMultilevel"/>
    <w:lvl w:ilvl="0">
      <w:lvlJc w:val="left"/>
      <w:lvlText w:val="%1."/>
      <w:numFmt w:val="lowerRoman"/>
      <w:start w:val="3"/>
    </w:lvl>
  </w:abstractNum>
  <w:abstractNum w:abstractNumId="105">
    <w:nsid w:val="1DF029D3"/>
    <w:multiLevelType w:val="hybridMultilevel"/>
    <w:lvl w:ilvl="0">
      <w:lvlJc w:val="left"/>
      <w:lvlText w:val="%1."/>
      <w:numFmt w:val="lowerLetter"/>
      <w:start w:val="1"/>
    </w:lvl>
  </w:abstractNum>
  <w:abstractNum w:abstractNumId="106">
    <w:nsid w:val="5675FF36"/>
    <w:multiLevelType w:val="hybridMultilevel"/>
    <w:lvl w:ilvl="0">
      <w:lvlJc w:val="left"/>
      <w:lvlText w:val="%1."/>
      <w:numFmt w:val="lowerLetter"/>
      <w:start w:val="1"/>
    </w:lvl>
    <w:lvl w:ilvl="1">
      <w:lvlJc w:val="left"/>
      <w:lvlText w:val="%2."/>
      <w:numFmt w:val="lowerRoman"/>
      <w:start w:val="1"/>
    </w:lvl>
  </w:abstractNum>
  <w:abstractNum w:abstractNumId="107">
    <w:nsid w:val="3DD15094"/>
    <w:multiLevelType w:val="hybridMultilevel"/>
    <w:lvl w:ilvl="0">
      <w:lvlJc w:val="left"/>
      <w:lvlText w:val="%1."/>
      <w:numFmt w:val="lowerRoman"/>
      <w:start w:val="3"/>
    </w:lvl>
  </w:abstractNum>
  <w:abstractNum w:abstractNumId="108">
    <w:nsid w:val="3DB012B3"/>
    <w:multiLevelType w:val="hybridMultilevel"/>
    <w:lvl w:ilvl="0">
      <w:lvlJc w:val="left"/>
      <w:lvlText w:val="%1"/>
      <w:numFmt w:val="lowerLetter"/>
      <w:start w:val="1"/>
    </w:lvl>
    <w:lvl w:ilvl="1">
      <w:lvlJc w:val="left"/>
      <w:lvlText w:val="%2."/>
      <w:numFmt w:val="lowerRoman"/>
      <w:start w:val="9"/>
    </w:lvl>
  </w:abstractNum>
  <w:abstractNum w:abstractNumId="109">
    <w:nsid w:val="2708C9AF"/>
    <w:multiLevelType w:val="hybridMultilevel"/>
    <w:lvl w:ilvl="0">
      <w:lvlJc w:val="left"/>
      <w:lvlText w:val="%1."/>
      <w:numFmt w:val="lowerLetter"/>
      <w:start w:val="2"/>
    </w:lvl>
    <w:lvl w:ilvl="1">
      <w:lvlJc w:val="left"/>
      <w:lvlText w:val="%2"/>
      <w:numFmt w:val="lowerRoman"/>
      <w:start w:val="1"/>
    </w:lvl>
  </w:abstractNum>
  <w:abstractNum w:abstractNumId="110">
    <w:nsid w:val="5B25ACE2"/>
    <w:multiLevelType w:val="hybridMultilevel"/>
    <w:lvl w:ilvl="0">
      <w:lvlJc w:val="left"/>
      <w:lvlText w:val="%1."/>
      <w:numFmt w:val="lowerLetter"/>
      <w:start w:val="3"/>
    </w:lvl>
  </w:abstractNum>
  <w:abstractNum w:abstractNumId="111">
    <w:nsid w:val="175DFCF0"/>
    <w:multiLevelType w:val="hybridMultilevel"/>
    <w:lvl w:ilvl="0">
      <w:lvlJc w:val="left"/>
      <w:lvlText w:val="%1"/>
      <w:numFmt w:val="lowerRoman"/>
      <w:start w:val="1"/>
    </w:lvl>
    <w:lvl w:ilvl="1">
      <w:lvlJc w:val="left"/>
      <w:lvlText w:val="%2."/>
      <w:numFmt w:val="lowerLetter"/>
      <w:start w:val="1"/>
    </w:lvl>
  </w:abstractNum>
  <w:abstractNum w:abstractNumId="112">
    <w:nsid w:val="4F97E3E4"/>
    <w:multiLevelType w:val="hybridMultilevel"/>
    <w:lvl w:ilvl="0">
      <w:lvlJc w:val="left"/>
      <w:lvlText w:val="(%1)"/>
      <w:numFmt w:val="lowerRoman"/>
      <w:start w:val="1"/>
    </w:lvl>
    <w:lvl w:ilvl="1">
      <w:lvlJc w:val="left"/>
      <w:lvlText w:val="%2"/>
      <w:numFmt w:val="lowerLetter"/>
      <w:start w:val="1"/>
    </w:lvl>
  </w:abstractNum>
  <w:abstractNum w:abstractNumId="113">
    <w:nsid w:val="53B0A9E"/>
    <w:multiLevelType w:val="hybridMultilevel"/>
    <w:lvl w:ilvl="0">
      <w:lvlJc w:val="left"/>
      <w:lvlText w:val="%1."/>
      <w:numFmt w:val="lowerLetter"/>
      <w:start w:val="2"/>
    </w:lvl>
  </w:abstractNum>
  <w:abstractNum w:abstractNumId="114">
    <w:nsid w:val="34FD6B4F"/>
    <w:multiLevelType w:val="hybridMultilevel"/>
    <w:lvl w:ilvl="0">
      <w:lvlJc w:val="left"/>
      <w:lvlText w:val="%1."/>
      <w:numFmt w:val="lowerLetter"/>
      <w:start w:val="3"/>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decimal"/>
      <w:start w:val="1"/>
    </w:lvl>
    <w:lvl w:ilvl="1">
      <w:lvlJc w:val="left"/>
      <w:lvlText w:val="%2."/>
      <w:numFmt w:val="lowerLetter"/>
      <w:start w:val="1"/>
    </w:lvl>
  </w:abstractNum>
  <w:abstractNum w:abstractNumId="117">
    <w:nsid w:val="519E3149"/>
    <w:multiLevelType w:val="hybridMultilevel"/>
    <w:lvl w:ilvl="0">
      <w:lvlJc w:val="left"/>
      <w:lvlText w:val="(%1)"/>
      <w:numFmt w:val="decimal"/>
      <w:start w:val="2"/>
    </w:lvl>
    <w:lvl w:ilvl="1">
      <w:lvlJc w:val="left"/>
      <w:lvlText w:val="%2."/>
      <w:numFmt w:val="lowerLetter"/>
      <w:start w:val="2"/>
    </w:lvl>
  </w:abstractNum>
  <w:abstractNum w:abstractNumId="118">
    <w:nsid w:val="2C6E4AFD"/>
    <w:multiLevelType w:val="hybridMultilevel"/>
    <w:lvl w:ilvl="0">
      <w:lvlJc w:val="left"/>
      <w:lvlText w:val="%1."/>
      <w:numFmt w:val="lowerLetter"/>
      <w:start w:val="3"/>
    </w:lvl>
  </w:abstractNum>
  <w:abstractNum w:abstractNumId="119">
    <w:nsid w:val="17A1B582"/>
    <w:multiLevelType w:val="hybridMultilevel"/>
    <w:lvl w:ilvl="0">
      <w:lvlJc w:val="left"/>
      <w:lvlText w:val="%1."/>
      <w:numFmt w:val="lowerLetter"/>
      <w:start w:val="1"/>
    </w:lvl>
    <w:lvl w:ilvl="1">
      <w:lvlJc w:val="left"/>
      <w:lvlText w:val="%2."/>
      <w:numFmt w:val="lowerRoman"/>
      <w:start w:val="1"/>
    </w:lvl>
  </w:abstractNum>
  <w:abstractNum w:abstractNumId="120">
    <w:nsid w:val="4DF72E4E"/>
    <w:multiLevelType w:val="hybridMultilevel"/>
    <w:lvl w:ilvl="0">
      <w:lvlJc w:val="left"/>
      <w:lvlText w:val="%1."/>
      <w:numFmt w:val="lowerRoman"/>
      <w:start w:val="4"/>
    </w:lvl>
  </w:abstractNum>
  <w:abstractNum w:abstractNumId="121">
    <w:nsid w:val="5046B5A9"/>
    <w:multiLevelType w:val="hybridMultilevel"/>
    <w:lvl w:ilvl="0">
      <w:lvlJc w:val="left"/>
      <w:lvlText w:val="%1."/>
      <w:numFmt w:val="lowerRoman"/>
      <w:start w:val="8"/>
    </w:lvl>
  </w:abstractNum>
  <w:abstractNum w:abstractNumId="122">
    <w:nsid w:val="5D888A08"/>
    <w:multiLevelType w:val="hybridMultilevel"/>
    <w:lvl w:ilvl="0">
      <w:lvlJc w:val="left"/>
      <w:lvlText w:val="%1."/>
      <w:numFmt w:val="lowerLetter"/>
      <w:start w:val="2"/>
    </w:lvl>
  </w:abstractNum>
  <w:abstractNum w:abstractNumId="123">
    <w:nsid w:val="2A082C70"/>
    <w:multiLevelType w:val="hybridMultilevel"/>
    <w:lvl w:ilvl="0">
      <w:lvlJc w:val="left"/>
      <w:lvlText w:val="%1."/>
      <w:numFmt w:val="lowerLetter"/>
      <w:start w:val="1"/>
    </w:lvl>
  </w:abstractNum>
  <w:abstractNum w:abstractNumId="124">
    <w:nsid w:val="5EC6AFD4"/>
    <w:multiLevelType w:val="hybridMultilevel"/>
    <w:lvl w:ilvl="0">
      <w:lvlJc w:val="left"/>
      <w:lvlText w:val="%1."/>
      <w:numFmt w:val="lowerLetter"/>
      <w:start w:val="2"/>
    </w:lvl>
  </w:abstractNum>
  <w:abstractNum w:abstractNumId="125">
    <w:nsid w:val="19E21BB2"/>
    <w:multiLevelType w:val="hybridMultilevel"/>
    <w:lvl w:ilvl="0">
      <w:lvlJc w:val="left"/>
      <w:lvlText w:val="%1."/>
      <w:numFmt w:val="lowerLetter"/>
      <w:start w:val="3"/>
    </w:lvl>
  </w:abstractNum>
  <w:abstractNum w:abstractNumId="126">
    <w:nsid w:val="75E0858A"/>
    <w:multiLevelType w:val="hybridMultilevel"/>
    <w:lvl w:ilvl="0">
      <w:lvlJc w:val="left"/>
      <w:lvlText w:val="%1."/>
      <w:numFmt w:val="lowerLetter"/>
      <w:start w:val="5"/>
    </w:lvl>
  </w:abstractNum>
  <w:abstractNum w:abstractNumId="127">
    <w:nsid w:val="57A61A29"/>
    <w:multiLevelType w:val="hybridMultilevel"/>
    <w:lvl w:ilvl="0">
      <w:lvlJc w:val="left"/>
      <w:lvlText w:val="%1."/>
      <w:numFmt w:val="lowerLetter"/>
      <w:start w:val="7"/>
    </w:lvl>
  </w:abstractNum>
  <w:abstractNum w:abstractNumId="128">
    <w:nsid w:val="5399C654"/>
    <w:multiLevelType w:val="hybridMultilevel"/>
    <w:lvl w:ilvl="0">
      <w:lvlJc w:val="left"/>
      <w:lvlText w:val="%1."/>
      <w:numFmt w:val="lowerLetter"/>
      <w:start w:val="2"/>
    </w:lvl>
  </w:abstractNum>
  <w:abstractNum w:abstractNumId="129">
    <w:nsid w:val="20EE1348"/>
    <w:multiLevelType w:val="hybridMultilevel"/>
    <w:lvl w:ilvl="0">
      <w:lvlJc w:val="left"/>
      <w:lvlText w:val="%1."/>
      <w:numFmt w:val="lowerLetter"/>
      <w:start w:val="1"/>
    </w:lvl>
  </w:abstractNum>
  <w:abstractNum w:abstractNumId="130">
    <w:nsid w:val="4427069A"/>
    <w:multiLevelType w:val="hybridMultilevel"/>
    <w:lvl w:ilvl="0">
      <w:lvlJc w:val="left"/>
      <w:lvlText w:val="%1."/>
      <w:numFmt w:val="lowerLetter"/>
      <w:start w:val="2"/>
    </w:lvl>
  </w:abstractNum>
  <w:abstractNum w:abstractNumId="131">
    <w:nsid w:val="B37E80A"/>
    <w:multiLevelType w:val="hybridMultilevel"/>
    <w:lvl w:ilvl="0">
      <w:lvlJc w:val="left"/>
      <w:lvlText w:val="(%1)"/>
      <w:numFmt w:val="upperLetter"/>
      <w:start w:val="1"/>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2021-07-07T16:13:02Z</dcterms:created>
  <dcterms:modified xsi:type="dcterms:W3CDTF">2021-07-07T16:13:02Z</dcterms:modified>
</cp:coreProperties>
</file>