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tbl>
      <w:tblPr>
        <w:tblW w:w="10205" w:type="dxa"/>
        <w:jc w:val="left"/>
        <w:tblInd w:w="0" w:type="dxa"/>
        <w:tblLayout w:type="fixed"/>
        <w:tblCellMar>
          <w:top w:w="28" w:type="dxa"/>
          <w:left w:w="28" w:type="dxa"/>
          <w:bottom w:w="28" w:type="dxa"/>
          <w:right w:w="28" w:type="dxa"/>
        </w:tblCellMar>
      </w:tblPr>
      <w:tblGrid>
        <w:gridCol w:w="141"/>
        <w:gridCol w:w="124"/>
        <w:gridCol w:w="126"/>
        <w:gridCol w:w="2871"/>
        <w:gridCol w:w="2871"/>
        <w:gridCol w:w="407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88" w:before="40" w:after="40"/>
              <w:jc w:val="center"/>
              <w:rPr>
                <w:color w:val="000000"/>
              </w:rPr>
            </w:pPr>
            <w:r>
              <w:rPr>
                <w:color w:val="000000"/>
              </w:rPr>
              <w:t> ☒</w:t>
            </w:r>
          </w:p>
        </w:tc>
        <w:tc>
          <w:tcPr>
            <w:tcW w:w="9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2023</w:t>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ans-serif" w:hAnsi="Times New Roman;sans-serif"/>
          <w:b/>
          <w:color w:val="000000"/>
          <w:sz w:val="20"/>
        </w:rPr>
        <w:t>For the transition period from  </w:t>
      </w:r>
      <w:r>
        <w:rPr>
          <w:color w:val="000000"/>
          <w:u w:val="single"/>
        </w:rPr>
        <w:t xml:space="preserve"> </w:t>
      </w:r>
      <w:r>
        <w:rPr>
          <w:rFonts w:ascii="Times New Roman;sans-serif" w:hAnsi="Times New Roman;sans-serif"/>
          <w:b/>
          <w:color w:val="000000"/>
          <w:sz w:val="20"/>
        </w:rPr>
        <w:t xml:space="preserve">to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001-39291</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p>
      <w:pPr>
        <w:pStyle w:val="TextBody"/>
        <w:bidi w:val="0"/>
        <w:spacing w:lineRule="auto" w:line="288" w:before="0" w:after="1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tbl>
      <w:tblPr>
        <w:tblW w:w="9031" w:type="dxa"/>
        <w:jc w:val="left"/>
        <w:tblInd w:w="0" w:type="dxa"/>
        <w:tblLayout w:type="fixed"/>
        <w:tblCellMar>
          <w:top w:w="28" w:type="dxa"/>
          <w:left w:w="28" w:type="dxa"/>
          <w:bottom w:w="28" w:type="dxa"/>
          <w:right w:w="28" w:type="dxa"/>
        </w:tblCellMar>
      </w:tblPr>
      <w:tblGrid>
        <w:gridCol w:w="1795"/>
        <w:gridCol w:w="1577"/>
        <w:gridCol w:w="1593"/>
        <w:gridCol w:w="230"/>
        <w:gridCol w:w="230"/>
        <w:gridCol w:w="231"/>
        <w:gridCol w:w="115"/>
        <w:gridCol w:w="115"/>
        <w:gridCol w:w="116"/>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84-4290188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6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3920 Park Avenue</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Edison</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NJ</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08820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(732) 225-8400</w:t>
      </w:r>
    </w:p>
    <w:p>
      <w:pPr>
        <w:pStyle w:val="TextBody"/>
        <w:bidi w:val="0"/>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15"/>
        <w:gridCol w:w="1501"/>
        <w:gridCol w:w="1518"/>
        <w:gridCol w:w="560"/>
        <w:gridCol w:w="560"/>
        <w:gridCol w:w="562"/>
        <w:gridCol w:w="1107"/>
        <w:gridCol w:w="1107"/>
        <w:gridCol w:w="1575"/>
      </w:tblGrid>
      <w:tr>
        <w:trPr/>
        <w:tc>
          <w:tcPr>
            <w:tcW w:w="171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EOSE</w:t>
            </w:r>
          </w:p>
        </w:tc>
        <w:tc>
          <w:tcPr>
            <w:tcW w:w="3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exercisable for one share of common stock</w:t>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EOSEW</w:t>
            </w:r>
          </w:p>
        </w:tc>
        <w:tc>
          <w:tcPr>
            <w:tcW w:w="3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40" w:after="283"/>
              <w:jc w:val="center"/>
              <w:rPr>
                <w:color w:val="000000"/>
              </w:rPr>
            </w:pPr>
            <w:r>
              <w:rPr>
                <w:color w:val="000000"/>
              </w:rPr>
              <w:t>☐</w:t>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     Yes   ☐     No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158,064,466 shares of common stock as of November 1, 2023.</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00" w:after="283"/>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48"/>
        <w:gridCol w:w="218"/>
        <w:gridCol w:w="219"/>
        <w:gridCol w:w="2991"/>
        <w:gridCol w:w="2991"/>
        <w:gridCol w:w="2996"/>
        <w:gridCol w:w="158"/>
        <w:gridCol w:w="158"/>
        <w:gridCol w:w="226"/>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991"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3">
              <w:r>
                <w:rPr>
                  <w:rStyle w:val="InternetLink"/>
                  <w:rFonts w:ascii="Times New Roman;sans-serif" w:hAnsi="Times New Roman;sans-serif"/>
                  <w:b w:val="false"/>
                  <w:strike w:val="false"/>
                  <w:dstrike w:val="false"/>
                  <w:color w:val="000000"/>
                  <w:sz w:val="20"/>
                  <w:u w:val="none"/>
                  <w:effect w:val="none"/>
                </w:rPr>
                <w:t>PART I - FINANCIAL INFORMATION</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6">
              <w:r>
                <w:rPr>
                  <w:rStyle w:val="InternetLink"/>
                  <w:rFonts w:ascii="Times New Roman;sans-serif" w:hAnsi="Times New Roman;sans-serif"/>
                  <w:b w:val="false"/>
                  <w:strike w:val="false"/>
                  <w:dstrike w:val="false"/>
                  <w:color w:val="000000"/>
                  <w:sz w:val="20"/>
                  <w:u w:val="none"/>
                  <w:effect w:val="none"/>
                </w:rPr>
                <w:t xml:space="preserve">Item 1. </w:t>
              </w:r>
            </w:hyperlink>
          </w:p>
        </w:tc>
        <w:tc>
          <w:tcPr>
            <w:tcW w:w="8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6">
              <w:r>
                <w:rPr>
                  <w:rStyle w:val="InternetLink"/>
                  <w:rFonts w:ascii="Times New Roman;sans-serif" w:hAnsi="Times New Roman;sans-serif"/>
                  <w:b w:val="false"/>
                  <w:strike w:val="false"/>
                  <w:dstrike w:val="false"/>
                  <w:color w:val="000000"/>
                  <w:sz w:val="20"/>
                  <w:u w:val="none"/>
                  <w:effect w:val="none"/>
                </w:rPr>
                <w:t xml:space="preserve">Financial Statements </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6">
              <w:r>
                <w:rPr>
                  <w:rStyle w:val="InternetLink"/>
                  <w:rFonts w:ascii="Times New Roman;sans-serif" w:hAnsi="Times New Roman;sans-serif"/>
                  <w:b w:val="false"/>
                  <w:strike w:val="false"/>
                  <w:dstrike w:val="false"/>
                  <w:color w:val="000000"/>
                  <w:sz w:val="20"/>
                  <w:u w:val="none"/>
                  <w:effect w:val="none"/>
                </w:rPr>
                <w:t>4</w:t>
              </w:r>
            </w:hyperlink>
          </w:p>
        </w:tc>
      </w:tr>
      <w:tr>
        <w:trPr/>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4e2d934043eb4a329c2421d6d987ad21_19">
              <w:r>
                <w:rPr>
                  <w:rStyle w:val="InternetLink"/>
                  <w:rFonts w:ascii="Times New Roman;sans-serif" w:hAnsi="Times New Roman;sans-serif"/>
                  <w:b w:val="false"/>
                  <w:strike w:val="false"/>
                  <w:dstrike w:val="false"/>
                  <w:color w:val="000000"/>
                  <w:sz w:val="20"/>
                  <w:u w:val="none"/>
                  <w:effect w:val="none"/>
                </w:rPr>
                <w:t xml:space="preserve">Condensed Consolidated Balance Sheets as of </w:t>
              </w:r>
            </w:hyperlink>
            <w:r>
              <w:rPr>
                <w:rFonts w:ascii="Times New Roman;sans-serif" w:hAnsi="Times New Roman;sans-serif"/>
                <w:b w:val="false"/>
                <w:color w:val="000000"/>
                <w:sz w:val="20"/>
              </w:rPr>
              <w:t>September 30, 2023</w:t>
            </w:r>
            <w:hyperlink w:anchor="i4e2d934043eb4a329c2421d6d987ad21_19">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December 31, 2022</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9">
              <w:r>
                <w:rPr>
                  <w:rStyle w:val="InternetLink"/>
                  <w:rFonts w:ascii="Times New Roman;sans-serif" w:hAnsi="Times New Roman;sans-serif"/>
                  <w:b w:val="false"/>
                  <w:strike w:val="false"/>
                  <w:dstrike w:val="false"/>
                  <w:color w:val="000000"/>
                  <w:sz w:val="20"/>
                  <w:u w:val="none"/>
                  <w:effect w:val="none"/>
                </w:rPr>
                <w:t>4</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4e2d934043eb4a329c2421d6d987ad21_22">
              <w:r>
                <w:rPr>
                  <w:rStyle w:val="InternetLink"/>
                  <w:rFonts w:ascii="Times New Roman;sans-serif" w:hAnsi="Times New Roman;sans-serif"/>
                  <w:b w:val="false"/>
                  <w:strike w:val="false"/>
                  <w:dstrike w:val="false"/>
                  <w:color w:val="000080"/>
                  <w:sz w:val="20"/>
                  <w:u w:val="single"/>
                  <w:effect w:val="none"/>
                </w:rPr>
                <w:t xml:space="preserve">Condensed Consolidated Statements of Operations and Comprehensive </w:t>
              </w:r>
            </w:hyperlink>
            <w:hyperlink w:anchor="i4e2d934043eb4a329c2421d6d987ad21_22">
              <w:r>
                <w:rPr>
                  <w:rStyle w:val="InternetLink"/>
                  <w:rFonts w:ascii="Times New Roman;sans-serif" w:hAnsi="Times New Roman;sans-serif"/>
                  <w:b w:val="false"/>
                  <w:strike w:val="false"/>
                  <w:dstrike w:val="false"/>
                  <w:color w:val="000080"/>
                  <w:sz w:val="20"/>
                  <w:u w:val="single"/>
                  <w:effect w:val="none"/>
                </w:rPr>
                <w:t>In</w:t>
              </w:r>
            </w:hyperlink>
            <w:hyperlink w:anchor="i4e2d934043eb4a329c2421d6d987ad21_22">
              <w:r>
                <w:rPr>
                  <w:rStyle w:val="InternetLink"/>
                  <w:rFonts w:ascii="Times New Roman;sans-serif" w:hAnsi="Times New Roman;sans-serif"/>
                  <w:b w:val="false"/>
                  <w:strike w:val="false"/>
                  <w:dstrike w:val="false"/>
                  <w:color w:val="000080"/>
                  <w:sz w:val="20"/>
                  <w:u w:val="single"/>
                  <w:effect w:val="none"/>
                </w:rPr>
                <w:t>come (</w:t>
              </w:r>
            </w:hyperlink>
            <w:hyperlink w:anchor="i4e2d934043eb4a329c2421d6d987ad21_22">
              <w:r>
                <w:rPr>
                  <w:rStyle w:val="InternetLink"/>
                  <w:rFonts w:ascii="Times New Roman;sans-serif" w:hAnsi="Times New Roman;sans-serif"/>
                  <w:b w:val="false"/>
                  <w:strike w:val="false"/>
                  <w:dstrike w:val="false"/>
                  <w:color w:val="000080"/>
                  <w:sz w:val="20"/>
                  <w:u w:val="single"/>
                  <w:effect w:val="none"/>
                </w:rPr>
                <w:t>Loss</w:t>
              </w:r>
            </w:hyperlink>
            <w:hyperlink w:anchor="i4e2d934043eb4a329c2421d6d987ad21_22">
              <w:r>
                <w:rPr>
                  <w:rStyle w:val="InternetLink"/>
                  <w:rFonts w:ascii="Times New Roman;sans-serif" w:hAnsi="Times New Roman;sans-serif"/>
                  <w:b w:val="false"/>
                  <w:strike w:val="false"/>
                  <w:dstrike w:val="false"/>
                  <w:color w:val="000080"/>
                  <w:sz w:val="20"/>
                  <w:u w:val="single"/>
                  <w:effect w:val="none"/>
                </w:rPr>
                <w:t>)</w:t>
              </w:r>
            </w:hyperlink>
            <w:hyperlink w:anchor="i4e2d934043eb4a329c2421d6d987ad21_22">
              <w:r>
                <w:rPr>
                  <w:rStyle w:val="InternetLink"/>
                  <w:rFonts w:ascii="Times New Roman;sans-serif" w:hAnsi="Times New Roman;sans-serif"/>
                  <w:b w:val="false"/>
                  <w:strike w:val="false"/>
                  <w:dstrike w:val="false"/>
                  <w:color w:val="000080"/>
                  <w:sz w:val="20"/>
                  <w:u w:val="single"/>
                  <w:effect w:val="none"/>
                </w:rPr>
                <w:t xml:space="preserve"> for the Three and </w:t>
              </w:r>
            </w:hyperlink>
            <w:hyperlink w:anchor="i4e2d934043eb4a329c2421d6d987ad21_22">
              <w:r>
                <w:rPr>
                  <w:rStyle w:val="InternetLink"/>
                  <w:rFonts w:ascii="Times New Roman;sans-serif" w:hAnsi="Times New Roman;sans-serif"/>
                  <w:b w:val="false"/>
                  <w:strike w:val="false"/>
                  <w:dstrike w:val="false"/>
                  <w:color w:val="000080"/>
                  <w:sz w:val="20"/>
                  <w:u w:val="single"/>
                  <w:effect w:val="none"/>
                </w:rPr>
                <w:t>Nine</w:t>
              </w:r>
            </w:hyperlink>
            <w:hyperlink w:anchor="i4e2d934043eb4a329c2421d6d987ad21_22">
              <w:r>
                <w:rPr>
                  <w:rStyle w:val="InternetLink"/>
                  <w:rFonts w:ascii="Times New Roman;sans-serif" w:hAnsi="Times New Roman;sans-serif"/>
                  <w:b w:val="false"/>
                  <w:strike w:val="false"/>
                  <w:dstrike w:val="false"/>
                  <w:color w:val="000080"/>
                  <w:sz w:val="20"/>
                  <w:u w:val="single"/>
                  <w:effect w:val="none"/>
                </w:rPr>
                <w:t xml:space="preserve"> Months Ended </w:t>
              </w:r>
            </w:hyperlink>
            <w:r>
              <w:rPr>
                <w:rFonts w:ascii="Times New Roman;sans-serif" w:hAnsi="Times New Roman;sans-serif"/>
                <w:b w:val="false"/>
                <w:color w:val="000000"/>
                <w:sz w:val="20"/>
              </w:rPr>
              <w:t>September 30, 2023</w:t>
            </w:r>
            <w:hyperlink w:anchor="i4e2d934043eb4a329c2421d6d987ad21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22">
              <w:r>
                <w:rPr>
                  <w:rStyle w:val="InternetLink"/>
                  <w:rFonts w:ascii="Times New Roman;sans-serif" w:hAnsi="Times New Roman;sans-serif"/>
                  <w:b w:val="false"/>
                  <w:strike w:val="false"/>
                  <w:dstrike w:val="false"/>
                  <w:color w:val="000000"/>
                  <w:sz w:val="20"/>
                  <w:u w:val="none"/>
                  <w:effect w:val="none"/>
                </w:rPr>
                <w:t>6</w:t>
              </w:r>
            </w:hyperlink>
          </w:p>
        </w:tc>
      </w:tr>
      <w:tr>
        <w:trPr/>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4e2d934043eb4a329c2421d6d987ad21_25">
              <w:r>
                <w:rPr>
                  <w:rStyle w:val="InternetLink"/>
                  <w:rFonts w:ascii="Times New Roman;sans-serif" w:hAnsi="Times New Roman;sans-serif"/>
                  <w:b w:val="false"/>
                  <w:strike w:val="false"/>
                  <w:dstrike w:val="false"/>
                  <w:color w:val="000080"/>
                  <w:sz w:val="20"/>
                  <w:u w:val="single"/>
                  <w:effect w:val="none"/>
                </w:rPr>
                <w:t xml:space="preserve">Condensed Consolidated Statements of Shareholders’ (Deficit) Equity for the Three and </w:t>
              </w:r>
            </w:hyperlink>
            <w:hyperlink w:anchor="i4e2d934043eb4a329c2421d6d987ad21_25">
              <w:r>
                <w:rPr>
                  <w:rStyle w:val="InternetLink"/>
                  <w:rFonts w:ascii="Times New Roman;sans-serif" w:hAnsi="Times New Roman;sans-serif"/>
                  <w:b w:val="false"/>
                  <w:strike w:val="false"/>
                  <w:dstrike w:val="false"/>
                  <w:color w:val="000080"/>
                  <w:sz w:val="20"/>
                  <w:u w:val="single"/>
                  <w:effect w:val="none"/>
                </w:rPr>
                <w:t>Nine</w:t>
              </w:r>
            </w:hyperlink>
            <w:hyperlink w:anchor="i4e2d934043eb4a329c2421d6d987ad21_25">
              <w:r>
                <w:rPr>
                  <w:rStyle w:val="InternetLink"/>
                  <w:rFonts w:ascii="Times New Roman;sans-serif" w:hAnsi="Times New Roman;sans-serif"/>
                  <w:b w:val="false"/>
                  <w:strike w:val="false"/>
                  <w:dstrike w:val="false"/>
                  <w:color w:val="000080"/>
                  <w:sz w:val="20"/>
                  <w:u w:val="single"/>
                  <w:effect w:val="none"/>
                </w:rPr>
                <w:t xml:space="preserve"> Months Ended </w:t>
              </w:r>
            </w:hyperlink>
            <w:r>
              <w:rPr>
                <w:rFonts w:ascii="Times New Roman;sans-serif" w:hAnsi="Times New Roman;sans-serif"/>
                <w:b w:val="false"/>
                <w:color w:val="000000"/>
                <w:sz w:val="20"/>
              </w:rPr>
              <w:t xml:space="preserve">September 30, 2023 </w:t>
            </w:r>
            <w:hyperlink w:anchor="i4e2d934043eb4a329c2421d6d987ad21_22">
              <w:r>
                <w:rPr>
                  <w:rStyle w:val="InternetLink"/>
                  <w:rFonts w:ascii="Times New Roman;sans-serif" w:hAnsi="Times New Roman;sans-serif"/>
                  <w:b w:val="false"/>
                  <w:strike w:val="false"/>
                  <w:dstrike w:val="false"/>
                  <w:color w:val="000000"/>
                  <w:sz w:val="20"/>
                  <w:u w:val="none"/>
                  <w:effect w:val="none"/>
                </w:rPr>
                <w:t xml:space="preserve">and </w:t>
              </w:r>
            </w:hyperlink>
            <w:r>
              <w:rPr>
                <w:rFonts w:ascii="Times New Roman;sans-serif" w:hAnsi="Times New Roman;sans-serif"/>
                <w:b w:val="false"/>
                <w:color w:val="000000"/>
                <w:sz w:val="20"/>
              </w:rPr>
              <w:t>2022</w:t>
            </w:r>
            <w:hyperlink w:anchor="i4e2d934043eb4a329c2421d6d987ad21_22">
              <w:r>
                <w:rPr>
                  <w:rStyle w:val="InternetLink"/>
                  <w:rFonts w:ascii="Times New Roman;sans-serif" w:hAnsi="Times New Roman;sans-serif"/>
                  <w:b w:val="false"/>
                  <w:strike w:val="false"/>
                  <w:dstrike w:val="false"/>
                  <w:color w:val="000000"/>
                  <w:sz w:val="20"/>
                  <w:u w:val="none"/>
                  <w:effect w:val="none"/>
                </w:rPr>
                <w:t xml:space="preserve"> </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25">
              <w:r>
                <w:rPr>
                  <w:rStyle w:val="InternetLink"/>
                  <w:rFonts w:ascii="Times New Roman;sans-serif" w:hAnsi="Times New Roman;sans-serif"/>
                  <w:b w:val="false"/>
                  <w:strike w:val="false"/>
                  <w:dstrike w:val="false"/>
                  <w:color w:val="000000"/>
                  <w:sz w:val="20"/>
                  <w:u w:val="none"/>
                  <w:effect w:val="none"/>
                </w:rPr>
                <w:t>7</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Unaudited </w:t>
            </w:r>
            <w:hyperlink w:anchor="i4e2d934043eb4a329c2421d6d987ad21_28">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for </w:t>
              </w:r>
            </w:hyperlink>
            <w:r>
              <w:rPr>
                <w:rFonts w:ascii="Times New Roman;sans-serif" w:hAnsi="Times New Roman;sans-serif"/>
                <w:b w:val="false"/>
                <w:color w:val="000000"/>
                <w:sz w:val="20"/>
              </w:rPr>
              <w:t>t</w:t>
            </w:r>
            <w:hyperlink w:anchor="i4e2d934043eb4a329c2421d6d987ad21_25">
              <w:r>
                <w:rPr>
                  <w:rStyle w:val="InternetLink"/>
                  <w:rFonts w:ascii="Times New Roman;sans-serif" w:hAnsi="Times New Roman;sans-serif"/>
                  <w:b w:val="false"/>
                  <w:strike w:val="false"/>
                  <w:dstrike w:val="false"/>
                  <w:color w:val="000080"/>
                  <w:sz w:val="20"/>
                  <w:u w:val="single"/>
                  <w:effect w:val="none"/>
                </w:rPr>
                <w:t xml:space="preserve">he </w:t>
              </w:r>
            </w:hyperlink>
            <w:hyperlink w:anchor="i4e2d934043eb4a329c2421d6d987ad21_25">
              <w:r>
                <w:rPr>
                  <w:rStyle w:val="InternetLink"/>
                  <w:rFonts w:ascii="Times New Roman;sans-serif" w:hAnsi="Times New Roman;sans-serif"/>
                  <w:b w:val="false"/>
                  <w:strike w:val="false"/>
                  <w:dstrike w:val="false"/>
                  <w:color w:val="000080"/>
                  <w:sz w:val="20"/>
                  <w:u w:val="single"/>
                  <w:effect w:val="none"/>
                </w:rPr>
                <w:t>Nine</w:t>
              </w:r>
            </w:hyperlink>
            <w:hyperlink w:anchor="i4e2d934043eb4a329c2421d6d987ad21_25">
              <w:r>
                <w:rPr>
                  <w:rStyle w:val="InternetLink"/>
                  <w:rFonts w:ascii="Times New Roman;sans-serif" w:hAnsi="Times New Roman;sans-serif"/>
                  <w:b w:val="false"/>
                  <w:strike w:val="false"/>
                  <w:dstrike w:val="false"/>
                  <w:color w:val="000080"/>
                  <w:sz w:val="20"/>
                  <w:u w:val="single"/>
                  <w:effect w:val="none"/>
                </w:rPr>
                <w:t xml:space="preserve"> Months Ended </w:t>
              </w:r>
            </w:hyperlink>
            <w:r>
              <w:rPr>
                <w:rFonts w:ascii="Times New Roman;sans-serif" w:hAnsi="Times New Roman;sans-serif"/>
                <w:b w:val="false"/>
                <w:color w:val="000000"/>
                <w:sz w:val="20"/>
              </w:rPr>
              <w:t>September 30, 2023</w:t>
            </w:r>
            <w:hyperlink w:anchor="i4e2d934043eb4a329c2421d6d987ad21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hyperlink w:anchor="i4e2d934043eb4a329c2421d6d987ad21_22">
              <w:r>
                <w:rPr>
                  <w:rStyle w:val="InternetLink"/>
                  <w:rFonts w:ascii="Times New Roman;sans-serif" w:hAnsi="Times New Roman;sans-serif"/>
                  <w:b w:val="false"/>
                  <w:strike w:val="false"/>
                  <w:dstrike w:val="false"/>
                  <w:color w:val="000000"/>
                  <w:sz w:val="20"/>
                  <w:u w:val="none"/>
                  <w:effect w:val="none"/>
                </w:rPr>
                <w:t xml:space="preserve"> </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28">
              <w:r>
                <w:rPr>
                  <w:rStyle w:val="InternetLink"/>
                  <w:rFonts w:ascii="Times New Roman;sans-serif" w:hAnsi="Times New Roman;sans-serif"/>
                  <w:b w:val="false"/>
                  <w:strike w:val="false"/>
                  <w:dstrike w:val="false"/>
                  <w:color w:val="000000"/>
                  <w:sz w:val="20"/>
                  <w:u w:val="none"/>
                  <w:effect w:val="none"/>
                </w:rPr>
                <w:t>9</w:t>
              </w:r>
            </w:hyperlink>
          </w:p>
        </w:tc>
      </w:tr>
      <w:tr>
        <w:trPr/>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31">
              <w:r>
                <w:rPr>
                  <w:rStyle w:val="InternetLink"/>
                  <w:rFonts w:ascii="Times New Roman;sans-serif" w:hAnsi="Times New Roman;sans-serif"/>
                  <w:b w:val="false"/>
                  <w:strike w:val="false"/>
                  <w:dstrike w:val="false"/>
                  <w:color w:val="000000"/>
                  <w:sz w:val="20"/>
                  <w:u w:val="none"/>
                  <w:effect w:val="none"/>
                </w:rPr>
                <w:t>Notes to the Unaudited Condensed Consolidated Financial Statements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31">
              <w:r>
                <w:rPr>
                  <w:rStyle w:val="InternetLink"/>
                  <w:rFonts w:ascii="Times New Roman;sans-serif" w:hAnsi="Times New Roman;sans-serif"/>
                  <w:b w:val="false"/>
                  <w:strike w:val="false"/>
                  <w:dstrike w:val="false"/>
                  <w:color w:val="000000"/>
                  <w:sz w:val="20"/>
                  <w:u w:val="none"/>
                  <w:effect w:val="none"/>
                </w:rPr>
                <w:t>11</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00">
              <w:r>
                <w:rPr>
                  <w:rStyle w:val="InternetLink"/>
                  <w:rFonts w:ascii="Times New Roman;sans-serif" w:hAnsi="Times New Roman;sans-serif"/>
                  <w:b w:val="false"/>
                  <w:strike w:val="false"/>
                  <w:dstrike w:val="false"/>
                  <w:color w:val="000000"/>
                  <w:sz w:val="20"/>
                  <w:u w:val="none"/>
                  <w:effect w:val="none"/>
                </w:rPr>
                <w:t>Item 2.</w:t>
              </w:r>
            </w:hyperlink>
          </w:p>
        </w:tc>
        <w:tc>
          <w:tcPr>
            <w:tcW w:w="8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00">
              <w:r>
                <w:rPr>
                  <w:rStyle w:val="InternetLink"/>
                  <w:rFonts w:ascii="Times New Roman;sans-serif" w:hAnsi="Times New Roman;sans-serif"/>
                  <w:b w:val="false"/>
                  <w:strike w:val="false"/>
                  <w:dstrike w:val="false"/>
                  <w:color w:val="000000"/>
                  <w:sz w:val="20"/>
                  <w:u w:val="none"/>
                  <w:effect w:val="none"/>
                </w:rPr>
                <w:t>Management</w:t>
              </w:r>
            </w:hyperlink>
            <w:r>
              <w:rPr>
                <w:rFonts w:ascii="Times New Roman;sans-serif" w:hAnsi="Times New Roman;sans-serif"/>
                <w:b w:val="false"/>
                <w:color w:val="000000"/>
                <w:sz w:val="20"/>
              </w:rPr>
              <w:t>’</w:t>
            </w:r>
            <w:hyperlink w:anchor="i4e2d934043eb4a329c2421d6d987ad21_100">
              <w:r>
                <w:rPr>
                  <w:rStyle w:val="InternetLink"/>
                  <w:rFonts w:ascii="Times New Roman;sans-serif" w:hAnsi="Times New Roman;sans-serif"/>
                  <w:b w:val="false"/>
                  <w:strike w:val="false"/>
                  <w:dstrike w:val="false"/>
                  <w:color w:val="000000"/>
                  <w:sz w:val="20"/>
                  <w:u w:val="none"/>
                  <w:effect w:val="none"/>
                </w:rPr>
                <w:t>s Discussion and Analysis of Financial Condition and Results of Operations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00">
              <w:r>
                <w:rPr>
                  <w:rStyle w:val="InternetLink"/>
                  <w:rFonts w:ascii="Times New Roman;sans-serif" w:hAnsi="Times New Roman;sans-serif"/>
                  <w:b w:val="false"/>
                  <w:strike w:val="false"/>
                  <w:dstrike w:val="false"/>
                  <w:color w:val="000000"/>
                  <w:sz w:val="20"/>
                  <w:u w:val="none"/>
                  <w:effect w:val="none"/>
                </w:rPr>
                <w:t>33</w:t>
              </w:r>
            </w:hyperlink>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24">
              <w:r>
                <w:rPr>
                  <w:rStyle w:val="InternetLink"/>
                  <w:rFonts w:ascii="Times New Roman;sans-serif" w:hAnsi="Times New Roman;sans-serif"/>
                  <w:b w:val="false"/>
                  <w:strike w:val="false"/>
                  <w:dstrike w:val="false"/>
                  <w:color w:val="000000"/>
                  <w:sz w:val="20"/>
                  <w:u w:val="none"/>
                  <w:effect w:val="none"/>
                </w:rPr>
                <w:t xml:space="preserve">Item 3. </w:t>
              </w:r>
            </w:hyperlink>
          </w:p>
        </w:tc>
        <w:tc>
          <w:tcPr>
            <w:tcW w:w="8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24">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24">
              <w:r>
                <w:rPr>
                  <w:rStyle w:val="InternetLink"/>
                  <w:rFonts w:ascii="Times New Roman;sans-serif" w:hAnsi="Times New Roman;sans-serif"/>
                  <w:b w:val="false"/>
                  <w:strike w:val="false"/>
                  <w:dstrike w:val="false"/>
                  <w:color w:val="000000"/>
                  <w:sz w:val="20"/>
                  <w:u w:val="none"/>
                  <w:effect w:val="none"/>
                </w:rPr>
                <w:t>43</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27">
              <w:r>
                <w:rPr>
                  <w:rStyle w:val="InternetLink"/>
                  <w:rFonts w:ascii="Times New Roman;sans-serif" w:hAnsi="Times New Roman;sans-serif"/>
                  <w:b w:val="false"/>
                  <w:strike w:val="false"/>
                  <w:dstrike w:val="false"/>
                  <w:color w:val="000000"/>
                  <w:sz w:val="20"/>
                  <w:u w:val="none"/>
                  <w:effect w:val="none"/>
                </w:rPr>
                <w:t xml:space="preserve">Item 4. </w:t>
              </w:r>
            </w:hyperlink>
          </w:p>
        </w:tc>
        <w:tc>
          <w:tcPr>
            <w:tcW w:w="8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27">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27">
              <w:r>
                <w:rPr>
                  <w:rStyle w:val="InternetLink"/>
                  <w:rFonts w:ascii="Times New Roman;sans-serif" w:hAnsi="Times New Roman;sans-serif"/>
                  <w:b w:val="false"/>
                  <w:strike w:val="false"/>
                  <w:dstrike w:val="false"/>
                  <w:color w:val="000000"/>
                  <w:sz w:val="20"/>
                  <w:u w:val="none"/>
                  <w:effect w:val="none"/>
                </w:rPr>
                <w:t>44</w:t>
              </w:r>
            </w:hyperlink>
          </w:p>
        </w:tc>
      </w:tr>
      <w:tr>
        <w:trPr/>
        <w:tc>
          <w:tcPr>
            <w:tcW w:w="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30">
              <w:r>
                <w:rPr>
                  <w:rStyle w:val="InternetLink"/>
                  <w:rFonts w:ascii="Times New Roman;sans-serif" w:hAnsi="Times New Roman;sans-serif"/>
                  <w:b w:val="false"/>
                  <w:strike w:val="false"/>
                  <w:dstrike w:val="false"/>
                  <w:color w:val="000000"/>
                  <w:sz w:val="20"/>
                  <w:u w:val="none"/>
                  <w:effect w:val="none"/>
                </w:rPr>
                <w:t>PART II - OTHER INFORMATION</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33">
              <w:r>
                <w:rPr>
                  <w:rStyle w:val="InternetLink"/>
                  <w:rFonts w:ascii="Times New Roman;sans-serif" w:hAnsi="Times New Roman;sans-serif"/>
                  <w:b w:val="false"/>
                  <w:strike w:val="false"/>
                  <w:dstrike w:val="false"/>
                  <w:color w:val="000000"/>
                  <w:sz w:val="20"/>
                  <w:u w:val="none"/>
                  <w:effect w:val="none"/>
                </w:rPr>
                <w:t xml:space="preserve">Item </w:t>
              </w:r>
            </w:hyperlink>
            <w:r>
              <w:rPr>
                <w:rFonts w:ascii="Times New Roman;sans-serif" w:hAnsi="Times New Roman;sans-serif"/>
                <w:b w:val="false"/>
                <w:color w:val="000000"/>
                <w:sz w:val="20"/>
              </w:rPr>
              <w:t xml:space="preserve">1. </w:t>
            </w:r>
          </w:p>
        </w:tc>
        <w:tc>
          <w:tcPr>
            <w:tcW w:w="8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33">
              <w:r>
                <w:rPr>
                  <w:rStyle w:val="InternetLink"/>
                  <w:rFonts w:ascii="Times New Roman;sans-serif" w:hAnsi="Times New Roman;sans-serif"/>
                  <w:b w:val="false"/>
                  <w:strike w:val="false"/>
                  <w:dstrike w:val="false"/>
                  <w:color w:val="000000"/>
                  <w:sz w:val="20"/>
                  <w:u w:val="none"/>
                  <w:effect w:val="none"/>
                </w:rPr>
                <w:t>Legal Proceedings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33">
              <w:r>
                <w:rPr>
                  <w:rStyle w:val="InternetLink"/>
                  <w:rFonts w:ascii="Times New Roman;sans-serif" w:hAnsi="Times New Roman;sans-serif"/>
                  <w:b w:val="false"/>
                  <w:strike w:val="false"/>
                  <w:dstrike w:val="false"/>
                  <w:color w:val="000000"/>
                  <w:sz w:val="20"/>
                  <w:u w:val="none"/>
                  <w:effect w:val="none"/>
                </w:rPr>
                <w:t>44</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1a. </w:t>
            </w:r>
          </w:p>
        </w:tc>
        <w:tc>
          <w:tcPr>
            <w:tcW w:w="8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36">
              <w:r>
                <w:rPr>
                  <w:rStyle w:val="InternetLink"/>
                  <w:rFonts w:ascii="Times New Roman;sans-serif" w:hAnsi="Times New Roman;sans-serif"/>
                  <w:b w:val="false"/>
                  <w:strike w:val="false"/>
                  <w:dstrike w:val="false"/>
                  <w:color w:val="000000"/>
                  <w:sz w:val="20"/>
                  <w:u w:val="none"/>
                  <w:effect w:val="none"/>
                </w:rPr>
                <w:t>Risk Factors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36">
              <w:r>
                <w:rPr>
                  <w:rStyle w:val="InternetLink"/>
                  <w:rFonts w:ascii="Times New Roman;sans-serif" w:hAnsi="Times New Roman;sans-serif"/>
                  <w:b w:val="false"/>
                  <w:strike w:val="false"/>
                  <w:dstrike w:val="false"/>
                  <w:color w:val="000000"/>
                  <w:sz w:val="20"/>
                  <w:u w:val="none"/>
                  <w:effect w:val="none"/>
                </w:rPr>
                <w:t>44</w:t>
              </w:r>
            </w:hyperlink>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39">
              <w:r>
                <w:rPr>
                  <w:rStyle w:val="InternetLink"/>
                  <w:rFonts w:ascii="Times New Roman;sans-serif" w:hAnsi="Times New Roman;sans-serif"/>
                  <w:b w:val="false"/>
                  <w:strike w:val="false"/>
                  <w:dstrike w:val="false"/>
                  <w:color w:val="000000"/>
                  <w:sz w:val="20"/>
                  <w:u w:val="none"/>
                  <w:effect w:val="none"/>
                </w:rPr>
                <w:t xml:space="preserve">Item 2. </w:t>
              </w:r>
            </w:hyperlink>
          </w:p>
        </w:tc>
        <w:tc>
          <w:tcPr>
            <w:tcW w:w="8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39">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39">
              <w:r>
                <w:rPr>
                  <w:rStyle w:val="InternetLink"/>
                  <w:rFonts w:ascii="Times New Roman;sans-serif" w:hAnsi="Times New Roman;sans-serif"/>
                  <w:b w:val="false"/>
                  <w:strike w:val="false"/>
                  <w:dstrike w:val="false"/>
                  <w:color w:val="000000"/>
                  <w:sz w:val="20"/>
                  <w:u w:val="none"/>
                  <w:effect w:val="none"/>
                </w:rPr>
                <w:t>44</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42">
              <w:r>
                <w:rPr>
                  <w:rStyle w:val="InternetLink"/>
                  <w:rFonts w:ascii="Times New Roman;sans-serif" w:hAnsi="Times New Roman;sans-serif"/>
                  <w:b w:val="false"/>
                  <w:strike w:val="false"/>
                  <w:dstrike w:val="false"/>
                  <w:color w:val="000000"/>
                  <w:sz w:val="20"/>
                  <w:u w:val="none"/>
                  <w:effect w:val="none"/>
                </w:rPr>
                <w:t xml:space="preserve">Item 3. </w:t>
              </w:r>
            </w:hyperlink>
          </w:p>
        </w:tc>
        <w:tc>
          <w:tcPr>
            <w:tcW w:w="8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42">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42">
              <w:r>
                <w:rPr>
                  <w:rStyle w:val="InternetLink"/>
                  <w:rFonts w:ascii="Times New Roman;sans-serif" w:hAnsi="Times New Roman;sans-serif"/>
                  <w:b w:val="false"/>
                  <w:strike w:val="false"/>
                  <w:dstrike w:val="false"/>
                  <w:color w:val="000000"/>
                  <w:sz w:val="20"/>
                  <w:u w:val="none"/>
                  <w:effect w:val="none"/>
                </w:rPr>
                <w:t>44</w:t>
              </w:r>
            </w:hyperlink>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45">
              <w:r>
                <w:rPr>
                  <w:rStyle w:val="InternetLink"/>
                  <w:rFonts w:ascii="Times New Roman;sans-serif" w:hAnsi="Times New Roman;sans-serif"/>
                  <w:b w:val="false"/>
                  <w:strike w:val="false"/>
                  <w:dstrike w:val="false"/>
                  <w:color w:val="000000"/>
                  <w:sz w:val="20"/>
                  <w:u w:val="none"/>
                  <w:effect w:val="none"/>
                </w:rPr>
                <w:t>Item 4</w:t>
              </w:r>
            </w:hyperlink>
            <w:r>
              <w:rPr>
                <w:rFonts w:ascii="Times New Roman;sans-serif" w:hAnsi="Times New Roman;sans-serif"/>
                <w:b w:val="false"/>
                <w:color w:val="000000"/>
                <w:sz w:val="20"/>
              </w:rPr>
              <w:t xml:space="preserve">. </w:t>
            </w:r>
          </w:p>
        </w:tc>
        <w:tc>
          <w:tcPr>
            <w:tcW w:w="8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45">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45">
              <w:r>
                <w:rPr>
                  <w:rStyle w:val="InternetLink"/>
                  <w:rFonts w:ascii="Times New Roman;sans-serif" w:hAnsi="Times New Roman;sans-serif"/>
                  <w:b w:val="false"/>
                  <w:strike w:val="false"/>
                  <w:dstrike w:val="false"/>
                  <w:color w:val="000000"/>
                  <w:sz w:val="20"/>
                  <w:u w:val="none"/>
                  <w:effect w:val="none"/>
                </w:rPr>
                <w:t>45</w:t>
              </w:r>
            </w:hyperlink>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48">
              <w:r>
                <w:rPr>
                  <w:rStyle w:val="InternetLink"/>
                  <w:rFonts w:ascii="Times New Roman;sans-serif" w:hAnsi="Times New Roman;sans-serif"/>
                  <w:b w:val="false"/>
                  <w:strike w:val="false"/>
                  <w:dstrike w:val="false"/>
                  <w:color w:val="000000"/>
                  <w:sz w:val="20"/>
                  <w:u w:val="none"/>
                  <w:effect w:val="none"/>
                </w:rPr>
                <w:t xml:space="preserve">Item 5. </w:t>
              </w:r>
            </w:hyperlink>
          </w:p>
        </w:tc>
        <w:tc>
          <w:tcPr>
            <w:tcW w:w="8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48">
              <w:r>
                <w:rPr>
                  <w:rStyle w:val="InternetLink"/>
                  <w:rFonts w:ascii="Times New Roman;sans-serif" w:hAnsi="Times New Roman;sans-serif"/>
                  <w:b w:val="false"/>
                  <w:strike w:val="false"/>
                  <w:dstrike w:val="false"/>
                  <w:color w:val="000000"/>
                  <w:sz w:val="20"/>
                  <w:u w:val="none"/>
                  <w:effect w:val="none"/>
                </w:rPr>
                <w:t>Other Information</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48">
              <w:r>
                <w:rPr>
                  <w:rStyle w:val="InternetLink"/>
                  <w:rFonts w:ascii="Times New Roman;sans-serif" w:hAnsi="Times New Roman;sans-serif"/>
                  <w:b w:val="false"/>
                  <w:strike w:val="false"/>
                  <w:dstrike w:val="false"/>
                  <w:color w:val="000000"/>
                  <w:sz w:val="20"/>
                  <w:u w:val="none"/>
                  <w:effect w:val="none"/>
                </w:rPr>
                <w:t>45</w:t>
              </w:r>
            </w:hyperlink>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51">
              <w:r>
                <w:rPr>
                  <w:rStyle w:val="InternetLink"/>
                  <w:rFonts w:ascii="Times New Roman;sans-serif" w:hAnsi="Times New Roman;sans-serif"/>
                  <w:b w:val="false"/>
                  <w:strike w:val="false"/>
                  <w:dstrike w:val="false"/>
                  <w:color w:val="000000"/>
                  <w:sz w:val="20"/>
                  <w:u w:val="none"/>
                  <w:effect w:val="none"/>
                </w:rPr>
                <w:t xml:space="preserve">Item 6. </w:t>
              </w:r>
            </w:hyperlink>
          </w:p>
        </w:tc>
        <w:tc>
          <w:tcPr>
            <w:tcW w:w="8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51">
              <w:r>
                <w:rPr>
                  <w:rStyle w:val="InternetLink"/>
                  <w:rFonts w:ascii="Times New Roman;sans-serif" w:hAnsi="Times New Roman;sans-serif"/>
                  <w:b w:val="false"/>
                  <w:strike w:val="false"/>
                  <w:dstrike w:val="false"/>
                  <w:color w:val="000000"/>
                  <w:sz w:val="20"/>
                  <w:u w:val="none"/>
                  <w:effect w:val="none"/>
                </w:rPr>
                <w:t>Exhibits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51">
              <w:r>
                <w:rPr>
                  <w:rStyle w:val="InternetLink"/>
                  <w:rFonts w:ascii="Times New Roman;sans-serif" w:hAnsi="Times New Roman;sans-serif"/>
                  <w:b w:val="false"/>
                  <w:strike w:val="false"/>
                  <w:dstrike w:val="false"/>
                  <w:color w:val="000000"/>
                  <w:sz w:val="20"/>
                  <w:u w:val="none"/>
                  <w:effect w:val="none"/>
                </w:rPr>
                <w:t>46</w:t>
              </w:r>
            </w:hyperlink>
          </w:p>
        </w:tc>
      </w:tr>
      <w:tr>
        <w:trPr/>
        <w:tc>
          <w:tcPr>
            <w:tcW w:w="966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e2d934043eb4a329c2421d6d987ad21_154">
              <w:r>
                <w:rPr>
                  <w:rStyle w:val="InternetLink"/>
                  <w:rFonts w:ascii="Times New Roman;sans-serif" w:hAnsi="Times New Roman;sans-serif"/>
                  <w:b w:val="false"/>
                  <w:strike w:val="false"/>
                  <w:dstrike w:val="false"/>
                  <w:color w:val="000000"/>
                  <w:sz w:val="20"/>
                  <w:u w:val="none"/>
                  <w:effect w:val="none"/>
                </w:rPr>
                <w:t>Signatures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e2d934043eb4a329c2421d6d987ad21_154">
              <w:r>
                <w:rPr>
                  <w:rStyle w:val="InternetLink"/>
                  <w:rFonts w:ascii="Times New Roman;sans-serif" w:hAnsi="Times New Roman;sans-serif"/>
                  <w:b w:val="false"/>
                  <w:strike w:val="false"/>
                  <w:dstrike w:val="false"/>
                  <w:color w:val="000000"/>
                  <w:sz w:val="20"/>
                  <w:u w:val="none"/>
                  <w:effect w:val="non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33" w:before="200" w:after="283"/>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FORWARD-LOOKING INFORMATION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i/>
          <w:color w:val="000000"/>
          <w:sz w:val="20"/>
        </w:rPr>
        <w:t>changes adversely affecting the business in which we are engaged;</w:t>
      </w:r>
    </w:p>
    <w:p>
      <w:pPr>
        <w:pStyle w:val="TextBody"/>
        <w:bidi w:val="0"/>
        <w:spacing w:lineRule="auto" w:line="360" w:before="60" w:after="283"/>
        <w:ind w:left="0" w:right="0" w:hanging="360"/>
        <w:jc w:val="left"/>
        <w:rPr/>
      </w:pPr>
      <w:r>
        <w:rPr>
          <w:color w:val="000000"/>
        </w:rPr>
        <w:t>•</w:t>
      </w:r>
      <w:r>
        <w:rPr>
          <w:rFonts w:ascii="Times New Roman;sans-serif" w:hAnsi="Times New Roman;sans-serif"/>
          <w:b w:val="false"/>
          <w:i/>
          <w:color w:val="000000"/>
          <w:sz w:val="20"/>
        </w:rPr>
        <w:t xml:space="preserve">our ability to forecast trends accurately; </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generate cash, service indebtedness and incur additional indebtedness;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raise financing in the future;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customer’s ability to secure project financing;</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the amount of final tax credits available to our customers or to Eos Energy Enterprises, Inc. pursuant to the Inflation Reduction Act;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uncertainties around our ability to meet the applicable conditions precedent and secure final approval of a loan in a timely manner or at all from the Department of Energy, Loan Programs Office, or the timing of funding and the final size of any loan if approved;</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the possibility of a government shutdown while we remain in the due diligence phase with the U.S. Department of Energy Loan Programs Office or while we await notice of a decision regarding the issuance of a loan from the Department of Energy Loan Programs Office;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develop efficient manufacturing processes to scale and to forecast related costs and efficiencies accurately;</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fluctuations in our revenue and operating results;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competition from existing or new competitors;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the failure to convert firm order backlog and pipeline to revenue;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security breaches in our information technology systems;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related to legal proceedings or claims;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evolving energy policies in the United States and other countries and the potential costs of regulatory compliance;</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risks associated with changes to U.S. trade environment;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 xml:space="preserve">risks resulting from the impact of global pandemics, including the novel coronavirus, Covid-19; </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maintain the listing of our shares of common stock on NASDAQ;</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our ability to grow our business and manage growth profitably, maintain relationships with customers and suppliers and retain our management and key employees;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 xml:space="preserve">risks related to adverse changes in general economic conditions, including inflationary pressures and increased interest rates; </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risk from supply chain disruptions and other impacts of geopolitical conflict;</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changes in applicable laws or regulations;</w:t>
      </w:r>
    </w:p>
    <w:p>
      <w:pPr>
        <w:pStyle w:val="TextBody"/>
        <w:bidi w:val="0"/>
        <w:spacing w:lineRule="auto" w:line="360" w:before="0" w:after="0"/>
        <w:ind w:left="0" w:right="0" w:hanging="360"/>
        <w:jc w:val="left"/>
        <w:rPr/>
      </w:pPr>
      <w:r>
        <w:rPr>
          <w:color w:val="000000"/>
        </w:rPr>
        <w:t>•</w:t>
      </w:r>
      <w:r>
        <w:rPr>
          <w:rFonts w:ascii="Times New Roman;sans-serif" w:hAnsi="Times New Roman;sans-serif"/>
          <w:b w:val="false"/>
          <w:i/>
          <w:color w:val="000000"/>
          <w:sz w:val="20"/>
        </w:rPr>
        <w:t>other factors detailed under the section entitled “Risk Factors”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33" w:before="200" w:after="283"/>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pPr>
      <w:r>
        <w:rPr>
          <w:rFonts w:ascii="Times New Roman;sans-serif" w:hAnsi="Times New Roman;sans-serif"/>
          <w:b w:val="false"/>
          <w:color w:val="000000"/>
          <w:sz w:val="20"/>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disclosures contained in the Company’s Annual Report on Form 10-K for the year ended December 31, 2022 for additional discussion of the risks and uncertainties that could cause the Company’s actual results to differ materially from those expressed or implied in its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200" w:after="283"/>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06" w:type="dxa"/>
        <w:jc w:val="center"/>
        <w:tblInd w:w="0" w:type="dxa"/>
        <w:tblLayout w:type="fixed"/>
        <w:tblCellMar>
          <w:top w:w="28" w:type="dxa"/>
          <w:left w:w="28" w:type="dxa"/>
          <w:bottom w:w="28" w:type="dxa"/>
          <w:right w:w="28" w:type="dxa"/>
        </w:tblCellMar>
      </w:tblPr>
      <w:tblGrid>
        <w:gridCol w:w="1725"/>
        <w:gridCol w:w="1520"/>
        <w:gridCol w:w="1525"/>
        <w:gridCol w:w="240"/>
        <w:gridCol w:w="941"/>
        <w:gridCol w:w="124"/>
        <w:gridCol w:w="109"/>
        <w:gridCol w:w="109"/>
        <w:gridCol w:w="109"/>
        <w:gridCol w:w="231"/>
        <w:gridCol w:w="905"/>
        <w:gridCol w:w="168"/>
      </w:tblGrid>
      <w:tr>
        <w:trPr/>
        <w:tc>
          <w:tcPr>
            <w:tcW w:w="172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deposits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net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current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108,493 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long-term, net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net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154,078 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LIABILITIES </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liability, current </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current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payable, current - related party</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current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payable - related party</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 related party</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liability - related party</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235,625 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15)</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33" w:before="200" w:after="283"/>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5970" w:type="dxa"/>
        <w:jc w:val="left"/>
        <w:tblInd w:w="0" w:type="dxa"/>
        <w:tblLayout w:type="fixed"/>
        <w:tblCellMar>
          <w:top w:w="28" w:type="dxa"/>
          <w:left w:w="28" w:type="dxa"/>
          <w:bottom w:w="28" w:type="dxa"/>
          <w:right w:w="28" w:type="dxa"/>
        </w:tblCellMar>
      </w:tblPr>
      <w:tblGrid>
        <w:gridCol w:w="1912"/>
        <w:gridCol w:w="1679"/>
        <w:gridCol w:w="2379"/>
      </w:tblGrid>
      <w:tr>
        <w:trPr/>
        <w:tc>
          <w:tcPr>
            <w:tcW w:w="191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970" w:type="dxa"/>
            <w:gridSpan w:val="3"/>
            <w:tcBorders/>
            <w:tcMar>
              <w:top w:w="0" w:type="dxa"/>
              <w:left w:w="0" w:type="dxa"/>
              <w:bottom w:w="0" w:type="dxa"/>
              <w:right w:w="0" w:type="dxa"/>
            </w:tcMar>
            <w:vAlign w:val="center"/>
          </w:tcPr>
          <w:p>
            <w:pPr>
              <w:pStyle w:val="TableContents"/>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tc>
      </w:tr>
      <w:tr>
        <w:trPr/>
        <w:tc>
          <w:tcPr>
            <w:tcW w:w="59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2692"/>
        <w:gridCol w:w="2368"/>
        <w:gridCol w:w="2371"/>
        <w:gridCol w:w="222"/>
        <w:gridCol w:w="872"/>
        <w:gridCol w:w="115"/>
        <w:gridCol w:w="109"/>
        <w:gridCol w:w="109"/>
        <w:gridCol w:w="109"/>
        <w:gridCol w:w="219"/>
        <w:gridCol w:w="857"/>
        <w:gridCol w:w="162"/>
      </w:tblGrid>
      <w:tr>
        <w:trPr/>
        <w:tc>
          <w:tcPr>
            <w:tcW w:w="2692"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431"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SHAREHOLDERS' DEFICIT</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and 300,000,000 shares authorized, 156,378,778 and 82,653,781 shares outstanding on September 30, 2023 and December 31, 2022, respectively</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shares authorized, no shares outstanding on September 30, 2023 and December 31, 2022</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 in capital</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(646,340)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deficit</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(128,331)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deficit</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154,078 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200" w:after="283"/>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86"/>
        <w:gridCol w:w="2862"/>
        <w:gridCol w:w="4057"/>
      </w:tblGrid>
      <w:tr>
        <w:trPr/>
        <w:tc>
          <w:tcPr>
            <w:tcW w:w="3286"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 AND COMPREHENSIVE INCOME (LOSS)</w:t>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1530"/>
        <w:gridCol w:w="1077"/>
        <w:gridCol w:w="1061"/>
        <w:gridCol w:w="109"/>
        <w:gridCol w:w="109"/>
        <w:gridCol w:w="109"/>
        <w:gridCol w:w="268"/>
        <w:gridCol w:w="918"/>
        <w:gridCol w:w="120"/>
        <w:gridCol w:w="120"/>
        <w:gridCol w:w="120"/>
        <w:gridCol w:w="120"/>
        <w:gridCol w:w="265"/>
        <w:gridCol w:w="893"/>
        <w:gridCol w:w="120"/>
        <w:gridCol w:w="109"/>
        <w:gridCol w:w="109"/>
        <w:gridCol w:w="109"/>
        <w:gridCol w:w="228"/>
        <w:gridCol w:w="965"/>
        <w:gridCol w:w="112"/>
        <w:gridCol w:w="112"/>
        <w:gridCol w:w="112"/>
        <w:gridCol w:w="112"/>
        <w:gridCol w:w="228"/>
        <w:gridCol w:w="904"/>
        <w:gridCol w:w="166"/>
      </w:tblGrid>
      <w:tr>
        <w:trPr/>
        <w:tc>
          <w:tcPr>
            <w:tcW w:w="153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187,907 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(110,699)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(172,649)</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change in fair value of derivatives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(188,273)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(188,301)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(173,196)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and diluted income (loss)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138,005,222 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63,065,884 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114,209,090 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57,705,811 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156,325,284 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63,065,884 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114,209,090 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57,705,811 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200" w:after="283"/>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9405" w:type="dxa"/>
        <w:jc w:val="left"/>
        <w:tblInd w:w="0" w:type="dxa"/>
        <w:tblLayout w:type="fixed"/>
        <w:tblCellMar>
          <w:top w:w="28" w:type="dxa"/>
          <w:left w:w="28" w:type="dxa"/>
          <w:bottom w:w="28" w:type="dxa"/>
          <w:right w:w="28" w:type="dxa"/>
        </w:tblCellMar>
      </w:tblPr>
      <w:tblGrid>
        <w:gridCol w:w="3012"/>
        <w:gridCol w:w="2645"/>
        <w:gridCol w:w="3748"/>
      </w:tblGrid>
      <w:tr>
        <w:trPr/>
        <w:tc>
          <w:tcPr>
            <w:tcW w:w="3012"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SHAREHOLDERS' (DEFICIT) EQUITY </w:t>
            </w:r>
          </w:p>
        </w:tc>
      </w:tr>
      <w:tr>
        <w:trPr/>
        <w:tc>
          <w:tcPr>
            <w:tcW w:w="94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763"/>
        <w:gridCol w:w="291"/>
        <w:gridCol w:w="292"/>
        <w:gridCol w:w="592"/>
        <w:gridCol w:w="594"/>
        <w:gridCol w:w="226"/>
        <w:gridCol w:w="109"/>
        <w:gridCol w:w="109"/>
        <w:gridCol w:w="109"/>
        <w:gridCol w:w="241"/>
        <w:gridCol w:w="414"/>
        <w:gridCol w:w="126"/>
        <w:gridCol w:w="109"/>
        <w:gridCol w:w="109"/>
        <w:gridCol w:w="109"/>
        <w:gridCol w:w="212"/>
        <w:gridCol w:w="832"/>
        <w:gridCol w:w="109"/>
        <w:gridCol w:w="109"/>
        <w:gridCol w:w="109"/>
        <w:gridCol w:w="109"/>
        <w:gridCol w:w="529"/>
        <w:gridCol w:w="642"/>
        <w:gridCol w:w="275"/>
        <w:gridCol w:w="109"/>
        <w:gridCol w:w="109"/>
        <w:gridCol w:w="109"/>
        <w:gridCol w:w="211"/>
        <w:gridCol w:w="899"/>
        <w:gridCol w:w="109"/>
        <w:gridCol w:w="109"/>
        <w:gridCol w:w="109"/>
        <w:gridCol w:w="109"/>
        <w:gridCol w:w="211"/>
        <w:gridCol w:w="841"/>
        <w:gridCol w:w="161"/>
      </w:tblGrid>
      <w:tr>
        <w:trPr/>
        <w:tc>
          <w:tcPr>
            <w:tcW w:w="7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June 30,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58,519,739 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15,461,238 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September 30, 2022</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74,082,289 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June 30, 2023</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127,309,960 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28,938,944 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Balances on</w:t>
            </w:r>
            <w:r>
              <w:rPr>
                <w:color w:val="000000"/>
              </w:rPr>
              <w:t xml:space="preserve"> </w:t>
            </w:r>
            <w:r>
              <w:rPr>
                <w:rFonts w:ascii="Times New Roman;sans-serif" w:hAnsi="Times New Roman;sans-serif"/>
                <w:b/>
                <w:color w:val="000000"/>
                <w:sz w:val="20"/>
              </w:rPr>
              <w:t>September 30,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156,378,778 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(128,331)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200" w:after="283"/>
        <w:jc w:val="left"/>
        <w:rPr/>
      </w:pPr>
      <w:hyperlink w:anchor="i4e2d934043eb4a329c2421d6d987ad21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9360" w:type="dxa"/>
        <w:jc w:val="left"/>
        <w:tblInd w:w="0" w:type="dxa"/>
        <w:tblLayout w:type="fixed"/>
        <w:tblCellMar>
          <w:top w:w="28" w:type="dxa"/>
          <w:left w:w="28" w:type="dxa"/>
          <w:bottom w:w="28" w:type="dxa"/>
          <w:right w:w="28" w:type="dxa"/>
        </w:tblCellMar>
      </w:tblPr>
      <w:tblGrid>
        <w:gridCol w:w="2998"/>
        <w:gridCol w:w="2632"/>
        <w:gridCol w:w="3730"/>
      </w:tblGrid>
      <w:tr>
        <w:trPr/>
        <w:tc>
          <w:tcPr>
            <w:tcW w:w="2998"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936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SHAREHOLDERS' (DEFICIT) EQUITY</w:t>
            </w:r>
          </w:p>
        </w:tc>
      </w:tr>
      <w:tr>
        <w:trPr/>
        <w:tc>
          <w:tcPr>
            <w:tcW w:w="93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205" w:type="dxa"/>
        <w:jc w:val="center"/>
        <w:tblInd w:w="0" w:type="dxa"/>
        <w:tblLayout w:type="fixed"/>
        <w:tblCellMar>
          <w:top w:w="28" w:type="dxa"/>
          <w:left w:w="28" w:type="dxa"/>
          <w:bottom w:w="28" w:type="dxa"/>
          <w:right w:w="28" w:type="dxa"/>
        </w:tblCellMar>
      </w:tblPr>
      <w:tblGrid>
        <w:gridCol w:w="516"/>
        <w:gridCol w:w="414"/>
        <w:gridCol w:w="416"/>
        <w:gridCol w:w="592"/>
        <w:gridCol w:w="594"/>
        <w:gridCol w:w="226"/>
        <w:gridCol w:w="109"/>
        <w:gridCol w:w="109"/>
        <w:gridCol w:w="109"/>
        <w:gridCol w:w="241"/>
        <w:gridCol w:w="414"/>
        <w:gridCol w:w="126"/>
        <w:gridCol w:w="109"/>
        <w:gridCol w:w="109"/>
        <w:gridCol w:w="109"/>
        <w:gridCol w:w="212"/>
        <w:gridCol w:w="832"/>
        <w:gridCol w:w="109"/>
        <w:gridCol w:w="109"/>
        <w:gridCol w:w="109"/>
        <w:gridCol w:w="109"/>
        <w:gridCol w:w="420"/>
        <w:gridCol w:w="809"/>
        <w:gridCol w:w="218"/>
        <w:gridCol w:w="109"/>
        <w:gridCol w:w="109"/>
        <w:gridCol w:w="109"/>
        <w:gridCol w:w="211"/>
        <w:gridCol w:w="899"/>
        <w:gridCol w:w="109"/>
        <w:gridCol w:w="109"/>
        <w:gridCol w:w="109"/>
        <w:gridCol w:w="109"/>
        <w:gridCol w:w="211"/>
        <w:gridCol w:w="841"/>
        <w:gridCol w:w="160"/>
      </w:tblGrid>
      <w:tr>
        <w:trPr/>
        <w:tc>
          <w:tcPr>
            <w:tcW w:w="5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53,786,632 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(166,690)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19,429,177 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 for SEPA settled by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September 30, 2022</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74,082,289 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82,653,781 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1,606,791 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common stock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72,171,861 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Balances on</w:t>
            </w:r>
            <w:r>
              <w:rPr>
                <w:color w:val="000000"/>
              </w:rPr>
              <w:t xml:space="preserve"> </w:t>
            </w:r>
            <w:r>
              <w:rPr>
                <w:rFonts w:ascii="Times New Roman;sans-serif" w:hAnsi="Times New Roman;sans-serif"/>
                <w:b/>
                <w:color w:val="000000"/>
                <w:sz w:val="20"/>
              </w:rPr>
              <w:t>September 30,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156,378,778 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(834,638)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(128,331)</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200" w:after="283"/>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9189" w:type="dxa"/>
        <w:jc w:val="left"/>
        <w:tblInd w:w="0" w:type="dxa"/>
        <w:tblLayout w:type="fixed"/>
        <w:tblCellMar>
          <w:top w:w="28" w:type="dxa"/>
          <w:left w:w="28" w:type="dxa"/>
          <w:bottom w:w="28" w:type="dxa"/>
          <w:right w:w="28" w:type="dxa"/>
        </w:tblCellMar>
      </w:tblPr>
      <w:tblGrid>
        <w:gridCol w:w="2305"/>
        <w:gridCol w:w="2028"/>
        <w:gridCol w:w="2042"/>
        <w:gridCol w:w="211"/>
        <w:gridCol w:w="901"/>
        <w:gridCol w:w="109"/>
        <w:gridCol w:w="109"/>
        <w:gridCol w:w="109"/>
        <w:gridCol w:w="109"/>
        <w:gridCol w:w="211"/>
        <w:gridCol w:w="901"/>
        <w:gridCol w:w="154"/>
      </w:tblGrid>
      <w:tr>
        <w:trPr/>
        <w:tc>
          <w:tcPr>
            <w:tcW w:w="2305"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reconcile net loss to net cash used in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write-down of property, plant and equipment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 related party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derivatives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 for SEPA agreement settled by common stock - related party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deposits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 related party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Other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notes receivable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options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public warrants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convertible notes - related party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 - related party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the Term Loan, net of discount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200" w:after="283"/>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7230" w:type="dxa"/>
        <w:jc w:val="left"/>
        <w:tblInd w:w="0" w:type="dxa"/>
        <w:tblLayout w:type="fixed"/>
        <w:tblCellMar>
          <w:top w:w="28" w:type="dxa"/>
          <w:left w:w="28" w:type="dxa"/>
          <w:bottom w:w="28" w:type="dxa"/>
          <w:right w:w="28" w:type="dxa"/>
        </w:tblCellMar>
      </w:tblPr>
      <w:tblGrid>
        <w:gridCol w:w="2316"/>
        <w:gridCol w:w="2033"/>
        <w:gridCol w:w="2881"/>
      </w:tblGrid>
      <w:tr>
        <w:trPr/>
        <w:tc>
          <w:tcPr>
            <w:tcW w:w="231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CASH FLOWS </w:t>
            </w:r>
          </w:p>
        </w:tc>
      </w:tr>
      <w:tr>
        <w:trPr/>
        <w:tc>
          <w:tcPr>
            <w:tcW w:w="72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9009" w:type="dxa"/>
        <w:jc w:val="left"/>
        <w:tblInd w:w="0" w:type="dxa"/>
        <w:tblLayout w:type="fixed"/>
        <w:tblCellMar>
          <w:top w:w="28" w:type="dxa"/>
          <w:left w:w="28" w:type="dxa"/>
          <w:bottom w:w="28" w:type="dxa"/>
          <w:right w:w="28" w:type="dxa"/>
        </w:tblCellMar>
      </w:tblPr>
      <w:tblGrid>
        <w:gridCol w:w="2373"/>
        <w:gridCol w:w="2087"/>
        <w:gridCol w:w="2095"/>
        <w:gridCol w:w="211"/>
        <w:gridCol w:w="721"/>
        <w:gridCol w:w="109"/>
        <w:gridCol w:w="109"/>
        <w:gridCol w:w="109"/>
        <w:gridCol w:w="109"/>
        <w:gridCol w:w="211"/>
        <w:gridCol w:w="721"/>
        <w:gridCol w:w="154"/>
      </w:tblGrid>
      <w:tr>
        <w:trPr/>
        <w:tc>
          <w:tcPr>
            <w:tcW w:w="2373"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debt issuance costs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equipment financing facility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equipment financing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issuance of common stock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and warrants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equity issuance costs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 from employees for income tax withholding purposes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convertible notes for interest paid in kind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acquired with finance 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operating lease assets in exchange for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settlement of Yorkville convertible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capitalized internal-use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20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1.Overview</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Nature of Operations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the accompanying unaudited condensed consolidated financial statements were issued (the “issuance date”), management evaluated the significance of the following negative financial conditions in accordance with Accounting Standard Codification 205-40, Going Concern: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Since its inception, the Company has incurred significant losses and negative cash from operations in order to fund its development. During the nine months ended September 30, 2023, the Company incurred a net loss of $188,298, incurred negative cash flows from operations of $107,578, and had an accumulated deficit of $834,638 as of September 30,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As of September 30, 2023, the Company had $57,970 of unrestricted cash and cash equivalents available to fund the Company’s operations, no additional borrowings available to fund its operations under pre-existing financing arrangements (see Note 12, </w:t>
      </w:r>
      <w:r>
        <w:rPr>
          <w:rFonts w:ascii="Times New Roman;sans-serif" w:hAnsi="Times New Roman;sans-serif"/>
          <w:b w:val="false"/>
          <w:i/>
          <w:color w:val="000000"/>
          <w:sz w:val="20"/>
        </w:rPr>
        <w:t>Borrowings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and working capital of $61,709, inclusive of $3,211 of outstanding debt that is currently scheduled to mature within the next twelve months beyond the issuance date.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While the Company has available capacity under certain pre-existing arrangements to issue shares of the Company’s common stock, including the at-the-market (“ATM”) offering program, (see Note 18, </w:t>
      </w:r>
      <w:r>
        <w:rPr>
          <w:rFonts w:ascii="Times New Roman;sans-serif" w:hAnsi="Times New Roman;sans-serif"/>
          <w:b w:val="false"/>
          <w:i/>
          <w:color w:val="000000"/>
          <w:sz w:val="20"/>
        </w:rPr>
        <w:t>Shareholders’ Deficit</w:t>
      </w:r>
      <w:r>
        <w:rPr>
          <w:rFonts w:ascii="Times New Roman;sans-serif" w:hAnsi="Times New Roman;sans-serif"/>
          <w:b w:val="false"/>
          <w:color w:val="000000"/>
          <w:sz w:val="20"/>
        </w:rPr>
        <w:t>) to aid in funding the Company’s operations,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 Overview</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continues to progress through the Department of Energy (“DOE”) Loan Programs Office’s (“LPO”) process for its Title XVII loan. In August 2023, the DOE issued a Conditional Commitment Letter to the Company for a loan of an aggregate principal amount of up to $398,600 through the DOE’s Clean Energy Financing Program. Certain technical, legal, and financial conditions must be met and due diligence to the satisfaction of the DOE must be completed before the DOE enters into definitive financing documents with the Company and funds the loan. There can be no assurance that the Company will be able to secure such a loan or on terms that are acceptable to the Company.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Company is required to remain in compliance with a quarterly minimum financial liquidity covenant under its Senior Secured Term Loan Credit Agreement (“Senior Secured Term Loan”). While the Company was in compliance with this covenant as of September 30, 2023, and expects to remain in compliance as of December 31, 2023, absent the Company’s ability to secure additional outside capital, the Company may be unable to remain in compliance with this covenant beginning on March 31, 2024 and thereafter. In the event the Company is unable to remain in compliance with the minimum financial liquidity covenant and the other nonfinancial covenants required by the Senior Secured Term Loan, and the Company is further unable to cure such noncompliance or secure a waiver, Atlas Credit Partners (ACP) Post Oak Credit I LLC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Absent an ability to secure additional outside capital in the near term, the Company will be unable to meet its obligations as they become due over the next twelve months beyond the issuance date.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ans-serif" w:hAnsi="Times New Roman;sans-serif"/>
          <w:b/>
          <w:color w:val="000000"/>
          <w:sz w:val="20"/>
        </w:rPr>
        <w:t>2. Summary of Significant Accounting Policies</w:t>
      </w:r>
      <w:r>
        <w:rPr>
          <w:color w:val="000000"/>
        </w:rPr>
        <w:t xml:space="preserve"> </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2022 Annual Report on Form 10-K. These interim results are not necessarily indicative of results for the full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160" w:after="283"/>
        <w:jc w:val="both"/>
        <w:rPr/>
      </w:pPr>
      <w:r>
        <w:rPr>
          <w:rFonts w:ascii="Times New Roman;sans-serif" w:hAnsi="Times New Roman;sans-serif"/>
          <w:b/>
          <w:color w:val="000000"/>
          <w:sz w:val="20"/>
        </w:rPr>
        <w:t>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Reclassification of Prior Year Presentation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year amounts have been reclassified for consistency with the current year presentation. These reclassifications had no effect on the reported results of operations. </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Government Grants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grants received or receivable from government agencies as an offset to the related costs for which the grants are intended to compensate the Company. The costs of satisfying the Company’s obligations under the respective grant agreements are recognized as expense when incurred. The Company recognizes grant money once it is reasonably assured that the Company will comply with the conditions of the grant.</w:t>
      </w:r>
    </w:p>
    <w:p>
      <w:pPr>
        <w:pStyle w:val="TextBody"/>
        <w:bidi w:val="0"/>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standards or updates during the nine months ended September 30, 2023 that would have a material impact on the Company’s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tbl>
      <w:tblPr>
        <w:tblW w:w="7128" w:type="dxa"/>
        <w:jc w:val="center"/>
        <w:tblInd w:w="0" w:type="dxa"/>
        <w:tblLayout w:type="fixed"/>
        <w:tblCellMar>
          <w:top w:w="28" w:type="dxa"/>
          <w:left w:w="28" w:type="dxa"/>
          <w:bottom w:w="28" w:type="dxa"/>
          <w:right w:w="28" w:type="dxa"/>
        </w:tblCellMar>
      </w:tblPr>
      <w:tblGrid>
        <w:gridCol w:w="521"/>
        <w:gridCol w:w="459"/>
        <w:gridCol w:w="460"/>
        <w:gridCol w:w="109"/>
        <w:gridCol w:w="109"/>
        <w:gridCol w:w="109"/>
        <w:gridCol w:w="261"/>
        <w:gridCol w:w="576"/>
        <w:gridCol w:w="134"/>
        <w:gridCol w:w="134"/>
        <w:gridCol w:w="134"/>
        <w:gridCol w:w="134"/>
        <w:gridCol w:w="261"/>
        <w:gridCol w:w="762"/>
        <w:gridCol w:w="134"/>
        <w:gridCol w:w="109"/>
        <w:gridCol w:w="109"/>
        <w:gridCol w:w="109"/>
        <w:gridCol w:w="225"/>
        <w:gridCol w:w="657"/>
        <w:gridCol w:w="116"/>
        <w:gridCol w:w="116"/>
        <w:gridCol w:w="116"/>
        <w:gridCol w:w="116"/>
        <w:gridCol w:w="225"/>
        <w:gridCol w:w="769"/>
        <w:gridCol w:w="164"/>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Nine Months Ended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September 30,</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the Company had two customers that accounted for 51.4% and 35.5% of the total revenue and for the nine months ended September 30, 2023, we had one customer that accounted for 91.0% of the total revenue, respectively.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2022, the Company had two customers that accounted for 86.5% and 13.4% of the total revenue and for the nine months ended September 30, 2022, we had one customer who accounted for 78.4% of the total revenue, respectively.</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revenue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battery energy storage systems to one customer through a sales-type lease with a 20-year term. No revenue was recognized from the sales-type lease for the three and nine months ended September 30, 2023. For the three and nine months ended September 30, 2022, the Company recognized revenue of $0 and $1,166 from the sales-type lease,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3. Revenue Recognition </w:t>
      </w:r>
      <w:r>
        <w:rPr>
          <w:rFonts w:ascii="Times New Roman;sans-serif" w:hAnsi="Times New Roman;sans-serif"/>
          <w:b w:val="false"/>
          <w:color w:val="000000"/>
          <w:sz w:val="20"/>
        </w:rPr>
        <w:t>(cont.)</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Contract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contract assets and contract liabilities from contracts with customers. Contract assets, current and contract liabilities, current and long-term are included separately on the unaudited condensed consolidated balance sheets and contract assets, long-term are included under other assets. </w:t>
      </w:r>
    </w:p>
    <w:tbl>
      <w:tblPr>
        <w:tblW w:w="4587" w:type="dxa"/>
        <w:jc w:val="left"/>
        <w:tblInd w:w="0" w:type="dxa"/>
        <w:tblLayout w:type="fixed"/>
        <w:tblCellMar>
          <w:top w:w="28" w:type="dxa"/>
          <w:left w:w="28" w:type="dxa"/>
          <w:bottom w:w="28" w:type="dxa"/>
          <w:right w:w="28" w:type="dxa"/>
        </w:tblCellMar>
      </w:tblPr>
      <w:tblGrid>
        <w:gridCol w:w="597"/>
        <w:gridCol w:w="525"/>
        <w:gridCol w:w="528"/>
        <w:gridCol w:w="293"/>
        <w:gridCol w:w="859"/>
        <w:gridCol w:w="153"/>
        <w:gridCol w:w="109"/>
        <w:gridCol w:w="109"/>
        <w:gridCol w:w="109"/>
        <w:gridCol w:w="280"/>
        <w:gridCol w:w="819"/>
        <w:gridCol w:w="206"/>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contract assets for certain contracts in which revenue recognition performance obligations have been satisfied but invoicing to the customer has not yet occurred. Contract liabilities primarily relate to consideration received from customers in advance of the Company’s satisfying performance obligations under contractual arrangements. Contract balances are reported in a net contract asset or liability position on a contract-by-contract basis at the end of each reporting period.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increased by $471 during the nine months ended September 30, 2023 due to recognition of revenues for which invoicing has not yet occurred. Contract liabilities decreased by $565 during the nine months ended September 30, 2023, reflecting $3,534 of revenue recognized from customers, partially offset by $2,969 in customer advance payments during the nine months ended September 30, 2023 that was included in the contract liability balance at the beginning of the period.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of $3,285 as of September 30, 2023 are expected to be recognized within the next twelve months and long-term contract liabilities of $956 are expected to be recognized as revenue over approximately the next one to two years. Contract assets of $2,401 as of September 30, 2023 are expected to be recognized within the next twelve months. Long-term contract assets of $70 are expected to be recognized as accounts receivable over approximately the next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4. Cash, Cash Equivalents and Restricted Cash</w:t>
      </w:r>
    </w:p>
    <w:p>
      <w:pPr>
        <w:pStyle w:val="TextBody"/>
        <w:bidi w:val="0"/>
        <w:spacing w:lineRule="auto" w:line="288" w:before="160" w:after="1"/>
        <w:jc w:val="both"/>
        <w:rPr/>
      </w:pPr>
      <w:r>
        <w:rPr>
          <w:rFonts w:ascii="Times New Roman;sans-serif" w:hAnsi="Times New Roman;sans-serif"/>
          <w:b w:val="false"/>
          <w:color w:val="000000"/>
          <w:sz w:val="20"/>
        </w:rPr>
        <w:t xml:space="preserve">Restricted cash - current consists of escrow deposits related to U.S. Custom Bonds insurance and escrow deposits related to our credit card program agreements. Additionally, long-term restricted cash relates to interest that is required to be held in escrow per the Senior Secured Term Loan agreement in an amount equal to the aggregate amount of the four immediately following interest payments owed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further discussion).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reported amounts from the unaudited condensed consolidated balance sheets to cash, cash equivalents and restricted cash reported within the unaudited condensed consolidated statements of cash flows:</w:t>
      </w:r>
    </w:p>
    <w:p>
      <w:pPr>
        <w:pStyle w:val="TextBody"/>
        <w:bidi w:val="0"/>
        <w:spacing w:before="0" w:after="0"/>
        <w:jc w:val="left"/>
        <w:rPr/>
      </w:pPr>
      <w:r>
        <w:rPr/>
      </w:r>
    </w:p>
    <w:tbl>
      <w:tblPr>
        <w:tblW w:w="7581" w:type="dxa"/>
        <w:jc w:val="left"/>
        <w:tblInd w:w="0" w:type="dxa"/>
        <w:tblLayout w:type="fixed"/>
        <w:tblCellMar>
          <w:top w:w="28" w:type="dxa"/>
          <w:left w:w="28" w:type="dxa"/>
          <w:bottom w:w="28" w:type="dxa"/>
          <w:right w:w="28" w:type="dxa"/>
        </w:tblCellMar>
      </w:tblPr>
      <w:tblGrid>
        <w:gridCol w:w="1548"/>
        <w:gridCol w:w="1359"/>
        <w:gridCol w:w="1367"/>
        <w:gridCol w:w="264"/>
        <w:gridCol w:w="904"/>
        <w:gridCol w:w="136"/>
        <w:gridCol w:w="109"/>
        <w:gridCol w:w="109"/>
        <w:gridCol w:w="109"/>
        <w:gridCol w:w="109"/>
        <w:gridCol w:w="109"/>
        <w:gridCol w:w="109"/>
        <w:gridCol w:w="262"/>
        <w:gridCol w:w="896"/>
        <w:gridCol w:w="191"/>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2022</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Restricted cash </w:t>
            </w:r>
            <w:r>
              <w:rPr>
                <w:rFonts w:ascii="Times New Roman;sans-serif" w:hAnsi="Times New Roman;sans-serif"/>
                <w:b w:val="false"/>
                <w:color w:val="000000"/>
                <w:sz w:val="13"/>
              </w:rPr>
              <w:t>(1)</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cash, cash equivalents, and restricted cash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51,047 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Restricted cash, current.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5. Inventory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inventory balances:</w:t>
      </w:r>
    </w:p>
    <w:tbl>
      <w:tblPr>
        <w:tblW w:w="4975" w:type="dxa"/>
        <w:jc w:val="left"/>
        <w:tblInd w:w="0" w:type="dxa"/>
        <w:tblLayout w:type="fixed"/>
        <w:tblCellMar>
          <w:top w:w="28" w:type="dxa"/>
          <w:left w:w="28" w:type="dxa"/>
          <w:bottom w:w="28" w:type="dxa"/>
          <w:right w:w="28" w:type="dxa"/>
        </w:tblCellMar>
      </w:tblPr>
      <w:tblGrid>
        <w:gridCol w:w="738"/>
        <w:gridCol w:w="647"/>
        <w:gridCol w:w="654"/>
        <w:gridCol w:w="264"/>
        <w:gridCol w:w="904"/>
        <w:gridCol w:w="136"/>
        <w:gridCol w:w="109"/>
        <w:gridCol w:w="109"/>
        <w:gridCol w:w="109"/>
        <w:gridCol w:w="253"/>
        <w:gridCol w:w="867"/>
        <w:gridCol w:w="185"/>
      </w:tblGrid>
      <w:tr>
        <w:trPr/>
        <w:tc>
          <w:tcPr>
            <w:tcW w:w="7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inventory, net</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20,568 </w:t>
            </w:r>
          </w:p>
        </w:tc>
        <w:tc>
          <w:tcPr>
            <w:tcW w:w="1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23,260 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6. Property, Plant and Equipment, Net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property, plant and equipment, net balances:</w:t>
      </w:r>
    </w:p>
    <w:tbl>
      <w:tblPr>
        <w:tblW w:w="8629" w:type="dxa"/>
        <w:jc w:val="left"/>
        <w:tblInd w:w="0" w:type="dxa"/>
        <w:tblLayout w:type="fixed"/>
        <w:tblCellMar>
          <w:top w:w="28" w:type="dxa"/>
          <w:left w:w="28" w:type="dxa"/>
          <w:bottom w:w="28" w:type="dxa"/>
          <w:right w:w="28" w:type="dxa"/>
        </w:tblCellMar>
      </w:tblPr>
      <w:tblGrid>
        <w:gridCol w:w="1233"/>
        <w:gridCol w:w="1083"/>
        <w:gridCol w:w="1088"/>
        <w:gridCol w:w="218"/>
        <w:gridCol w:w="218"/>
        <w:gridCol w:w="218"/>
        <w:gridCol w:w="218"/>
        <w:gridCol w:w="218"/>
        <w:gridCol w:w="218"/>
        <w:gridCol w:w="218"/>
        <w:gridCol w:w="218"/>
        <w:gridCol w:w="218"/>
        <w:gridCol w:w="109"/>
        <w:gridCol w:w="109"/>
        <w:gridCol w:w="109"/>
        <w:gridCol w:w="264"/>
        <w:gridCol w:w="904"/>
        <w:gridCol w:w="136"/>
        <w:gridCol w:w="109"/>
        <w:gridCol w:w="109"/>
        <w:gridCol w:w="109"/>
        <w:gridCol w:w="253"/>
        <w:gridCol w:w="867"/>
        <w:gridCol w:w="185"/>
      </w:tblGrid>
      <w:tr>
        <w:trPr/>
        <w:tc>
          <w:tcPr>
            <w:tcW w:w="123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962"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1962"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w:t>
            </w:r>
          </w:p>
        </w:tc>
        <w:tc>
          <w:tcPr>
            <w:tcW w:w="196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9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useful life/</w:t>
              <w:br/>
              <w:t>remaining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w:t>
            </w:r>
          </w:p>
        </w:tc>
        <w:tc>
          <w:tcPr>
            <w:tcW w:w="196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depreciation </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plant and equipment was $2,144 and $1,571 for the three months ended September 30, 2023 and 2022, respectively and $7,255 and $3,817 for the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7. Intangible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patents valued at $400, which represents the cost to acquire the patents. These patents are determined to have useful lives and are amortized into the results of operations over ten years. The Company recorded amortization expense of $10 for the three months ended September 30, 2023 and 2022, respectively, and $30 for the nine months ended September 30, 2023 and 2022, respectively, related to patents.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capitalized $130 of costs for internal-use software. The software has a useful life and is amortized into the results of operations over 3 years. The Company recorded amortization expense of $11 and $31 for the three and nine months ended September 30, 2023, respectively, related to software.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8. Notes Receivable, Net and Variable Interest Entities (“VIEs”) Consideration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Notes receivable primarily consist of amounts due to the Company related to the financing offered to certain customers. The Company reports notes receivable at the principal balance outstanding less an allowance for losses. The estimate of credit losses is based on historical trends, customers’ financial condition and current economic trends. The Company charges interest at a fixed rate and calculates interest income by applying the effective rate to the outstanding principal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175" w:type="dxa"/>
        <w:jc w:val="left"/>
        <w:tblInd w:w="0" w:type="dxa"/>
        <w:tblLayout w:type="fixed"/>
        <w:tblCellMar>
          <w:top w:w="28" w:type="dxa"/>
          <w:left w:w="28" w:type="dxa"/>
          <w:bottom w:w="28" w:type="dxa"/>
          <w:right w:w="28" w:type="dxa"/>
        </w:tblCellMar>
      </w:tblPr>
      <w:tblGrid>
        <w:gridCol w:w="2618"/>
        <w:gridCol w:w="2299"/>
        <w:gridCol w:w="3258"/>
      </w:tblGrid>
      <w:tr>
        <w:trPr/>
        <w:tc>
          <w:tcPr>
            <w:tcW w:w="261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81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tc>
      </w:tr>
      <w:tr>
        <w:trPr/>
        <w:tc>
          <w:tcPr>
            <w:tcW w:w="8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8. Notes Receivable, Net and Variable Interest Entities (“VIEs”) Consideration </w:t>
      </w:r>
      <w:r>
        <w:rPr>
          <w:rFonts w:ascii="Times New Roman;sans-serif" w:hAnsi="Times New Roman;sans-serif"/>
          <w:b w:val="false"/>
          <w:color w:val="000000"/>
          <w:sz w:val="20"/>
        </w:rPr>
        <w:t>(cont.)</w: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notes receivable, net of $863 and $863 outstanding as of September 30, 2023 and December 31, 2022, respectively. As of September 30, 2023 and December 31, 2022, the Company recorded an allowance for expected credit loss from the notes receivable of $2 and $2, respectively.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customers to whom the Company offers financing through notes receivables are VIEs. However, the Company is not the primary beneficiary, because the Company does not have power to direct the activities of the VIEs that most significantly impact the VIEs’ economic performance. Therefore, the VIEs are not consolidated into the Company’s unaudited condensed consolidated financial statements. The maximum loss exposure is limited to the carrying value of notes receivable as of the balances sheet 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9. Accrued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were as follows:</w:t>
      </w:r>
    </w:p>
    <w:tbl>
      <w:tblPr>
        <w:tblW w:w="7271" w:type="dxa"/>
        <w:jc w:val="left"/>
        <w:tblInd w:w="0" w:type="dxa"/>
        <w:tblLayout w:type="fixed"/>
        <w:tblCellMar>
          <w:top w:w="28" w:type="dxa"/>
          <w:left w:w="28" w:type="dxa"/>
          <w:bottom w:w="28" w:type="dxa"/>
          <w:right w:w="28" w:type="dxa"/>
        </w:tblCellMar>
      </w:tblPr>
      <w:tblGrid>
        <w:gridCol w:w="1231"/>
        <w:gridCol w:w="1083"/>
        <w:gridCol w:w="1091"/>
        <w:gridCol w:w="357"/>
        <w:gridCol w:w="1225"/>
        <w:gridCol w:w="187"/>
        <w:gridCol w:w="109"/>
        <w:gridCol w:w="109"/>
        <w:gridCol w:w="109"/>
        <w:gridCol w:w="344"/>
        <w:gridCol w:w="1175"/>
        <w:gridCol w:w="251"/>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Warranty reserve </w:t>
            </w:r>
            <w:r>
              <w:rPr>
                <w:rFonts w:ascii="Times New Roman;sans-serif" w:hAnsi="Times New Roman;sans-serif"/>
                <w:b w:val="false"/>
                <w:color w:val="000000"/>
                <w:sz w:val="13"/>
              </w:rPr>
              <w:t>(1)</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and professional expenses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contract losses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premium payable, current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Refer to the table below for the warranty reserve activity for the three and nine months ended September 30, 2023.</w:t>
      </w:r>
    </w:p>
    <w:p>
      <w:pPr>
        <w:pStyle w:val="TextBody"/>
        <w:bidi w:val="0"/>
        <w:spacing w:before="0" w:after="0"/>
        <w:jc w:val="both"/>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warranty reserve activity:</w:t>
      </w:r>
    </w:p>
    <w:p>
      <w:pPr>
        <w:pStyle w:val="TextBody"/>
        <w:bidi w:val="0"/>
        <w:spacing w:before="0" w:after="0"/>
        <w:jc w:val="both"/>
        <w:rPr/>
      </w:pPr>
      <w:r>
        <w:rPr/>
      </w:r>
    </w:p>
    <w:tbl>
      <w:tblPr>
        <w:tblW w:w="8190" w:type="dxa"/>
        <w:jc w:val="left"/>
        <w:tblInd w:w="0" w:type="dxa"/>
        <w:tblLayout w:type="fixed"/>
        <w:tblCellMar>
          <w:top w:w="28" w:type="dxa"/>
          <w:left w:w="28" w:type="dxa"/>
          <w:bottom w:w="28" w:type="dxa"/>
          <w:right w:w="28" w:type="dxa"/>
        </w:tblCellMar>
      </w:tblPr>
      <w:tblGrid>
        <w:gridCol w:w="1239"/>
        <w:gridCol w:w="1087"/>
        <w:gridCol w:w="109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current period deliveries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warranty reserve estimate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10. Government Grants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California Energy Commission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time-to-time, the Company has entered into grant agreements with the California Energy Commission (“CEC”) for conducting studies to demonstrate the benefits of certain energy-saving technologies to utility companies and consumers in the State of California. Under such agreements, the Company is entitled to receive reimbursement of costs incurred by the Company covered by the grants.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grant expense, net was $0 for both periods. For the three and nine months ended September 30, 2022, grant (income) expense, net was $0 and $4,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grant receivables related to the CEC in the amounts of $245 and $263, which were included in other current assets on the unaudited condensed consolidated balance sheets, respectively. There was no deferred grant income as of September 30, 2023 and December 31, 2022. Related expenses incurred by the Company are offset against grant income earned or received from the CEC.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10. Government Grants </w:t>
      </w:r>
      <w:r>
        <w:rPr>
          <w:rFonts w:ascii="Times New Roman;sans-serif" w:hAnsi="Times New Roman;sans-serif"/>
          <w:b w:val="false"/>
          <w:color w:val="000000"/>
          <w:sz w:val="20"/>
        </w:rPr>
        <w:t>(cont.)</w: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 (“IRA”)</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President Biden signed the Inflation Reduction Act of 2022 into law. The IRA has significant economic incentives for both energy storage customers and manufacturers for projects placed in service after December 31, 2022. 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In June 2023, the IRS issued temporary and proposed regulations related to applicable tax credit transferability and direct pay provisions of the Inflation Reduction Act. The Company has reviewed these regulations and believes they do not have a material impact on the financial statements.</w:t>
      </w:r>
    </w:p>
    <w:p>
      <w:pPr>
        <w:pStyle w:val="TextBody"/>
        <w:bidi w:val="0"/>
        <w:spacing w:lineRule="auto" w:line="288" w:before="160" w:after="283"/>
        <w:jc w:val="both"/>
        <w:rPr/>
      </w:pPr>
      <w:r>
        <w:rPr>
          <w:rFonts w:ascii="Times New Roman;sans-serif" w:hAnsi="Times New Roman;sans-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ans-serif" w:hAnsi="Times New Roman;sans-serif"/>
          <w:b w:val="false"/>
          <w:i/>
          <w:color w:val="000000"/>
          <w:sz w:val="20"/>
        </w:rPr>
        <w:t>Accounting for Government Grants and Disclosure of Government Assistance,</w:t>
      </w:r>
      <w:r>
        <w:rPr>
          <w:color w:val="000000"/>
        </w:rPr>
        <w:t xml:space="preserve"> </w:t>
      </w:r>
      <w:r>
        <w:rPr>
          <w:rFonts w:ascii="Times New Roman;sans-serif" w:hAnsi="Times New Roman;sans-serif"/>
          <w:b w:val="false"/>
          <w:color w:val="000000"/>
          <w:sz w:val="20"/>
        </w:rPr>
        <w:t xml:space="preserve">under IFRS Accounting Standards. Under IAS 20, once it is reasonably assured that the entity will comply with the conditions of the grant, the grant money should be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PTC is recorded as the applicable items are produced and sold. For the three and nine months ended September 30, 2023, the Company recognized PTC of $109 and $953 as a reduction of cost of goods sold on the unaudited condensed consolidated statement of operations and comprehensive income (loss), respectively. As of September 30, 2023, grant receivable related to the PTC in the amount of $953 is recorded in other assets on the unaudited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11. Related Party Transactions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Convertible Notes Payable</w:t>
      </w:r>
    </w:p>
    <w:p>
      <w:pPr>
        <w:pStyle w:val="TextBody"/>
        <w:bidi w:val="0"/>
        <w:spacing w:lineRule="auto" w:line="288" w:before="160" w:after="283"/>
        <w:jc w:val="both"/>
        <w:rPr/>
      </w:pPr>
      <w:r>
        <w:rPr>
          <w:rFonts w:ascii="Times New Roman;sans-serif" w:hAnsi="Times New Roman;sans-serif"/>
          <w:b w:val="false"/>
          <w:color w:val="000000"/>
          <w:sz w:val="20"/>
        </w:rPr>
        <w:t xml:space="preserve">In July 2021, the Company issued $100,000 aggregate principal amount of convertible notes to Spring Creek Capital, LLC, a wholly-owned, indirect subsidiary of Koch Industries, Inc. (the “2021 Convertible Notes”). In connection with these 2021 Convertible Notes, the Company paid $3,000 to B. Riley Securities, Inc., a related party, who acted as a placement agent. Refer to Note 12, </w:t>
      </w:r>
      <w:r>
        <w:rPr>
          <w:rFonts w:ascii="Times New Roman;sans-serif" w:hAnsi="Times New Roman;sans-serif"/>
          <w:b w:val="false"/>
          <w:i/>
          <w:color w:val="000000"/>
          <w:sz w:val="20"/>
        </w:rPr>
        <w:t>Borrowing</w:t>
      </w:r>
      <w:r>
        <w:rPr>
          <w:rFonts w:ascii="Times New Roman;sans-serif" w:hAnsi="Times New Roman;sans-serif"/>
          <w:b w:val="false"/>
          <w:color w:val="000000"/>
          <w:sz w:val="20"/>
        </w:rPr>
        <w: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AFG Convertible Notes</w:t>
      </w:r>
    </w:p>
    <w:p>
      <w:pPr>
        <w:pStyle w:val="TextBody"/>
        <w:bidi w:val="0"/>
        <w:spacing w:lineRule="auto" w:line="288" w:before="200" w:after="283"/>
        <w:jc w:val="both"/>
        <w:rPr/>
      </w:pPr>
      <w:r>
        <w:rPr>
          <w:rFonts w:ascii="Times New Roman;sans-serif" w:hAnsi="Times New Roman;sans-serif"/>
          <w:b w:val="false"/>
          <w:color w:val="000000"/>
          <w:sz w:val="20"/>
        </w:rPr>
        <w:t xml:space="preserve">In January 2023, the Company issued and sold $13,750 of 26.5% Convertible Senior PIK Notes due 2026 (“AFG Convertible Notes”) to Great American Insurance Company, Ardsley Partners Renewable Energy, LP, CCI SPV III, LP, Denman Street LLC, John B. Bending Irrevocable Children’s Trust, John B. Berding, and AE Convert, LLC, a Delaware limited liability company managed by Russell Stidolph, a related party as Mr. Stidolph is a director of the Company (together, the “Purchasers”). In connection with the issuance and sale of the AFG Convertible Notes, the Company entered into an investment agreement (the “Investment Agreement”) with the Purchasers. Refer to Note 12, </w:t>
      </w:r>
      <w:r>
        <w:rPr>
          <w:rFonts w:ascii="Times New Roman;sans-serif" w:hAnsi="Times New Roman;sans-serif"/>
          <w:b w:val="false"/>
          <w:i/>
          <w:color w:val="000000"/>
          <w:sz w:val="20"/>
        </w:rPr>
        <w:t>Borrowing</w:t>
      </w:r>
      <w:r>
        <w:rPr>
          <w:rFonts w:ascii="Times New Roman;sans-serif" w:hAnsi="Times New Roman;sans-serif"/>
          <w:b w:val="false"/>
          <w:color w:val="000000"/>
          <w:sz w:val="20"/>
        </w:rPr>
        <w: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76"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Warrants Liability </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has issued private placement warrants to various counterparties since the initial public offering (“IPO”), some of which are exercisable and outstanding as of September 30, 2023 and December 31, 2022. Refer to Note 13, </w:t>
      </w:r>
      <w:r>
        <w:rPr>
          <w:rFonts w:ascii="Times New Roman;sans-serif" w:hAnsi="Times New Roman;sans-serif"/>
          <w:b w:val="false"/>
          <w:i/>
          <w:color w:val="000000"/>
          <w:sz w:val="20"/>
        </w:rPr>
        <w:t>Warrants Liability - Related Party,</w:t>
      </w:r>
      <w:r>
        <w:rPr>
          <w:color w:val="000000"/>
        </w:rPr>
        <w:t xml:space="preserve"> </w:t>
      </w:r>
      <w:r>
        <w:rPr>
          <w:rFonts w:ascii="Times New Roman;sans-serif" w:hAnsi="Times New Roman;sans-serif"/>
          <w:b w:val="false"/>
          <w:color w:val="000000"/>
          <w:sz w:val="20"/>
        </w:rPr>
        <w:t xml:space="preserve">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11. Related Party Transactions </w:t>
      </w:r>
      <w:r>
        <w:rPr>
          <w:rFonts w:ascii="Times New Roman;sans-serif" w:hAnsi="Times New Roman;sans-serif"/>
          <w:b w:val="false"/>
          <w:color w:val="000000"/>
          <w:sz w:val="20"/>
        </w:rPr>
        <w:t>(cont.)</w:t>
      </w:r>
    </w:p>
    <w:p>
      <w:pPr>
        <w:pStyle w:val="TextBody"/>
        <w:bidi w:val="0"/>
        <w:spacing w:lineRule="auto" w:line="288" w:before="160" w:after="283"/>
        <w:jc w:val="both"/>
        <w:rPr/>
      </w:pPr>
      <w:r>
        <w:rPr>
          <w:rFonts w:ascii="Times New Roman;sans-serif" w:hAnsi="Times New Roman;sans-serif"/>
          <w:b w:val="false"/>
          <w:color w:val="000000"/>
          <w:sz w:val="20"/>
        </w:rPr>
        <w:t>In April 2023 and May 2023, respectively, the Company issued common stock and private placement warrants (the “April 2023 Transaction” and “May 2023 Transaction”, respectively). Refer to Note 18,</w:t>
      </w:r>
      <w:r>
        <w:rPr>
          <w:color w:val="000000"/>
        </w:rPr>
        <w:t xml:space="preserve"> </w:t>
      </w:r>
      <w:r>
        <w:rPr>
          <w:rFonts w:ascii="Times New Roman;sans-serif" w:hAnsi="Times New Roman;sans-serif"/>
          <w:b w:val="false"/>
          <w:i/>
          <w:color w:val="000000"/>
          <w:sz w:val="20"/>
        </w:rPr>
        <w:t xml:space="preserve">Shareholders’ Equity </w:t>
      </w:r>
      <w:r>
        <w:rPr>
          <w:rFonts w:ascii="Times New Roman;sans-serif" w:hAnsi="Times New Roman;sans-serif"/>
          <w:b w:val="false"/>
          <w:color w:val="000000"/>
          <w:sz w:val="20"/>
        </w:rPr>
        <w:t xml:space="preserve">and Note 13, </w:t>
      </w:r>
      <w:r>
        <w:rPr>
          <w:rFonts w:ascii="Times New Roman;sans-serif" w:hAnsi="Times New Roman;sans-serif"/>
          <w:b w:val="false"/>
          <w:i/>
          <w:color w:val="000000"/>
          <w:sz w:val="20"/>
        </w:rPr>
        <w:t xml:space="preserve">Warrants Liability - Related Party </w:t>
      </w:r>
      <w:r>
        <w:rPr>
          <w:rFonts w:ascii="Times New Roman;sans-serif" w:hAnsi="Times New Roman;sans-serif"/>
          <w:b w:val="false"/>
          <w:color w:val="000000"/>
          <w:sz w:val="20"/>
        </w:rPr>
        <w:t xml:space="preserve">for additional information. </w:t>
      </w:r>
    </w:p>
    <w:p>
      <w:pPr>
        <w:pStyle w:val="TextBody"/>
        <w:bidi w:val="0"/>
        <w:spacing w:lineRule="auto" w:line="276"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Standby Equity Purchase Agreement </w:t>
      </w:r>
    </w:p>
    <w:p>
      <w:pPr>
        <w:pStyle w:val="TextBody"/>
        <w:bidi w:val="0"/>
        <w:spacing w:lineRule="auto" w:line="288" w:before="160" w:after="283"/>
        <w:jc w:val="both"/>
        <w:rPr/>
      </w:pPr>
      <w:r>
        <w:rPr>
          <w:rFonts w:ascii="Times New Roman;sans-serif" w:hAnsi="Times New Roman;sans-serif"/>
          <w:b w:val="false"/>
          <w:color w:val="000000"/>
          <w:sz w:val="20"/>
        </w:rPr>
        <w:t xml:space="preserve">On April 28, 2022, the Company entered into the SEPA. Pursuant to the SEPA, the Company had the right, but not the obligation, to sell to Yorkville shares of its common stock at the Company’s request. On August 23, 2023, the Company and Yorkville terminated the SEPA, as amended, by mutual written consent.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 xml:space="preserve">for pre-advance loans in form of convertible promissory notes and Note 18, </w:t>
      </w:r>
      <w:r>
        <w:rPr>
          <w:rFonts w:ascii="Times New Roman;sans-serif" w:hAnsi="Times New Roman;sans-serif"/>
          <w:b w:val="false"/>
          <w:i/>
          <w:color w:val="000000"/>
          <w:sz w:val="20"/>
        </w:rPr>
        <w:t xml:space="preserve">Shareholders' Deficit </w:t>
      </w:r>
      <w:r>
        <w:rPr>
          <w:rFonts w:ascii="Times New Roman;sans-serif" w:hAnsi="Times New Roman;sans-serif"/>
          <w:b w:val="false"/>
          <w:color w:val="000000"/>
          <w:sz w:val="20"/>
        </w:rPr>
        <w:t xml:space="preserve">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12. Borrowings</w:t>
      </w:r>
    </w:p>
    <w:p>
      <w:pPr>
        <w:pStyle w:val="TextBody"/>
        <w:bidi w:val="0"/>
        <w:spacing w:before="0" w:after="0"/>
        <w:ind w:left="0" w:right="0" w:hanging="180"/>
        <w:jc w:val="left"/>
        <w:rPr/>
      </w:pPr>
      <w:r>
        <w:rPr/>
      </w:r>
    </w:p>
    <w:p>
      <w:pPr>
        <w:pStyle w:val="TextBody"/>
        <w:bidi w:val="0"/>
        <w:spacing w:lineRule="auto" w:line="26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obligations at carrying value consist of the following related and third-party borrowings:</w:t>
      </w:r>
    </w:p>
    <w:tbl>
      <w:tblPr>
        <w:tblW w:w="10205" w:type="dxa"/>
        <w:jc w:val="left"/>
        <w:tblInd w:w="0" w:type="dxa"/>
        <w:tblLayout w:type="fixed"/>
        <w:tblCellMar>
          <w:top w:w="28" w:type="dxa"/>
          <w:left w:w="28" w:type="dxa"/>
          <w:bottom w:w="28" w:type="dxa"/>
          <w:right w:w="28" w:type="dxa"/>
        </w:tblCellMar>
      </w:tblPr>
      <w:tblGrid>
        <w:gridCol w:w="736"/>
        <w:gridCol w:w="647"/>
        <w:gridCol w:w="655"/>
        <w:gridCol w:w="351"/>
        <w:gridCol w:w="351"/>
        <w:gridCol w:w="353"/>
        <w:gridCol w:w="109"/>
        <w:gridCol w:w="109"/>
        <w:gridCol w:w="109"/>
        <w:gridCol w:w="287"/>
        <w:gridCol w:w="1125"/>
        <w:gridCol w:w="148"/>
        <w:gridCol w:w="109"/>
        <w:gridCol w:w="109"/>
        <w:gridCol w:w="109"/>
        <w:gridCol w:w="242"/>
        <w:gridCol w:w="949"/>
        <w:gridCol w:w="125"/>
        <w:gridCol w:w="109"/>
        <w:gridCol w:w="109"/>
        <w:gridCol w:w="109"/>
        <w:gridCol w:w="287"/>
        <w:gridCol w:w="1125"/>
        <w:gridCol w:w="148"/>
        <w:gridCol w:w="109"/>
        <w:gridCol w:w="109"/>
        <w:gridCol w:w="109"/>
        <w:gridCol w:w="240"/>
        <w:gridCol w:w="944"/>
        <w:gridCol w:w="184"/>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038"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2021 Convertible Notes Payable</w:t>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w:t>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April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Yorkville Convertible Promissory Note</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June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color w:val="000000"/>
                <w:sz w:val="20"/>
              </w:rPr>
              <w:t>Total borrowings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234,299 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207,264 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219,744 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175,831 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231,088 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204,053 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214,184 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170,271 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180"/>
        <w:jc w:val="both"/>
        <w:rPr/>
      </w:pPr>
      <w:r>
        <w:rPr>
          <w:rFonts w:ascii="Times New Roman;sans-serif" w:hAnsi="Times New Roman;sans-serif"/>
          <w:b w:val="false"/>
          <w:i/>
          <w:color w:val="000000"/>
          <w:sz w:val="16"/>
        </w:rPr>
        <w:t>*</w:t>
      </w:r>
      <w:r>
        <w:rPr>
          <w:rFonts w:ascii="Times New Roman;sans-serif" w:hAnsi="Times New Roman;sans-serif"/>
          <w:b w:val="false"/>
          <w:color w:val="000000"/>
          <w:sz w:val="16"/>
        </w:rPr>
        <w:t>Carrying value includes unamortized deferred financing costs, unamortized discounts, and fair value of embedded derivative liabilities.</w:t>
      </w:r>
    </w:p>
    <w:p>
      <w:pPr>
        <w:pStyle w:val="TextBody"/>
        <w:bidi w:val="0"/>
        <w:spacing w:lineRule="auto" w:line="288" w:before="160" w:after="283"/>
        <w:ind w:left="0" w:right="0" w:hanging="180"/>
        <w:jc w:val="both"/>
        <w:rPr>
          <w:rFonts w:ascii="Times New Roman;sans-serif" w:hAnsi="Times New Roman;sans-serif"/>
          <w:b w:val="false"/>
          <w:i/>
          <w:color w:val="000000"/>
          <w:sz w:val="20"/>
        </w:rPr>
      </w:pPr>
      <w:r>
        <w:rPr>
          <w:rFonts w:ascii="Times New Roman;sans-serif" w:hAnsi="Times New Roman;sans-serif"/>
          <w:b w:val="false"/>
          <w:i/>
          <w:color w:val="000000"/>
          <w:sz w:val="20"/>
        </w:rPr>
        <w:t>Yorkville Convertible Promissory Notes - Related Party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29, 2022, the Company issued and sold a convertible promissory note (the “December 2022 Promissory Note”) with an aggregate principal amount of $2,000 in a private placement to Yorkville under a second supplemental agreement to the SEPA (the “Second Supplemental Agreement”). In January 2023, Yorkville delivered Investor Notices requiring the Company to issue and sell an aggregate of 1,953,612 shares of common stock to Yorkville to offset all outstanding amounts owed to Yorkville under the December 2022 Promissory Note.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2023, the Company issued a convertible promissory note (the “February 2023 Promissory Note”) with an aggregate principal amount of $5,000 in a private placement to Yorkville under the Second Supplemental Agreement. The fair value of the February 2023 Promissory Note at issuance was $5,887, which was greater than the proceeds received. As such, the Company recorded the excess of fair value of the February 2023 Promissory Note over the proceeds received as interest expense in the amount of $987, which is reflected in the unaudited condensed consolidated statements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Yorkville delivered Investor Notices requiring the Company to issue and sell an aggregate of 3,879,706 shares of common stock to Yorkville, in order to offset all outstanding amounts owed to Yorkville under the February 2023 Promissory Note.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2023, the Company issued a convertible promissory note (the “March 2023 Promissory Note”) with an aggregate principal amount of $15,000 in a private placement to Yorkville under a third supplemental agreement to the SEPA. The fair value of the March 2023 Promissory Note at issuance was $20,665, which was greater than the proceeds received. As such, the Company recorded the excess of fair value of the March 2023 Promissory Note over the proceeds received as interest expense in the amount of $5,965, which is reflected in the unaudited condensed consolidated statements of operations and comprehensive income (loss).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and April 2023, Yorkville delivered Investor Notices requiring the Company to issue and sell an aggregate of 8,641,918 shares of common stock to Yorkville, in order to offset all outstanding amounts owed to Yorkville under the March 2023 Promissory Note.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10, 2023, the Company issued a convertible promissory note (the “April 2023 Promissory Note”) with an aggregate principal amount of $15,000 in a private placement to Yorkville under a fourth supplemental agreement to the SEPA. The fair value of the April 2023 Promissory Note at issuance was $25,319, which was greater than the proceeds received. As such, the Company recorded the excess of fair value of the April 2023 Promissory Note over the proceeds received as interest expense in the amount of $10,619, which is reflected in the unaudited condensed consolidated statements of operations and comprehensive income (loss).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2023, Yorkville delivered Investor Notices requiring the Company to issue and sell an aggregate of 8,471,793 shares of common stock to Yorkville, in order to offset all outstanding amounts owed to Yorkville under the April 2023 Promissory Note. </w:t>
      </w:r>
    </w:p>
    <w:p>
      <w:pPr>
        <w:pStyle w:val="TextBody"/>
        <w:bidi w:val="0"/>
        <w:spacing w:lineRule="auto" w:line="288" w:before="20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a loss on debt extinguishment from the issuance of common stock from the Yorkville Convertible Promissory Notes of $3,510 for the nine months ended September 30, 2023, which is reflected in the unaudited condensed consolidated statements of operations and comprehensive income (loss).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August 23, 2023, the Company and Yorkville terminated the SEPA, as amended, by mutual written consent. At the time of termination, there were no outstanding borrowings, advance notices or shares of Common Stock to be issued under the SEPA. In addition, there were no fees due by the Company or Yorkville in connection with the termination of the SEPA.</w:t>
      </w:r>
    </w:p>
    <w:p>
      <w:pPr>
        <w:pStyle w:val="TextBody"/>
        <w:bidi w:val="0"/>
        <w:spacing w:lineRule="auto" w:line="276" w:before="160" w:after="1"/>
        <w:jc w:val="both"/>
        <w:rPr/>
      </w:pPr>
      <w:r>
        <w:rPr>
          <w:rFonts w:ascii="Times New Roman;sans-serif" w:hAnsi="Times New Roman;sans-serif"/>
          <w:b w:val="false"/>
          <w:i/>
          <w:color w:val="000000"/>
          <w:sz w:val="20"/>
        </w:rPr>
        <w:t xml:space="preserve">Embedded derivatives- Yorkville Convertible Promissory Notes - Related </w:t>
      </w:r>
      <w:r>
        <w:rPr>
          <w:rFonts w:ascii="Times New Roman;sans-serif" w:hAnsi="Times New Roman;sans-serif"/>
          <w:b w:val="false"/>
          <w:color w:val="000000"/>
          <w:sz w:val="20"/>
        </w:rPr>
        <w:t>party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feature for each of the Yorkville Convertible Promissory Notes discussed above did not qualify for the scope exception to derivative accounting, therefore bifurcation was required for each issuance. Upon extinguishment of each Yorkville Promissory Note, the embedded derivatives were adjusted to fair value. This remeasurement resulted in net gains of $6,922 for the nine months ended September 30, 2023, which is included in (loss) gain on change in fair value of derivatives - related party on the unaudited condensed consolidated statements of operations and comprehensive income (loss).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there were no outstanding Yorkville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76"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Convertible Notes Payable – Related Party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2021, the Company entered into an investment agreement with Spring Creek Capital, LLC, a wholly-owned, indirect subsidiary of Koch Industries, Inc. The investment agreement provides for the issuance and sale to Koch Industries of the 2021 Convertible Notes in the aggregate principal amount of $100,000. The maturity date of the 2021 Convertible Notes is June 30, 2026, subject to earlier conversion, redemption, or repurchase.</w:t>
      </w:r>
    </w:p>
    <w:p>
      <w:pPr>
        <w:pStyle w:val="TextBody"/>
        <w:bidi w:val="0"/>
        <w:spacing w:lineRule="auto" w:line="288" w:before="160" w:after="1"/>
        <w:jc w:val="both"/>
        <w:rPr/>
      </w:pPr>
      <w:r>
        <w:rPr>
          <w:rFonts w:ascii="Times New Roman;sans-serif" w:hAnsi="Times New Roman;sans-serif"/>
          <w:b w:val="false"/>
          <w:color w:val="000000"/>
          <w:sz w:val="20"/>
        </w:rPr>
        <w:t xml:space="preserve">See Note 14,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for the assumptions used to determine the fair value of the embedded derivative as of September 30, 2023 and as of December 31, 2022. As of September 30, 2023 and December 31, 2022, the fair value of the embedded conversion feature was $786 and $918, respectively. The gain (loss) from the change in fair value of the embedded derivative conversion feature for the three months ended September 30, 2023 and 2022 amounted to $3,190 and $(369) and for the nine months ended September 30, 2023 and 2022 amounted to $248 and $11,304, respectively.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2021 Convertible Notes is as follows:</w:t>
      </w:r>
    </w:p>
    <w:tbl>
      <w:tblPr>
        <w:tblW w:w="7769" w:type="dxa"/>
        <w:jc w:val="left"/>
        <w:tblInd w:w="0" w:type="dxa"/>
        <w:tblLayout w:type="fixed"/>
        <w:tblCellMar>
          <w:top w:w="28" w:type="dxa"/>
          <w:left w:w="28" w:type="dxa"/>
          <w:bottom w:w="28" w:type="dxa"/>
          <w:right w:w="28" w:type="dxa"/>
        </w:tblCellMar>
      </w:tblPr>
      <w:tblGrid>
        <w:gridCol w:w="1085"/>
        <w:gridCol w:w="954"/>
        <w:gridCol w:w="96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Nine Months Ended </w:t>
              <w:br/>
              <w:t>September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2021 Convertible Notes are as follows:</w:t>
      </w:r>
    </w:p>
    <w:tbl>
      <w:tblPr>
        <w:tblW w:w="6625" w:type="dxa"/>
        <w:jc w:val="left"/>
        <w:tblInd w:w="0" w:type="dxa"/>
        <w:tblLayout w:type="fixed"/>
        <w:tblCellMar>
          <w:top w:w="28" w:type="dxa"/>
          <w:left w:w="28" w:type="dxa"/>
          <w:bottom w:w="28" w:type="dxa"/>
          <w:right w:w="28" w:type="dxa"/>
        </w:tblCellMar>
      </w:tblPr>
      <w:tblGrid>
        <w:gridCol w:w="1000"/>
        <w:gridCol w:w="876"/>
        <w:gridCol w:w="883"/>
        <w:gridCol w:w="325"/>
        <w:gridCol w:w="1276"/>
        <w:gridCol w:w="169"/>
        <w:gridCol w:w="109"/>
        <w:gridCol w:w="109"/>
        <w:gridCol w:w="109"/>
        <w:gridCol w:w="313"/>
        <w:gridCol w:w="1228"/>
        <w:gridCol w:w="228"/>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(24,733)</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conversion feature</w:t>
            </w:r>
          </w:p>
        </w:tc>
        <w:tc>
          <w:tcPr>
            <w:tcW w:w="16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repay all contractual interest attributable to the 2021 Convertible Notes in-kind on a semi-annual basis, in accordance with the terms under the Senior Secured Term Loan. Therefore, as of September 30, 2023, and December 31, 2022, interest payable attributable to the 2021 Convertible Notes was $1,686 and $0, respectively.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AFG Convertible Notes - Related Party</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2023, the Company entered into the Investment Agreement with the Purchasers relating to the issuance and sale to the Purchasers of $13,750 in aggregate principal amount of the Company’s AFG Convertible Notes. </w:t>
      </w:r>
    </w:p>
    <w:p>
      <w:pPr>
        <w:pStyle w:val="TextBody"/>
        <w:bidi w:val="0"/>
        <w:spacing w:lineRule="auto" w:line="288" w:before="160" w:after="283"/>
        <w:jc w:val="both"/>
        <w:rPr/>
      </w:pPr>
      <w:r>
        <w:rPr>
          <w:rFonts w:ascii="Times New Roman;sans-serif" w:hAnsi="Times New Roman;sans-serif"/>
          <w:b/>
          <w:color w:val="000000"/>
          <w:sz w:val="20"/>
        </w:rPr>
        <w:t>Contractual Interest Rates</w:t>
      </w:r>
      <w:r>
        <w:rPr>
          <w:color w:val="000000"/>
        </w:rPr>
        <w:t xml:space="preserve"> </w:t>
      </w:r>
      <w:r>
        <w:rPr>
          <w:rFonts w:ascii="Times New Roman;sans-serif" w:hAnsi="Times New Roman;sans-serif"/>
          <w:b w:val="false"/>
          <w:color w:val="000000"/>
          <w:sz w:val="20"/>
        </w:rPr>
        <w:t xml:space="preserve">- The AFG Convertible Notes bear interest at a rate of 26.5% per annum, which is entirely paid-in-kind. All interest payments are made through an increase in the principal amount of the outstanding AFG Convertible Notes or through the issuance of additional notes (such interest is referred to herein as “PIK Interest”). Interest on the AFG Convertible Notes is payable semi-annually in arrears on June 30 and December 30, commencing on June 30, 2023. It is expected that the Notes will mature on June 30, 2026, subject to earlier conversion, redemption or repurchase.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1"/>
        <w:jc w:val="both"/>
        <w:rPr/>
      </w:pPr>
      <w:r>
        <w:rPr>
          <w:rFonts w:ascii="Times New Roman;sans-serif" w:hAnsi="Times New Roman;sans-serif"/>
          <w:b/>
          <w:color w:val="000000"/>
          <w:sz w:val="20"/>
        </w:rPr>
        <w:t xml:space="preserve">Conversion Rights </w:t>
      </w:r>
      <w:r>
        <w:rPr>
          <w:rFonts w:ascii="Times New Roman;sans-serif" w:hAnsi="Times New Roman;sans-serif"/>
          <w:b w:val="false"/>
          <w:color w:val="000000"/>
          <w:sz w:val="20"/>
        </w:rPr>
        <w:t xml:space="preserve">- The AFG Convertible Notes are convertible at the option of the holder (the “Conversion Option”) at any time until the business day prior to the maturity date, including in connection with a redemption by the Company. The AFG Convertible Notes are convertible into shares of the Company’s common stock, par value $0.0001 per share, based on an initial conversion price of approximately $1.67 per share subject to customary anti-dilution and other adjustments. The Company has the right to settle conversions in shares of common stock, cash, or any combination thereof. </w:t>
      </w:r>
    </w:p>
    <w:p>
      <w:pPr>
        <w:pStyle w:val="TextBody"/>
        <w:bidi w:val="0"/>
        <w:spacing w:lineRule="auto" w:line="288" w:before="160" w:after="1"/>
        <w:jc w:val="both"/>
        <w:rPr/>
      </w:pPr>
      <w:r>
        <w:rPr>
          <w:rFonts w:ascii="Times New Roman;sans-serif" w:hAnsi="Times New Roman;sans-serif"/>
          <w:b/>
          <w:color w:val="000000"/>
          <w:sz w:val="20"/>
        </w:rPr>
        <w:t>Optional Redemption</w:t>
      </w:r>
      <w:r>
        <w:rPr>
          <w:color w:val="000000"/>
        </w:rPr>
        <w:t xml:space="preserve"> </w:t>
      </w:r>
      <w:r>
        <w:rPr>
          <w:rFonts w:ascii="Times New Roman;sans-serif" w:hAnsi="Times New Roman;sans-serif"/>
          <w:b w:val="false"/>
          <w:color w:val="000000"/>
          <w:sz w:val="20"/>
        </w:rPr>
        <w:t>- On or after June 30, 2024, provided that the Company has obtained stockholder approval, the AFG Convertible Notes are redeemable by the Company in the event that the closing sale price of the Company’s common stock has been at least 130% of the conversion price then in effect for at least 20 trading days (whether or not consecutive) during any 30 consecutive trading day period ending on, and including, the trading day immediately preceding the date on which the Company provides the redemption notice. The redemption price will be equal to the then current principal amount of the AFG Convertible Notes (inclusive of all PIK Interest), plus the aggregate amount of all interest payments on the AFG Convertible Notes that the holders of the AFG Convertible Notes to be redeemed would have been entitled to receive had the AFG Convertible Notes remained outstanding to the maturity date.</w:t>
      </w:r>
    </w:p>
    <w:p>
      <w:pPr>
        <w:pStyle w:val="TextBody"/>
        <w:bidi w:val="0"/>
        <w:spacing w:lineRule="auto" w:line="288" w:before="160" w:after="1"/>
        <w:jc w:val="both"/>
        <w:rPr/>
      </w:pPr>
      <w:r>
        <w:rPr>
          <w:rFonts w:ascii="Times New Roman;sans-serif" w:hAnsi="Times New Roman;sans-serif"/>
          <w:b/>
          <w:color w:val="000000"/>
          <w:sz w:val="20"/>
        </w:rPr>
        <w:t xml:space="preserve">Contingent Redemption </w:t>
      </w:r>
      <w:r>
        <w:rPr>
          <w:rFonts w:ascii="Times New Roman;sans-serif" w:hAnsi="Times New Roman;sans-serif"/>
          <w:b w:val="false"/>
          <w:color w:val="000000"/>
          <w:sz w:val="20"/>
        </w:rPr>
        <w:t xml:space="preserve">- With certain exceptions, upon the occurrence of certain events and fundamental changes described in the AFG Convertible Notes Agreement, the holders of the AFG Convertible Notes may require that the Company repurchase all or part of the principal amount of the AFG Convertible Notes at a purchase price of 100% of the principal amount of the AFG Convertible Notes, plus accrued and unpaid interest. </w:t>
      </w:r>
    </w:p>
    <w:p>
      <w:pPr>
        <w:pStyle w:val="TextBody"/>
        <w:bidi w:val="0"/>
        <w:spacing w:lineRule="auto" w:line="288" w:before="160" w:after="1"/>
        <w:jc w:val="both"/>
        <w:rPr/>
      </w:pPr>
      <w:r>
        <w:rPr>
          <w:rFonts w:ascii="Times New Roman;sans-serif" w:hAnsi="Times New Roman;sans-serif"/>
          <w:b/>
          <w:color w:val="000000"/>
          <w:sz w:val="20"/>
        </w:rPr>
        <w:t xml:space="preserve">Embedded Derivative </w:t>
      </w:r>
      <w:r>
        <w:rPr>
          <w:rFonts w:ascii="Times New Roman;sans-serif" w:hAnsi="Times New Roman;sans-serif"/>
          <w:b w:val="false"/>
          <w:color w:val="000000"/>
          <w:sz w:val="20"/>
        </w:rPr>
        <w:t>- The Conversion Option includes an exercise contingency, which requires the Company to obtain shareholder approval for conversions subject to the Exchange Cap. If shareholder approval is not obtained, following commercially reasonable efforts, the Company will be required to settle the conversion in excess of the Exchange Cap in cash. Since settlement in cash may be required in absence of shareholder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unaudited condensed consolidated statements of operations and comprehensive income (loss).</w:t>
      </w:r>
    </w:p>
    <w:p>
      <w:pPr>
        <w:pStyle w:val="TextBody"/>
        <w:bidi w:val="0"/>
        <w:spacing w:lineRule="auto" w:line="288" w:before="160" w:after="283"/>
        <w:jc w:val="both"/>
        <w:rPr/>
      </w:pPr>
      <w:r>
        <w:rPr>
          <w:rFonts w:ascii="Times New Roman;sans-serif" w:hAnsi="Times New Roman;sans-serif"/>
          <w:b w:val="false"/>
          <w:color w:val="000000"/>
          <w:sz w:val="20"/>
        </w:rPr>
        <w:t xml:space="preserve">The embedded derivative is presented on the unaudited condensed consolidated balance sheet as a component of Convertible notes payable - related party. The fair value of the embedded derivative was $14,583 at September 30, 2023. The gain (loss) from the change in fair value of the embedded derivative for the three and nine months ended September 30, 2023 amounted to $24,208 and $(8,132), respectively. See Note 14,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for the assumptions used to determine the fair value of the embedded derivative as of September 30, 2023 and as of the date of issuance.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AFG Convertible Notes at issuance was $16,623, which was greater than the proceeds received. The Company recorded the difference of $2,873 as interest expense on the unaudited condensed consolidated statement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AFG Convertible Notes is as follows:</w:t>
      </w:r>
    </w:p>
    <w:tbl>
      <w:tblPr>
        <w:tblW w:w="7091" w:type="dxa"/>
        <w:jc w:val="left"/>
        <w:tblInd w:w="0" w:type="dxa"/>
        <w:tblLayout w:type="fixed"/>
        <w:tblCellMar>
          <w:top w:w="28" w:type="dxa"/>
          <w:left w:w="28" w:type="dxa"/>
          <w:bottom w:w="28" w:type="dxa"/>
          <w:right w:w="28" w:type="dxa"/>
        </w:tblCellMar>
      </w:tblPr>
      <w:tblGrid>
        <w:gridCol w:w="1085"/>
        <w:gridCol w:w="954"/>
        <w:gridCol w:w="960"/>
        <w:gridCol w:w="433"/>
        <w:gridCol w:w="1264"/>
        <w:gridCol w:w="223"/>
        <w:gridCol w:w="109"/>
        <w:gridCol w:w="109"/>
        <w:gridCol w:w="109"/>
        <w:gridCol w:w="397"/>
        <w:gridCol w:w="1159"/>
        <w:gridCol w:w="289"/>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for the AFG Convertible Notes is as follows:</w:t>
      </w:r>
    </w:p>
    <w:tbl>
      <w:tblPr>
        <w:tblW w:w="4574" w:type="dxa"/>
        <w:jc w:val="left"/>
        <w:tblInd w:w="0" w:type="dxa"/>
        <w:tblLayout w:type="fixed"/>
        <w:tblCellMar>
          <w:top w:w="28" w:type="dxa"/>
          <w:left w:w="28" w:type="dxa"/>
          <w:bottom w:w="28" w:type="dxa"/>
          <w:right w:w="28" w:type="dxa"/>
        </w:tblCellMar>
      </w:tblPr>
      <w:tblGrid>
        <w:gridCol w:w="1000"/>
        <w:gridCol w:w="876"/>
        <w:gridCol w:w="883"/>
        <w:gridCol w:w="352"/>
        <w:gridCol w:w="1204"/>
        <w:gridCol w:w="259"/>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conversion feature</w:t>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26,091 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obligated to repay all contractual interest attributable to the AFG Convertible Notes in-kind on a semi-annual basis, in accordance with the terms of the Investment Agreement. Therefore, as of September 30, 2023, interest payable attributable to the AFG Convertible Notes was $1,020.</w:t>
      </w:r>
    </w:p>
    <w:p>
      <w:pPr>
        <w:pStyle w:val="TextBody"/>
        <w:bidi w:val="0"/>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Term Loan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July 29, 2022, the Company entered into a $100,000 Senior Secured Term Loan Credit Agreement with Atlas Credit Partners (ACP) Post Oak Credit I LLC., as administrative agent for the lenders and collateral agent for the secured parties. As of September 30, 2023, the Company had total borrowings of $100,000 under the Senior Secured Term Loan.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Term Loan is scheduled to mature on the earlier of (i) July 29, 2026, and (ii) 91 days prior to the current maturity date of the 2021 Convertible Notes of June 30, 2026. The Company has the right at any time to prepay any Borrowing in whole or in part in an amount of not less than $500.</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principal balance of the Senior Secured Term Loan bears interest, at the applicable margin plus, at the Company’s election, either (i) the benchmark secured overnight financing rate (“SOFR”), which is a per annum rate equal to (y) the Adjusted Term SOFR (as defined in the agreement) plus 0.2616%, or (ii) the alternate base rate (“ABR”), which is a per annum rate equal to the greatest of (x) the Prime Rate (as defined in the agreement), (y) the NYFRB Rate (as defined in the agreement) plus 0.5% and (z) the SOFR. The applicable margin under the Credit Agreement is 8.5% per annum with respect to SOFR loans, and 7.5% per annum with respect to ABR loans. Interest on the Senior Secured Term Loan accrues at a variable interest rate, and interest payments are due quarterly. The Company may elect to convert SOFR Loans to ABR (and ABR Loans to SOFR). As of September 30, 2023, the interest rate in effect for the Senior Secured Term Loan for the third quarter of 2023 interest payment was 14.00%.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repayment of principal prior to the second anniversary of the issuance date is subject to a call premium. The call premium is equal to the present value of all interest payments due through June 30, 2024, calculated using a discount rate equal to the applicable treasury rate as of the repayment date plus 50 basis points. The Company deemed that the fair value of the embedded derivative features which qualify for bifurcation was de minimis.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the Company entered into a Guarantee and Collateral Agreement which secures and guarantees the Senior Secured Term Loan with substantially all the assets of the Company and its subsidiaries, other than the Company’s equity interests in Hi-Power and assets of Hi-Power. Additionally, interest is required to be escrowed in an amount equal to the aggregate amount of the four immediately following interest payments owed on the Loans which was $11,652 at September 30, 2023. This escrowed and restricted cash is presented on a separate line item on the unaudited condensed consolidated balance sheets as long-term restricted cash. </w:t>
      </w:r>
    </w:p>
    <w:p>
      <w:pPr>
        <w:pStyle w:val="TextBody"/>
        <w:bidi w:val="0"/>
        <w:spacing w:lineRule="auto" w:line="288" w:before="160" w:after="283"/>
        <w:jc w:val="both"/>
        <w:rPr/>
      </w:pPr>
      <w:r>
        <w:rPr>
          <w:rFonts w:ascii="Times New Roman;sans-serif" w:hAnsi="Times New Roman;sans-serif"/>
          <w:b w:val="false"/>
          <w:color w:val="000000"/>
          <w:sz w:val="20"/>
        </w:rPr>
        <w:t xml:space="preserve">The agreements also contain customary affirmative and negative covenants. They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Furthermore, the limitation on the Company’s ability to incur indebtedness also requires payment of principal and interest in kind on the 2021 Convertible Notes. While the Company was in compliance with this covenant as of September 30, 2023 and currently expects to remain in compliance as of December 31, 2023, absent the Company’s ability to secure additional outside capital, the Company may be unable to remain in compliance with this covenant beginning on March 31, 2024 and thereafter (see Note 1, </w:t>
      </w: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interest expense recognized:</w:t>
      </w:r>
    </w:p>
    <w:tbl>
      <w:tblPr>
        <w:tblW w:w="7874" w:type="dxa"/>
        <w:jc w:val="left"/>
        <w:tblInd w:w="0" w:type="dxa"/>
        <w:tblLayout w:type="fixed"/>
        <w:tblCellMar>
          <w:top w:w="28" w:type="dxa"/>
          <w:left w:w="28" w:type="dxa"/>
          <w:bottom w:w="28" w:type="dxa"/>
          <w:right w:w="28" w:type="dxa"/>
        </w:tblCellMar>
      </w:tblPr>
      <w:tblGrid>
        <w:gridCol w:w="1085"/>
        <w:gridCol w:w="954"/>
        <w:gridCol w:w="960"/>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Term Loan balance is as follows:</w:t>
      </w:r>
    </w:p>
    <w:tbl>
      <w:tblPr>
        <w:tblW w:w="6625" w:type="dxa"/>
        <w:jc w:val="left"/>
        <w:tblInd w:w="0" w:type="dxa"/>
        <w:tblLayout w:type="fixed"/>
        <w:tblCellMar>
          <w:top w:w="28" w:type="dxa"/>
          <w:left w:w="28" w:type="dxa"/>
          <w:bottom w:w="28" w:type="dxa"/>
          <w:right w:w="28" w:type="dxa"/>
        </w:tblCellMar>
      </w:tblPr>
      <w:tblGrid>
        <w:gridCol w:w="1000"/>
        <w:gridCol w:w="876"/>
        <w:gridCol w:w="883"/>
        <w:gridCol w:w="325"/>
        <w:gridCol w:w="1276"/>
        <w:gridCol w:w="169"/>
        <w:gridCol w:w="109"/>
        <w:gridCol w:w="109"/>
        <w:gridCol w:w="109"/>
        <w:gridCol w:w="313"/>
        <w:gridCol w:w="1228"/>
        <w:gridCol w:w="228"/>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(16,518)</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Equipment Financing facility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The Company has drawn a portion of the facility as follows: </w:t>
      </w:r>
    </w:p>
    <w:tbl>
      <w:tblPr>
        <w:tblW w:w="10205" w:type="dxa"/>
        <w:jc w:val="left"/>
        <w:tblInd w:w="0" w:type="dxa"/>
        <w:tblLayout w:type="fixed"/>
        <w:tblCellMar>
          <w:top w:w="28" w:type="dxa"/>
          <w:left w:w="28" w:type="dxa"/>
          <w:bottom w:w="28" w:type="dxa"/>
          <w:right w:w="28" w:type="dxa"/>
        </w:tblCellMar>
      </w:tblPr>
      <w:tblGrid>
        <w:gridCol w:w="1034"/>
        <w:gridCol w:w="895"/>
        <w:gridCol w:w="882"/>
        <w:gridCol w:w="575"/>
        <w:gridCol w:w="1969"/>
        <w:gridCol w:w="300"/>
        <w:gridCol w:w="188"/>
        <w:gridCol w:w="188"/>
        <w:gridCol w:w="190"/>
        <w:gridCol w:w="579"/>
        <w:gridCol w:w="579"/>
        <w:gridCol w:w="580"/>
        <w:gridCol w:w="188"/>
        <w:gridCol w:w="188"/>
        <w:gridCol w:w="190"/>
        <w:gridCol w:w="424"/>
        <w:gridCol w:w="939"/>
        <w:gridCol w:w="317"/>
      </w:tblGrid>
      <w:tr>
        <w:trPr/>
        <w:tc>
          <w:tcPr>
            <w:tcW w:w="103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 of Draw</w:t>
            </w:r>
          </w:p>
        </w:tc>
        <w:tc>
          <w:tcPr>
            <w:tcW w:w="2844" w:type="dxa"/>
            <w:gridSpan w:val="3"/>
            <w:tcBorders/>
            <w:tcMar>
              <w:top w:w="0" w:type="dxa"/>
              <w:left w:w="0" w:type="dxa"/>
              <w:bottom w:w="0" w:type="dxa"/>
              <w:right w:w="0" w:type="dxa"/>
            </w:tcMar>
            <w:vAlign w:val="center"/>
          </w:tcPr>
          <w:p>
            <w:pPr>
              <w:pStyle w:val="TableContents"/>
              <w:bidi w:val="0"/>
              <w:spacing w:lineRule="auto" w:line="268"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Gross Amount of Initial Draw</w:t>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73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Coupon Interest Rate</w:t>
            </w:r>
          </w:p>
        </w:tc>
        <w:tc>
          <w:tcPr>
            <w:tcW w:w="566"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w:t>
            </w:r>
          </w:p>
        </w:tc>
        <w:tc>
          <w:tcPr>
            <w:tcW w:w="2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Equipment Financing loans</w:t>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equipment facility’s unused commitment of $13,784 expired.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total equipment financing debt outstanding was $6,467 and $8,577, respectively of which $3,211 and $2,872 are recorded as a current liability on the unaudited condensed consolidated balance sheets, respectively. The Company recognized $265 and $190 for the three months ended September 30, 2023 and 2022, and $874 and $615 for the nine months ended September 30, 2023 and 2022 as interest expense attributable to the equipment financing agreement,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13. Warrants Liability - Related Party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issued private placement warrants to purchase shares of common stock to the sponsor of B. Riley Principal Merger Corp. II (“BMRG”) in conjunction with its initial public offering in 2020 (the “IPO warrants”). As of September 30, 2023 and December 31, 2022, BMRG had 274,400 and 325,000 IPO warrants outstanding, respectively, with fair values of $114 and $78, respectively.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issued 16,000,000 shares of common stock and 16,000,000 private placement warrants to purchase shares of common stock, and in May 2023, the Company issued another 3,601,980 shares of common stock and 3,601,980 private placement warrants to purchase shares of common stock. The proceeds from the April 2023 and May 2023 Transactions were $40,000, and $8,000, respectively. The fair value of the warrants and common stock for the April 2023 and May 2023 Transactions at issuance was $66,366 and $13,267, respectively, which was greater than the proceeds. As such, the Company recorded the excess as losses in the amounts of $26,366 and $5,267, respectively, as a component of (loss) gain on change in fair value of derivatives - related party in the Company’s unaudited condensed consolidated statements of operations and comprehensive income (loss).</w:t>
      </w:r>
    </w:p>
    <w:p>
      <w:pPr>
        <w:pStyle w:val="TextBody"/>
        <w:bidi w:val="0"/>
        <w:spacing w:lineRule="auto" w:line="288" w:before="160" w:after="283"/>
        <w:jc w:val="both"/>
        <w:rPr/>
      </w:pPr>
      <w:r>
        <w:rPr>
          <w:rFonts w:ascii="Times New Roman;sans-serif" w:hAnsi="Times New Roman;sans-serif"/>
          <w:b w:val="false"/>
          <w:color w:val="000000"/>
          <w:sz w:val="20"/>
        </w:rPr>
        <w:t xml:space="preserve">The warrants issued as part of the April 2023 Transaction and May 2023 Transaction (“April 2023 warrants” and “May 2023 warrants”, respectively) are classified as Level 3 financial instruments in the fair value hierarchy (refer to Note 15,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As of September 30, 2023, the April 2023 and May 2023 warrants were outstanding with fair values of $18,415 and $4,425, 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all warrants in aggregate, the change in fair value for the three and nine months ended September 30, 2023 amounted to decreases in the liability of $34,406 and $6,677, respectively. The change in fair value for the three and nine months ended September 30, 2022 amounted to $(47) and $790, respectively. These changes have been recognized in (loss) gain on change in fair value of derivatives - related party in the Company’s unaudited condensed consolidated statements of operations and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14. Fair Value Measurement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of cash and cash equivalents, restricted cash, accounts receivable, notes receivable, contract assets, accounts payable, warrants, convertible notes payable — related party, contract liabilities and long-term debt.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establish a hierarchy, which prioritizes the inputs to valuation techniques used to measure fair value into three levels. The fair value hierarchy gives the highest priority to quoted market prices (unadjusted) in active markets for identical assets or liabilities (Level 1) and the lowest priority to unobservable inputs (Level 3). Level 2 inputs are inputs other than quoted prices included within Level 1 that are observable for the asset or liability, either directly or indirectly.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the exercise of this judgment may affect the valuation of the fair value of assets and liabilities and their placement within the fair value hierarchy levels.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restricted cash, accounts receivable, contract assets, contract liabilities and accounts payable are considered to be representative of their fair value due to the short maturity of these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14. Fair Value Measurement</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values of certain liabilities that are included within the Company’s accompanying unaudited condensed consolidated balance sheets, and their designations among the three fair value measurement categories:</w:t>
      </w:r>
    </w:p>
    <w:tbl>
      <w:tblPr>
        <w:tblW w:w="8745" w:type="dxa"/>
        <w:jc w:val="left"/>
        <w:tblInd w:w="0" w:type="dxa"/>
        <w:tblLayout w:type="fixed"/>
        <w:tblCellMar>
          <w:top w:w="28" w:type="dxa"/>
          <w:left w:w="28" w:type="dxa"/>
          <w:bottom w:w="28" w:type="dxa"/>
          <w:right w:w="28" w:type="dxa"/>
        </w:tblCellMar>
      </w:tblPr>
      <w:tblGrid>
        <w:gridCol w:w="760"/>
        <w:gridCol w:w="667"/>
        <w:gridCol w:w="673"/>
        <w:gridCol w:w="213"/>
        <w:gridCol w:w="411"/>
        <w:gridCol w:w="110"/>
        <w:gridCol w:w="109"/>
        <w:gridCol w:w="109"/>
        <w:gridCol w:w="109"/>
        <w:gridCol w:w="211"/>
        <w:gridCol w:w="466"/>
        <w:gridCol w:w="109"/>
        <w:gridCol w:w="109"/>
        <w:gridCol w:w="109"/>
        <w:gridCol w:w="109"/>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61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15"/>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15"/>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Warrants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xml:space="preserve">Embedded derivatives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Warrants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IPO warrants are classified as Level 2 financial instruments in the table above. They are valued on the basis of the quoted price of the Company’s public warrants, adjusted for insignificant difference between the public warrants and the private placement warrants.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April 2023 warrants and May 2023 warrants are classified as Level 3 financial instruments in the table above. The Company estimated the fair value of the April 2023 warrants and May 2023 warrants using the Black-Scholes model at inception and on subsequent valuation dates. This model incorporates inputs such as the stock price of the Company, risk-free interest rate, volatility, and time to expiration. The volatility involves unobservable inputs classified as Level 3 of the fair value hierarchy. The assumptions used to determine the fair value of the April 2023 and May 2023 warrants are as follows:</w:t>
      </w:r>
    </w:p>
    <w:tbl>
      <w:tblPr>
        <w:tblW w:w="5785" w:type="dxa"/>
        <w:jc w:val="left"/>
        <w:tblInd w:w="0" w:type="dxa"/>
        <w:tblLayout w:type="fixed"/>
        <w:tblCellMar>
          <w:top w:w="28" w:type="dxa"/>
          <w:left w:w="28" w:type="dxa"/>
          <w:bottom w:w="28" w:type="dxa"/>
          <w:right w:w="28" w:type="dxa"/>
        </w:tblCellMar>
      </w:tblPr>
      <w:tblGrid>
        <w:gridCol w:w="668"/>
        <w:gridCol w:w="587"/>
        <w:gridCol w:w="589"/>
        <w:gridCol w:w="375"/>
        <w:gridCol w:w="911"/>
        <w:gridCol w:w="484"/>
        <w:gridCol w:w="109"/>
        <w:gridCol w:w="109"/>
        <w:gridCol w:w="109"/>
        <w:gridCol w:w="373"/>
        <w:gridCol w:w="908"/>
        <w:gridCol w:w="563"/>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April 2023 warrants</w:t>
            </w:r>
          </w:p>
        </w:tc>
        <w:tc>
          <w:tcPr>
            <w:tcW w:w="177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April 12, 2023</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years</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May 2023 warrants</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May 15, 2023</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to expiration</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years</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price</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embedded conversion features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The assumptions used to determine the fair value of the embedded derivative liabilities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14. Fair Value Measurement</w:t>
      </w:r>
      <w:r>
        <w:rPr>
          <w:color w:val="000000"/>
        </w:rPr>
        <w:t xml:space="preserve"> </w:t>
      </w:r>
      <w:r>
        <w:rPr>
          <w:rFonts w:ascii="Times New Roman;sans-serif" w:hAnsi="Times New Roman;sans-serif"/>
          <w:b w:val="false"/>
          <w:color w:val="000000"/>
          <w:sz w:val="20"/>
        </w:rPr>
        <w:t>(cont.)</w:t>
      </w:r>
    </w:p>
    <w:tbl>
      <w:tblPr>
        <w:tblW w:w="6700" w:type="dxa"/>
        <w:jc w:val="left"/>
        <w:tblInd w:w="0" w:type="dxa"/>
        <w:tblLayout w:type="fixed"/>
        <w:tblCellMar>
          <w:top w:w="28" w:type="dxa"/>
          <w:left w:w="28" w:type="dxa"/>
          <w:bottom w:w="28" w:type="dxa"/>
          <w:right w:w="28" w:type="dxa"/>
        </w:tblCellMar>
      </w:tblPr>
      <w:tblGrid>
        <w:gridCol w:w="1027"/>
        <w:gridCol w:w="901"/>
        <w:gridCol w:w="906"/>
        <w:gridCol w:w="394"/>
        <w:gridCol w:w="394"/>
        <w:gridCol w:w="982"/>
        <w:gridCol w:w="109"/>
        <w:gridCol w:w="109"/>
        <w:gridCol w:w="109"/>
        <w:gridCol w:w="360"/>
        <w:gridCol w:w="360"/>
        <w:gridCol w:w="1049"/>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2021 Convertible Notes Payable</w:t>
            </w:r>
          </w:p>
        </w:tc>
        <w:tc>
          <w:tcPr>
            <w:tcW w:w="177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debt yield</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AFG Convertible Notes Payable</w:t>
            </w:r>
          </w:p>
        </w:tc>
        <w:tc>
          <w:tcPr>
            <w:tcW w:w="1770"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January 18, 2023</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debt yield</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Level 3 liabilities are measured at fair value on a recurring basis using significant unobservable inputs. The following table summarizes the changes in the fair value of liabilities that are included within the Company’s accompanying unaudited condensed consolidated balance sheets and are designated as Level 3:</w:t>
      </w:r>
    </w:p>
    <w:tbl>
      <w:tblPr>
        <w:tblW w:w="10205" w:type="dxa"/>
        <w:jc w:val="left"/>
        <w:tblInd w:w="0" w:type="dxa"/>
        <w:tblLayout w:type="fixed"/>
        <w:tblCellMar>
          <w:top w:w="28" w:type="dxa"/>
          <w:left w:w="28" w:type="dxa"/>
          <w:bottom w:w="28" w:type="dxa"/>
          <w:right w:w="28" w:type="dxa"/>
        </w:tblCellMar>
      </w:tblPr>
      <w:tblGrid>
        <w:gridCol w:w="1845"/>
        <w:gridCol w:w="1623"/>
        <w:gridCol w:w="1651"/>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84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3</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Embedded derivatives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derivatives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Warrants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change in fair value of derivatives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14. Fair Value Measurement</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financial instruments not carried at fair value in the unaudited condensed consolidated balance sheets was as follows:</w:t>
      </w:r>
    </w:p>
    <w:tbl>
      <w:tblPr>
        <w:tblW w:w="10205" w:type="dxa"/>
        <w:jc w:val="left"/>
        <w:tblInd w:w="0" w:type="dxa"/>
        <w:tblLayout w:type="fixed"/>
        <w:tblCellMar>
          <w:top w:w="28" w:type="dxa"/>
          <w:left w:w="28" w:type="dxa"/>
          <w:bottom w:w="28" w:type="dxa"/>
          <w:right w:w="28" w:type="dxa"/>
        </w:tblCellMar>
      </w:tblPr>
      <w:tblGrid>
        <w:gridCol w:w="736"/>
        <w:gridCol w:w="597"/>
        <w:gridCol w:w="604"/>
        <w:gridCol w:w="660"/>
        <w:gridCol w:w="660"/>
        <w:gridCol w:w="662"/>
        <w:gridCol w:w="109"/>
        <w:gridCol w:w="109"/>
        <w:gridCol w:w="109"/>
        <w:gridCol w:w="242"/>
        <w:gridCol w:w="950"/>
        <w:gridCol w:w="125"/>
        <w:gridCol w:w="109"/>
        <w:gridCol w:w="109"/>
        <w:gridCol w:w="109"/>
        <w:gridCol w:w="211"/>
        <w:gridCol w:w="826"/>
        <w:gridCol w:w="109"/>
        <w:gridCol w:w="109"/>
        <w:gridCol w:w="109"/>
        <w:gridCol w:w="109"/>
        <w:gridCol w:w="242"/>
        <w:gridCol w:w="950"/>
        <w:gridCol w:w="125"/>
        <w:gridCol w:w="109"/>
        <w:gridCol w:w="109"/>
        <w:gridCol w:w="109"/>
        <w:gridCol w:w="211"/>
        <w:gridCol w:w="826"/>
        <w:gridCol w:w="161"/>
      </w:tblGrid>
      <w:tr>
        <w:trPr/>
        <w:tc>
          <w:tcPr>
            <w:tcW w:w="73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37" w:type="dxa"/>
            <w:gridSpan w:val="3"/>
            <w:tcBorders/>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c>
          <w:tcPr>
            <w:tcW w:w="19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in 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w:t>
            </w:r>
          </w:p>
        </w:tc>
        <w:tc>
          <w:tcPr>
            <w:tcW w:w="1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Convertible Notes*</w:t>
            </w:r>
          </w:p>
        </w:tc>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Term Loan </w:t>
            </w:r>
          </w:p>
        </w:tc>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Notes*</w:t>
            </w:r>
          </w:p>
        </w:tc>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w:t>
            </w:r>
          </w:p>
        </w:tc>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Yorkville Convertible Notes*</w:t>
            </w:r>
          </w:p>
        </w:tc>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208,127 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176,694 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*Includes the embedded derivative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Commitments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 commitments under lease agreements. As of September 30, 2023, future lease payments amounted to $5,736.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Minimum Volume Commitment</w:t>
      </w:r>
    </w:p>
    <w:p>
      <w:pPr>
        <w:pStyle w:val="TextBody"/>
        <w:bidi w:val="0"/>
        <w:spacing w:lineRule="auto" w:line="288" w:before="160" w:after="283"/>
        <w:jc w:val="both"/>
        <w:rPr/>
      </w:pPr>
      <w:r>
        <w:rPr>
          <w:rFonts w:ascii="Times New Roman;sans-serif" w:hAnsi="Times New Roman;sans-serif"/>
          <w:b w:val="false"/>
          <w:color w:val="000000"/>
          <w:sz w:val="20"/>
        </w:rPr>
        <w:t>In June 2022, the Company entered into a long-term supply agreement with a minimum volume commitment with a third party, which provides services to process certain raw materials. Any purchase order issued under this supply agreement will be non-cancellable. To the extent the Company fails to order the guaranteed minimum volume defined in the contract at the end of the term, the Company is required to pay the counterparty an amount equal to the shortfall, if any, multiplied by a fee.</w:t>
      </w:r>
      <w:r>
        <w:rPr>
          <w:color w:val="000000"/>
        </w:rPr>
        <w:t xml:space="preserve"> </w:t>
      </w:r>
      <w:r>
        <w:rPr>
          <w:rFonts w:ascii="Times New Roman;sans-serif" w:hAnsi="Times New Roman;sans-serif"/>
          <w:b w:val="false"/>
          <w:color w:val="000000"/>
          <w:sz w:val="20"/>
        </w:rPr>
        <w:t>As of September 30, 2023, the Company had open purchase commitments of $148 under this agreement. The Company believes it will meet the minimum volume commitment and no shortfall penalty has been accrued as of as of September 30, 2023.</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Delaware Section 205 Petition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12, 2020, BMRG, the predecessor to the Company, held a special meeting of stockholders (the “BMRG Special Meeting”) to approve certain matters relating to the business combination between BMRG and Eos Energy Storage LLC.</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of these matters was a proposal to amend and restate BMRG’s certificate of incorporation in order to, among other things, increase the number of authorized shares of common stock from 125,000,000 shares of common stock, consisting of 100,000,000 shares of Class A common stock and 25,000,000 shares of Class B common stock, to 200,000,000 shares of common stock, and to reclassify all Class A common stock and Class B common stock as a single class of common stock (the “Charter Amendment Proposal”). The Charter Amendment Proposal was approved by a majority of the outstanding shares of Class A common stock and Class B common stock of BMRG as of the record date for the BMRG Special Meeting, voting together as a single class, although voting records indicate that a majority of each of the shares of Class A common stock and Class B common stock also approved the Charter Amendment Proposal. After the BMRG Special Meeting, BMRG and Eos Energy Storage LLC closed the business combination and the Company’s certificate of incorporation, as amended to give effect to the Charter Amendment Proposal, became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15. Commitments and Contingencies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recent ruling by the Delaware Court of Chancery introduced uncertainty as to whether Section 242(b)(2) of the Delaware General Corporation Law (the “DGCL”) would have required the Charter Amendment Proposal to be approved by separate votes of the majority of BMRG’s then-outstanding shares of Class A common stock and Class B common stock. To resolve potential uncertainty with respect to the Company’s capital structure, the Company filed a petition in the Delaware Court of Chancery under Section 205 of the DGCL to seek validation of the Charter Amendment Proposal. Section 205 of the DGCL permits the Court of Chancery, in its discretion, to ratify and validate potentially defective corporate acts.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2023, the Court of Chancery approved the Company’s request for relief and entered an order under Section 205 of the Delaware General Corporation Law (1) declaring the Company’s Third Amended and Restated Certificate of Incorporation (the “Charter”), including the filing and effectiveness thereof, as validated and effective retroactive to the date of its filing with the Office of the Secretary of State of the State of Delaware on November 16, 2020, and all amendments effected thereby and (2) ordering that the Company’s securities (and the issuance of the securities) described in the Petition and any other securities issued in reliance on the validity of the Charter are validated and declared effective, each as of the original issuance dates.</w:t>
      </w:r>
    </w:p>
    <w:p>
      <w:pPr>
        <w:pStyle w:val="TextBody"/>
        <w:bidi w:val="0"/>
        <w:spacing w:lineRule="auto" w:line="288" w:before="1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Class Action Complaints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2023, Plaintiff Richard Delman filed a class action complaint (the “March Complaint”) in the Court of Chancery of the State of Delaware. The March Complaint names certain of the Company’s former directors as defendants. Neither the Company nor Eos Energy Storage LLC was named as a defendant in the March Complaint, but each was identified as a relevant non-party and the Company owes certain indemnification obligations relating to the lawsuit to the Company’s former directors. Although the Company is unable to predict the final outcome or estimate a potential range of loss at this stage of the proceedings, the Company accrued $722 for the probable loss included in accrued expenses on the condensed consolidated balance sheets as of September 30, 2023. </w:t>
      </w:r>
    </w:p>
    <w:p>
      <w:pPr>
        <w:pStyle w:val="TextBody"/>
        <w:bidi w:val="0"/>
        <w:spacing w:lineRule="auto" w:line="288" w:before="160" w:after="283"/>
        <w:jc w:val="both"/>
        <w:rPr/>
      </w:pPr>
      <w:r>
        <w:rPr>
          <w:rFonts w:ascii="Times New Roman;sans-serif" w:hAnsi="Times New Roman;sans-serif"/>
          <w:b w:val="false"/>
          <w:color w:val="000000"/>
          <w:sz w:val="20"/>
        </w:rPr>
        <w:t>On August 1, 2023, a class action complaint was filed against the Company, its Chief Executive Officer, its Chief Financial Officer, and its former Chief Financial Officer (the “August Complaint”) in the United States District Court, District of New Jersey. The August Complaint asserts violations of the federal securities laws in connection with statements and alleged omissions relating to the Company’s business, prospects and reported backlog</w:t>
      </w:r>
      <w:r>
        <w:rPr>
          <w:rFonts w:ascii="Times New Roman;sans-serif" w:hAnsi="Times New Roman;sans-serif"/>
          <w:b w:val="false"/>
          <w:color w:val="444444"/>
          <w:sz w:val="20"/>
          <w:shd w:fill="FFFFFF" w:val="clear"/>
        </w:rPr>
        <w:t xml:space="preserve">. </w:t>
      </w:r>
      <w:r>
        <w:rPr>
          <w:rFonts w:ascii="Times New Roman;sans-serif" w:hAnsi="Times New Roman;sans-serif"/>
          <w:b w:val="false"/>
          <w:color w:val="000000"/>
          <w:sz w:val="20"/>
        </w:rPr>
        <w:t>The Company believes the August Complaint is without merit and intends to vigorously defend against this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16. Stock-Based Compensation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stock-based compensation expense is associated with restricted stock units (“RSU”s) and stock options. Stock-based compensation expense is recognized on a straight-line basis over the requisite service period of the award, which is generally the award vesting term. Stock options generally have a term of five to ten years and vest over periods ranging from three months to five years. RSUs generally vest over periods from three to four years. For awards with performance conditions, stock-based compensation expense is recognized on a straight-line basis based on management’s estimation of achievement of performance conditions. The estimated performance conditions primarily relate to achievement of sales and financing targets. In June 2023, the Company modified 550,000 performance-based stock options that were issued in June 2022 and December 2022 by extending the period to meet certain performance conditions. During the three months ended September 30, 2023, all performance conditions were met for these 550,000 options, therefore accelerating the vesting and respective expense.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the unaudited condensed consolidated statements of operations and comprehensive income (loss) was as follows:</w:t>
      </w:r>
    </w:p>
    <w:tbl>
      <w:tblPr>
        <w:tblW w:w="6855" w:type="dxa"/>
        <w:jc w:val="left"/>
        <w:tblInd w:w="0" w:type="dxa"/>
        <w:tblLayout w:type="fixed"/>
        <w:tblCellMar>
          <w:top w:w="28" w:type="dxa"/>
          <w:left w:w="28" w:type="dxa"/>
          <w:bottom w:w="28" w:type="dxa"/>
          <w:right w:w="28" w:type="dxa"/>
        </w:tblCellMar>
      </w:tblPr>
      <w:tblGrid>
        <w:gridCol w:w="678"/>
        <w:gridCol w:w="596"/>
        <w:gridCol w:w="601"/>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 September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16. Stock-Based Compensation </w:t>
      </w:r>
      <w:r>
        <w:rPr>
          <w:rFonts w:ascii="Times New Roman;sans-serif" w:hAnsi="Times New Roman;sans-serif"/>
          <w:b w:val="false"/>
          <w:color w:val="000000"/>
          <w:sz w:val="20"/>
        </w:rPr>
        <w:t>(cont.)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compensation expense has been recorded in cost of goods sold, research and development expenses, and selling, general and administrative expenses.</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total unrecognized compensation expense was $18,489 of which $17,860 was attributable to unvested RSUs and $629 was attributable to unvested stock options. Compensation expense for these unvested awards is expected to be recognized over a weighted-average remaining vesting period of 0.4 years for stock options and 2.2 years for RSUs.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17. Income Taxes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income tax expense was $13 and $25, respectively, related to taxable earnings from the Company’s foreign operations. For the three and nine months ended September 30, 2022, income tax expense was $110 and $45, respectively. The income tax expense differs from the amount computed by applying the statutory U.S. federal income tax rate of 21% to the loss before income taxes. This is due to non-taxable income, foreign operations, and pre-tax losses for which no tax benefit can be recognized for U.S. income tax purposes.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and applies the annual effective tax rate to its ordinary earnings each interim period. Any significant unusual or infrequent items, if any, are not included in the estimation of the annual effective tax rate. Rather, these items and their related income tax expense are separately stated in the interim period in which they occur. The quarterly estimate of the annual effective tax rate and related tax expense is subject to variation due to a multitude of factors. Factors may include, but are not limited to, the inability to accurately predict the Company’s pre-tax and taxable income and loss.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September 30, 2023 and December 31, 2022 due to cumulative losses. Therefore, the Company has a valuation allowance against its net U.S. deferred tax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has unrecognized tax benefits associated with uncertain tax positions that, if recognized, would not affect the effective tax rate on income from continuing operations. The Company is not currently under examination by any taxing jurisdiction, and none of the uncertain tax positions are expected to reverse within the next 12 months.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files income tax returns in U.S. federal and various state jurisdictions, as well as Italy and India. The open tax years for federal returns are 2019 and forward, and open tax years for state returns are generally 2018 and forward. In addition, net operating losses generated in closed years and utilized in open years are subject to adjustment by the tax authorities.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President Biden signed the Inflation Reduction Act of 2022 into law. There are two major corporate tax provisions included in the Act. In general, the IRA creates a 15% corporate alternative minimum tax (“CAMT”) on any corporation that has (or has had) average annual “adjusted financial statement income” for a three-year period preceding the tax year that exceeds $1 billion. The CAMT is effective for tax years beginning after December 31, 2022. The IRA also imposes on publicly traded U.S. corporations a 1% excise tax on certain repurchases of their stock. The excise tax is effective for stock repurchases after December 31, 2022. The Company does not expect the aforementioned provisions in the IRA to have any material impact on the Company’s unaudited condensed consolidated financial statements. </w:t>
      </w:r>
    </w:p>
    <w:p>
      <w:pPr>
        <w:pStyle w:val="TextBody"/>
        <w:bidi w:val="0"/>
        <w:spacing w:lineRule="auto" w:line="288" w:before="160" w:after="283"/>
        <w:jc w:val="both"/>
        <w:rPr/>
      </w:pPr>
      <w:r>
        <w:rPr>
          <w:rFonts w:ascii="Times New Roman;sans-serif" w:hAnsi="Times New Roman;sans-serif"/>
          <w:b w:val="false"/>
          <w:color w:val="000000"/>
          <w:sz w:val="20"/>
        </w:rPr>
        <w:t xml:space="preserve">In addition to the CAMT discussed above, the IRA has production tax credits that are discussed in Note 10, </w:t>
      </w:r>
      <w:r>
        <w:rPr>
          <w:rFonts w:ascii="Times New Roman;sans-serif" w:hAnsi="Times New Roman;sans-serif"/>
          <w:b w:val="false"/>
          <w:i/>
          <w:color w:val="000000"/>
          <w:sz w:val="20"/>
        </w:rPr>
        <w:t>Government Grants.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18. Shareholders’ Deficit</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Preferred Stock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1,000,000 shares of preferred stock with such designations, voting and other rights and preferences as may be determined from time to time by the Company’s Board of Directors. At September 30, 2023 and December 31, 2022, there were no shares of preferred stock issued or outstanding.</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300,000,000 shares of common stock at $0.0001 par value. The holders of the Company’s common stock are entitled to one vote for each share held. At September 30, 2023 and December 31, 2022, there were 156,378,778 and 82,653,781 shares of common stock issued and outstanding.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April 2023 Transaction and May 2023 Transactions</w:t>
      </w:r>
    </w:p>
    <w:p>
      <w:pPr>
        <w:pStyle w:val="TextBody"/>
        <w:bidi w:val="0"/>
        <w:spacing w:lineRule="auto" w:line="288" w:before="160" w:after="283"/>
        <w:jc w:val="both"/>
        <w:rPr/>
      </w:pPr>
      <w:r>
        <w:rPr>
          <w:rFonts w:ascii="Times New Roman;sans-serif" w:hAnsi="Times New Roman;sans-serif"/>
          <w:b w:val="false"/>
          <w:color w:val="000000"/>
          <w:sz w:val="20"/>
        </w:rPr>
        <w:t xml:space="preserve">As discussed in Note 13, </w:t>
      </w:r>
      <w:r>
        <w:rPr>
          <w:rFonts w:ascii="Times New Roman;sans-serif" w:hAnsi="Times New Roman;sans-serif"/>
          <w:b w:val="false"/>
          <w:i/>
          <w:color w:val="000000"/>
          <w:sz w:val="20"/>
        </w:rPr>
        <w:t>Warrants Liability - Related Party,</w:t>
      </w:r>
      <w:r>
        <w:rPr>
          <w:color w:val="000000"/>
        </w:rPr>
        <w:t xml:space="preserve"> </w:t>
      </w:r>
      <w:r>
        <w:rPr>
          <w:rFonts w:ascii="Times New Roman;sans-serif" w:hAnsi="Times New Roman;sans-serif"/>
          <w:b w:val="false"/>
          <w:color w:val="000000"/>
          <w:sz w:val="20"/>
        </w:rPr>
        <w:t>the April 2023 Transaction consisted of issuance of 16,000,000 shares of common stock at a price of $2.50 per share. The Company also issued 16,000,000 private placement warrants to purchase 16,000,000 shares of common stock. The warrants have an exercise price of $3.14 per share, became exercisable in October 2023 and expire five and one-half years from the date of issuance.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May 2023 Transaction consisted of issuance of 3,601,980 shares of common stock at a price of $2.221 per share. The Company also issued 3,601,980 private placement warrants to purchase 3,601,980 shares of common stock. The warrants have an exercise price of $2.50 per share, and became exercisable in July 2023. The warrants expire five years from the date they were initially exercisable.</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treasury stock of $136 and $77 for the three months ended September 30, 2023 and 2022 and $587 and $929 for the nine months ended September 30, 2023 and 2022 for shares withheld from employees to cover the payroll tax liability of RSUs vested, respectively. The treasury stock was immediately retired.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sold warrants to purchase 9,075,000 shares of the Company’s common stock in a public offering on May 22, 2020 (the “Public Warrants”). Each Public Warrant entitles the holder to purchase a share of common stock at a price of $11.50 per share. There were no Public Warrants exercised during the three and nine months ended September 30, 2023. There were 600 Public Warrants exercised during the three and nine months ended September 30, 2022, respectively. As of September 30, 2023 and December 31, 2022, there were 7,052,254 and 7,001,654 public warrants outstanding, respectively.</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Standby Equity Purchase Agreement </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On April 28, 2022, the Company entered into the SEPA with Yorkville. Pursuant to the SEPA, as amended, the Company has the right, but not the obligation, to sell to Yorkville up to $75,000 of shares of its common stock at the Company’s request at any time during the commitment period, which commenced on April 28, 2022 and will end on the earlier of (i) May 1, 2024, or (ii) the date on which Yorkville shall have made payment of advances requested by the Company totaling up to the commitment amount of $75,000. </w:t>
      </w:r>
      <w:r>
        <w:rPr>
          <w:rFonts w:ascii="Times New Roman;sans-serif" w:hAnsi="Times New Roman;sans-serif"/>
          <w:b w:val="false"/>
          <w:color w:val="000000"/>
          <w:sz w:val="20"/>
        </w:rPr>
        <w:t>Each sale the Company requests under the SEPA (an “Advance”) may be for a number of shares of common stock with an aggregate value of up to $20,000. The SEPA provides for shares to be sold to Yorkville at 97.0% of market price. Pursuant to the terms and conditions set forth in the SEPA, 465,117 shares were issued to Yorkville in April 2022 as consideration for its irrevocable commitment to purchase shares of common stock. The fair value of these shares of $1,061 was recorded as other expense in the unaudited condensed consolidated statements of operations and comprehensive income (loss).</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total funds raised under the SEPA, inclusive of proceeds received from the Yorkville Convertible Promissory Notes, were $35,550. During the nine months ended September 30, 2023, total shares issued under the SEPA were 23,630,937.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18. Shareholders’ Deficit </w:t>
      </w:r>
      <w:r>
        <w:rPr>
          <w:rFonts w:ascii="Times New Roman;sans-serif" w:hAnsi="Times New Roman;sans-serif"/>
          <w:b w:val="false"/>
          <w:color w:val="000000"/>
          <w:sz w:val="20"/>
        </w:rPr>
        <w:t>(cont.)</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total funds raised under the SEPA, inclusive of proceeds received from the Yorkville Convertible Promissory Notes, were $12,350. During the nine months ended September 30, 2022, total shares issued under the SEPA were 7,826,719.</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23, 2023, the Company and Yorkville terminated the SEPA, as amended, by mutual written consent. At the time of termination, there were no outstanding borrowings, advance notices or shares of Common Stock to be issued under the SEPA. In addition, there were no fees due by the Company or Yorkville in connection with the termination of the SEPA.</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At-the-Market Offering Program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5, 2022, the Company entered into the Sales Agreement with Cowen and Company LLC (“Cowen”), with respect to an ATM offering program under which the Company may offer and sell, from time to time at its sole discretion, shares of its common stock, par value $0.0001 per share, having an aggregate offering price of up to $100,000 (the “Placement Shares”) through Cowen as its sales agent and/or principal. On August 23, 2023, Amendment No. 1 to the ATM increased the maximum aggregate offering price from $100,000 to $200,000.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pay Cowen a commission equal to 3.0% of the gross sales proceeds of any Placement Shares sold. The Company will also reimburse Cowen for certain expenses incurred in connection with the Sales Agreement. The Sales Agreement will terminate upon the earlier of (i) the sale of all Placement Shares subject to the Sales Agreement or (ii) termination of the Sales Agreement in accordance with the terms and conditions set forth therein.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Company sold 28,938,944 shares raising proceeds of $81,897, net of fees paid to Cowen, at an average selling price of $2.74 per share.</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19. Earnings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numerators and denominators used in computing basic and diluted net income (loss) per share for the three months ended September 30, 2023 and 2022:</w:t>
      </w:r>
    </w:p>
    <w:tbl>
      <w:tblPr>
        <w:tblW w:w="10205" w:type="dxa"/>
        <w:jc w:val="left"/>
        <w:tblInd w:w="0" w:type="dxa"/>
        <w:tblLayout w:type="fixed"/>
        <w:tblCellMar>
          <w:top w:w="28" w:type="dxa"/>
          <w:left w:w="28" w:type="dxa"/>
          <w:bottom w:w="28" w:type="dxa"/>
          <w:right w:w="28" w:type="dxa"/>
        </w:tblCellMar>
      </w:tblPr>
      <w:tblGrid>
        <w:gridCol w:w="2331"/>
        <w:gridCol w:w="2029"/>
        <w:gridCol w:w="2044"/>
        <w:gridCol w:w="319"/>
        <w:gridCol w:w="1085"/>
        <w:gridCol w:w="162"/>
        <w:gridCol w:w="162"/>
        <w:gridCol w:w="162"/>
        <w:gridCol w:w="162"/>
        <w:gridCol w:w="319"/>
        <w:gridCol w:w="1194"/>
        <w:gridCol w:w="236"/>
      </w:tblGrid>
      <w:tr>
        <w:trPr/>
        <w:tc>
          <w:tcPr>
            <w:tcW w:w="233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September 30,</w:t>
            </w:r>
          </w:p>
        </w:tc>
      </w:tr>
      <w:tr>
        <w:trPr/>
        <w:tc>
          <w:tcPr>
            <w:tcW w:w="6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 (loss) for basic earnings per share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(70,722)</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 of potentially dilutive shares:</w:t>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interest on Convertible Notes</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fair value gains on embedded derivatives for Convertible Notes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for diluted earnings per share</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(70,722)</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Weighted-average basic common shares outstanding</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138,005,222 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63,065,884 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Convertible Notes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14,836,450 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April and May Warrants</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1,344,677 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Restricted Stock Units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1,142,184 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Stock Options</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Weighted-average dilutive common shares outstanding</w:t>
            </w:r>
          </w:p>
        </w:tc>
        <w:tc>
          <w:tcPr>
            <w:tcW w:w="14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156,325,284 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63,065,884 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3" w:type="dxa"/>
        <w:jc w:val="left"/>
        <w:tblInd w:w="0" w:type="dxa"/>
        <w:tblLayout w:type="fixed"/>
        <w:tblCellMar>
          <w:top w:w="28" w:type="dxa"/>
          <w:left w:w="28" w:type="dxa"/>
          <w:bottom w:w="28" w:type="dxa"/>
          <w:right w:w="28" w:type="dxa"/>
        </w:tblCellMar>
      </w:tblPr>
      <w:tblGrid>
        <w:gridCol w:w="651"/>
        <w:gridCol w:w="573"/>
        <w:gridCol w:w="575"/>
        <w:gridCol w:w="211"/>
        <w:gridCol w:w="586"/>
        <w:gridCol w:w="109"/>
        <w:gridCol w:w="109"/>
        <w:gridCol w:w="109"/>
        <w:gridCol w:w="109"/>
        <w:gridCol w:w="211"/>
        <w:gridCol w:w="58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tbl>
      <w:tblPr>
        <w:tblW w:w="8219" w:type="dxa"/>
        <w:jc w:val="left"/>
        <w:tblInd w:w="0" w:type="dxa"/>
        <w:tblLayout w:type="fixed"/>
        <w:tblCellMar>
          <w:top w:w="28" w:type="dxa"/>
          <w:left w:w="28" w:type="dxa"/>
          <w:bottom w:w="28" w:type="dxa"/>
          <w:right w:w="28" w:type="dxa"/>
        </w:tblCellMar>
      </w:tblPr>
      <w:tblGrid>
        <w:gridCol w:w="2633"/>
        <w:gridCol w:w="2311"/>
        <w:gridCol w:w="3275"/>
      </w:tblGrid>
      <w:tr>
        <w:trPr/>
        <w:tc>
          <w:tcPr>
            <w:tcW w:w="263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bidi w:val="0"/>
        <w:spacing w:lineRule="auto" w:line="288" w:before="200" w:after="283"/>
        <w:ind w:left="0" w:right="0" w:hanging="180"/>
        <w:jc w:val="both"/>
        <w:rPr/>
      </w:pPr>
      <w:r>
        <w:rPr>
          <w:rFonts w:ascii="Times New Roman;sans-serif" w:hAnsi="Times New Roman;sans-serif"/>
          <w:b/>
          <w:color w:val="000000"/>
          <w:sz w:val="20"/>
        </w:rPr>
        <w:t xml:space="preserve">19. Earnings Per Share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earnings per share (“EPS”) is calculated by dividing net earnings attributable to common stockholders by the weighted average number of shares of common stock outstanding for the applicable period. Diluted EPS is computed using the treasury stock method for warrants, stock options, and restricted stock units; and the if-converted method for convertible notes.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September 30, 2023, the following potentially dilutive shares were excluded from the calculation of diluted net loss per share because their effect would have been anti-dilutive.</w:t>
      </w:r>
    </w:p>
    <w:tbl>
      <w:tblPr>
        <w:tblW w:w="5501" w:type="dxa"/>
        <w:jc w:val="left"/>
        <w:tblInd w:w="0" w:type="dxa"/>
        <w:tblLayout w:type="fixed"/>
        <w:tblCellMar>
          <w:top w:w="28" w:type="dxa"/>
          <w:left w:w="28" w:type="dxa"/>
          <w:bottom w:w="28" w:type="dxa"/>
          <w:right w:w="28" w:type="dxa"/>
        </w:tblCellMar>
      </w:tblPr>
      <w:tblGrid>
        <w:gridCol w:w="1162"/>
        <w:gridCol w:w="1022"/>
        <w:gridCol w:w="1025"/>
        <w:gridCol w:w="109"/>
        <w:gridCol w:w="109"/>
        <w:gridCol w:w="109"/>
        <w:gridCol w:w="574"/>
        <w:gridCol w:w="574"/>
        <w:gridCol w:w="817"/>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 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7,326,654 </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1,585,056 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the Company incurred a net loss for the three months ended September 30, 2022, as well as the nine months ended September 30, 2023 and 2022, the potential dilutive shares from stock options, restricted stock units, warrants, and Convertible Notes were excluded from the calculation of diluted net loss per share because their effect would have been anti-dilutive for the periods presented. Therefore, basic and diluted EPS are computed using the same number of weighted-average shares for the three months ended September 30, 2022, as well as the nine months ended September 30, 2023 and 2022. The following potentially dilutive shares were excluded from the calculation of diluted net loss per share because their effect would have been anti-dilutive for the three months ended September 30, 2022, as well as the nine months ended September 30, 2023 and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3"/>
        <w:gridCol w:w="1000"/>
        <w:gridCol w:w="1007"/>
        <w:gridCol w:w="995"/>
        <w:gridCol w:w="967"/>
        <w:gridCol w:w="969"/>
        <w:gridCol w:w="109"/>
        <w:gridCol w:w="109"/>
        <w:gridCol w:w="109"/>
        <w:gridCol w:w="1123"/>
        <w:gridCol w:w="1098"/>
        <w:gridCol w:w="1566"/>
      </w:tblGrid>
      <w:tr>
        <w:trPr/>
        <w:tc>
          <w:tcPr>
            <w:tcW w:w="1153"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and Nine Months Ended September 30,</w:t>
            </w:r>
          </w:p>
        </w:tc>
      </w:tr>
      <w:tr>
        <w:trPr/>
        <w:tc>
          <w:tcPr>
            <w:tcW w:w="3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9,239,612 </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7,934,865 </w:t>
            </w:r>
          </w:p>
        </w:tc>
        <w:tc>
          <w:tcPr>
            <w:tcW w:w="1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placement warrants</w:t>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26,928,634 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7,326,654 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(if converted)</w:t>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14,836,450 </w:t>
            </w:r>
          </w:p>
        </w:tc>
        <w:tc>
          <w:tcPr>
            <w:tcW w:w="9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5,298,396 </w:t>
            </w:r>
          </w:p>
        </w:tc>
        <w:tc>
          <w:tcPr>
            <w:tcW w:w="1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20. Subsequent Events</w:t>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through the issuance date of these financial statements. No material subsequent events were identified that require disclosure.</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accompanying unaudited condensed consolidated financial statements for the nine months ended September 30, 2023 and 2022 and the Company’s Annual Report on Form 10-K for the year ended December 31, 2022, including the financial statements and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an innovative Znyth™ aqueous zinc battery energy storage system designed to provide the operating flexibility to manage increased grid complexity deriving from an overall increase in renewable energy generation and a congested grid coming from an increase in electricity demand growth. The Company’s battery energy storage system is based on a chemistry with accessible non-precious earth components in a durable, safe, scalable and sustainable design that delivers results in a wide variety of temperatures and conditions. Manufactured in the United States, the Company’s battery energy storage system is the core of the Company’s innovative systems that today provide utilities, independent power producers, renewables developers, and C&amp;I customers with a reliable energy storage alternative for 3- to 12-hour discharge durations. The Company’s innovative spirit extends to its manufacturing strategy, which includes proprietary equipment and processes that allow the Company to scale quickly and with a lower capital intensity than other similar technologies. The Company believes its technology will continue to reduce cost and improve the operating efficiency and competitiveness of its battery energy storage systems.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 </w:t>
      </w:r>
    </w:p>
    <w:p>
      <w:pPr>
        <w:pStyle w:val="TextBody"/>
        <w:bidi w:val="0"/>
        <w:spacing w:lineRule="auto" w:line="288" w:before="160" w:after="283"/>
        <w:jc w:val="both"/>
        <w:rPr/>
      </w:pPr>
      <w:r>
        <w:rPr>
          <w:rFonts w:ascii="Times New Roman;sans-serif" w:hAnsi="Times New Roman;sans-serif"/>
          <w:b w:val="false"/>
          <w:color w:val="000000"/>
          <w:sz w:val="20"/>
        </w:rPr>
        <w:t>In addition to battery energy storage systems, the Company currently offers: (a) a Battery Management System, a remote asset monitoring capability and service to track the performance and health of the Company’s battery energy storage system and to proactively identify future system performance issues through predictive analytics; (b) project management services to ensure the process of implementing the Company’s battery energy storage systems are coordinated in conjunction with the customer’s overall project plans; (c) commissioning services that ensure the customer’s installation of the battery energy storage system meets the performance expected by the customer; and (d) operations and maintenance plans to maintain optimal operating performance of the Company’s systems</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invest in the design, development, and production of its next generation product, the Eos Z3™ battery, which builds off the same electrochemistry that has not fundamentally changed for the better part of a decade. The next generation Eos Z3 battery is designed to reduce cost and weight while improving manufacturability and system performance. The Eos Z3 battery is more cost-effective and has a simpler tub design with 50% fewer cells and 98% fewer welds per battery module, compared to Gen 2.3. The Company currently expects the Eos Z3 BESS will give customers the benefit of two times the energy density per square foot with the same safety and reliability as the previous generation battery. The Eos Z3 transition is fully underway, and the first semi-automated battery manufacturing line is installed and has started commercial production. Eos Z3 batteries utilize the same chemistry, which has over 3 million cycles, and incorporates a new mechanical design aimed at improving performance, lowering cost and increasing manufacturability. The Company delivered its first customer orders from this line in the third quarter. Eos’s progression to the Eos Z3 battery incorporates valuable lessons learned from the past 15 years into a new system design which the Company expects to result in efficiencies as it develops its new state-of-the-art manufacturing line.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the simplicity, flexibility, and safety of our products are what the market desires. In addition, we understand that the Inflation Reduction Act gives us a competitive advantage with production tax credits (“PTC”) that can be claimed on battery components manufactured domestically, in addition to a tax credit for customers for projects that satisfy domestic content requirements.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plans to participate in a consortium of community leaders, universities, and supply chain partners in anticipation of pursuing grants made available under the Bipartisan Infrastructure Law of 2021.</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Regulatory Landscape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 Department of Energy (“DOE”)</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the DOE issued a Conditional Commitment Letter to the Company for a loan of an aggregate principal amount of up to $398.6 million through the DOE’s Clean Energy Financing Program. The Conditional Commitment Letter follows an extensive technical, financial and commercial due diligence process by the DOE. If finalized, the loan is expected to fund 80% of eligible costs of the Company’s planned manufacturing expansion in Turtle Creek, Pennsylvania.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Eligible costs include capital expenditures and other costs associated with ramping up the manufacturing lines and facility, for example start-up and shakedown costs, as well as certain material and labor costs before efficiencies are met. The Company is working to finalize the loan documents with the DOE and to fulfill certain conditions precedent. Eos is spending eligible costs now that would be reimbursable at first funding.</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 (“IRA”)</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IRA features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will be allowed to claim at least a thirty percent investment tax credit (“ITC”) under certain conditions. The IRA also offers an extra ten percent credit if the project is in an “energy community” and another ten percent credit if the project satisfies domestic content requirements, which will be set forth when the implementing regulations are finalized. The ten percent bonus for domestic content could represent a strategic advantage for the Company resulting from the Company’s near-sourcing and Made in America strategy, and we currently anticipate that projects utilizing Eos batteries will qualify for the bonus.</w:t>
      </w:r>
    </w:p>
    <w:p>
      <w:pPr>
        <w:pStyle w:val="TextBody"/>
        <w:bidi w:val="0"/>
        <w:spacing w:lineRule="auto" w:line="288" w:before="120" w:after="1"/>
        <w:jc w:val="both"/>
        <w:rPr/>
      </w:pPr>
      <w:r>
        <w:rPr>
          <w:rFonts w:ascii="Times New Roman;sans-serif" w:hAnsi="Times New Roman;sans-serif"/>
          <w:b w:val="false"/>
          <w:color w:val="000000"/>
          <w:sz w:val="20"/>
        </w:rPr>
        <w:t xml:space="preserve">As discussed in Note 10, </w:t>
      </w:r>
      <w:r>
        <w:rPr>
          <w:rFonts w:ascii="Times New Roman;sans-serif" w:hAnsi="Times New Roman;sans-serif"/>
          <w:b w:val="false"/>
          <w:i/>
          <w:color w:val="000000"/>
          <w:sz w:val="20"/>
        </w:rPr>
        <w:t>Government Grants</w:t>
      </w:r>
      <w:r>
        <w:rPr>
          <w:color w:val="000000"/>
        </w:rPr>
        <w:t xml:space="preserve"> </w:t>
      </w:r>
      <w:r>
        <w:rPr>
          <w:rFonts w:ascii="Times New Roman;sans-serif" w:hAnsi="Times New Roman;sans-serif"/>
          <w:b w:val="false"/>
          <w:color w:val="000000"/>
          <w:sz w:val="20"/>
        </w:rPr>
        <w:t xml:space="preserve">to our unaudited condensed consolidated financial statements included elsewhere in this Quarterly Report, 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These credits are expected to be a new source of cash flow for Eos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Company Highlights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January 2023, several investors, including Clear Creek Investments, LLC, Ardsley Advisory Partners LP, and AltEnergy, LLC, made a $13.75 million investment in the Company by purchasing the Company’s 26.5% Convertible Senior PIK Notes due 2026, the proceeds of which supported the Company’s strategic growth initiatives.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February 2023, the Company announced an initial 47 MWh renewables plus storage project with one of the largest operators of energy storage in the U.S., along with a separate long-term agreement that contributes 4GWh to the Company’s pipeline.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February 2023, the Company issued and sold a convertible promissory note (the “February 2023 Promissory Note”) with an aggregate principal amount of $5.0 million in a private placement to Yorkville under the second supplemental agreement (the “Second Supplemental Agreement”) to the Standby Equity Purchase Agreement (the “SEPA”).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February 2023, the Company completed the first Eos Cube™ powered by the next-generation Eos Z3™ battery.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February 2023, the Company achieved UL 9540A for the next generation Eos Z3 battery.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March 2023, the Company issued and sold a convertible promissory note (the “March 2023 Promissory Note” and, together with the February 2023 Promissory Note and a convertible promissory note issued and sold to Yorkville in December 2022, the “Yorkville Convertible Promissory Notes”) with an aggregate principal amount of $15.0 million in a private placement to Yorkville under the third supplemental agreement (the “Third Supplemental Agreement”) to the SEPA.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April 2023, the Company issued and sold a convertible promissory note (the “April 2023 Promissory Note”) with an aggregate principal amount of $15.0 million in a private placement to Yorkville under the SEPA.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April 2023, the Company issued 16,000,000 shares of the Company’s common stock at a purchase price of $2.50 per share in a registered direct offering. The Company issued in a concurrent private placement unregistered warrants to purchase up to an aggregate of 16,000,000 shares of common stock. The gross proceeds to the Company from the offering were $40.0 million, before deducting advisory fees and other offering expenses payable by the Company.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May 2023, the Company issued 3,601,980 shares of the Company’s common stock at a purchase price of $2.221 per share in a registered direct offering. The Company issued in a concurrent private placement unregistered warrants to purchase up to an aggregate of 3,601,980 shares of common stock. The gross proceeds to the Company from the offering were $8.0 million, before deducting advisory fees and other offering expenses payable by the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 the nine months ended September 30, 2023, the Company recognized $1.0 million of grant income related to the IRA PTC.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 August 23, 2023, the Company and Yorkville terminated the SEPA, as amended, by mutual written consent. At the time of termination, there were no outstanding borrowings, advance notices or shares of Common Stock to be issued under the SEPA. In addition, there were no fees due by the Company or Yorkville in connection with the termination of the SEPA.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In August 2023, the Company selected ACRO Automation Systems to partner in the design, development, and implementation of its state-of-the-art high output manufacturing lines. ACRO is a recognized leader in high-speed, custom designed, automated manufacturing systems. </w:t>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10825" w:type="dxa"/>
        <w:jc w:val="left"/>
        <w:tblInd w:w="0" w:type="dxa"/>
        <w:tblLayout w:type="fixed"/>
        <w:tblCellMar>
          <w:top w:w="28" w:type="dxa"/>
          <w:left w:w="28" w:type="dxa"/>
          <w:bottom w:w="28" w:type="dxa"/>
          <w:right w:w="28" w:type="dxa"/>
        </w:tblCellMar>
      </w:tblPr>
      <w:tblGrid>
        <w:gridCol w:w="342"/>
        <w:gridCol w:w="301"/>
        <w:gridCol w:w="303"/>
        <w:gridCol w:w="211"/>
        <w:gridCol w:w="466"/>
        <w:gridCol w:w="109"/>
        <w:gridCol w:w="109"/>
        <w:gridCol w:w="109"/>
        <w:gridCol w:w="109"/>
        <w:gridCol w:w="211"/>
        <w:gridCol w:w="616"/>
        <w:gridCol w:w="109"/>
        <w:gridCol w:w="109"/>
        <w:gridCol w:w="109"/>
        <w:gridCol w:w="109"/>
        <w:gridCol w:w="315"/>
        <w:gridCol w:w="316"/>
        <w:gridCol w:w="301"/>
        <w:gridCol w:w="109"/>
        <w:gridCol w:w="109"/>
        <w:gridCol w:w="109"/>
        <w:gridCol w:w="220"/>
        <w:gridCol w:w="220"/>
        <w:gridCol w:w="551"/>
        <w:gridCol w:w="109"/>
        <w:gridCol w:w="109"/>
        <w:gridCol w:w="109"/>
        <w:gridCol w:w="211"/>
        <w:gridCol w:w="616"/>
        <w:gridCol w:w="109"/>
        <w:gridCol w:w="109"/>
        <w:gridCol w:w="109"/>
        <w:gridCol w:w="109"/>
        <w:gridCol w:w="211"/>
        <w:gridCol w:w="721"/>
        <w:gridCol w:w="109"/>
        <w:gridCol w:w="109"/>
        <w:gridCol w:w="109"/>
        <w:gridCol w:w="109"/>
        <w:gridCol w:w="315"/>
        <w:gridCol w:w="316"/>
        <w:gridCol w:w="301"/>
        <w:gridCol w:w="109"/>
        <w:gridCol w:w="109"/>
        <w:gridCol w:w="109"/>
        <w:gridCol w:w="211"/>
        <w:gridCol w:w="211"/>
        <w:gridCol w:w="61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revenues from the delivery of its battery energy storage systems (“BESS”) and service-related solutions. The Company expects revenues to increase as it scales production to meet customer demand. </w:t>
      </w:r>
    </w:p>
    <w:p>
      <w:pPr>
        <w:pStyle w:val="TextBody"/>
        <w:bidi w:val="0"/>
        <w:spacing w:lineRule="auto" w:line="288" w:before="160" w:after="283"/>
        <w:jc w:val="both"/>
        <w:rPr/>
      </w:pPr>
      <w:r>
        <w:rPr>
          <w:rFonts w:ascii="Times New Roman;sans-serif" w:hAnsi="Times New Roman;sans-serif"/>
          <w:b w:val="false"/>
          <w:color w:val="000000"/>
          <w:sz w:val="20"/>
        </w:rPr>
        <w:t>Revenue decreased by $5.4 million, or 89% from $6.1 million for the three months ended September 30, 2022 to $0.7 million for the three months ended September 30, 2023. Revenue decreased by $5.5 million for the nine months ended September 30, 2022 compared to the nine months ended September 30, 2023. The reduction in revenues for the three and nine months ended September 30, 2023 was due to reduced production and deliveries from the shift to next generation Eos Z3</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technology.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tbl>
      <w:tblPr>
        <w:tblW w:w="11605"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368"/>
        <w:gridCol w:w="368"/>
        <w:gridCol w:w="301"/>
        <w:gridCol w:w="109"/>
        <w:gridCol w:w="109"/>
        <w:gridCol w:w="109"/>
        <w:gridCol w:w="220"/>
        <w:gridCol w:w="220"/>
        <w:gridCol w:w="551"/>
        <w:gridCol w:w="109"/>
        <w:gridCol w:w="109"/>
        <w:gridCol w:w="109"/>
        <w:gridCol w:w="211"/>
        <w:gridCol w:w="721"/>
        <w:gridCol w:w="109"/>
        <w:gridCol w:w="109"/>
        <w:gridCol w:w="109"/>
        <w:gridCol w:w="109"/>
        <w:gridCol w:w="211"/>
        <w:gridCol w:w="826"/>
        <w:gridCol w:w="109"/>
        <w:gridCol w:w="109"/>
        <w:gridCol w:w="109"/>
        <w:gridCol w:w="109"/>
        <w:gridCol w:w="368"/>
        <w:gridCol w:w="368"/>
        <w:gridCol w:w="301"/>
        <w:gridCol w:w="109"/>
        <w:gridCol w:w="109"/>
        <w:gridCol w:w="109"/>
        <w:gridCol w:w="211"/>
        <w:gridCol w:w="211"/>
        <w:gridCol w:w="61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(28,763)</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primarily consists of costs relating to direct labor, direct material and overhead that is directly tied to product manufacturing, engineering, procurement and construction (“EPC”), project delivery, commissioning, and start-up test procedures. Other indirect costs included in cost of goods sold are manufacturing overhead such as manufacturing engineering, equipment maintenance, environmental health and safety, quality and production control procurement, transportation, logistics, depreciation and facility-related costs. As a nascent technology and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decreased by $28.8 million, or 57% from $50.0 million for the three months ended September 30, 2022 to $21.3 million for the three months ended September 30, 2023. Cost of goods sold decreased by $63.0 million, or 51% from $122.5 million for the nine months ended September 30, 2022 to $59.4 million for the nine months ended September 30, 2023. Cost of goods sold decreased for the three and nine months ended September 30, 2023 mainly due to lower BESS shipments in 2023, partially offset by increases in commissioning cost and idle factory costs.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tbl>
      <w:tblPr>
        <w:tblW w:w="11080" w:type="dxa"/>
        <w:jc w:val="left"/>
        <w:tblInd w:w="0" w:type="dxa"/>
        <w:tblLayout w:type="fixed"/>
        <w:tblCellMar>
          <w:top w:w="28" w:type="dxa"/>
          <w:left w:w="28" w:type="dxa"/>
          <w:bottom w:w="28" w:type="dxa"/>
          <w:right w:w="28" w:type="dxa"/>
        </w:tblCellMar>
      </w:tblPr>
      <w:tblGrid>
        <w:gridCol w:w="342"/>
        <w:gridCol w:w="301"/>
        <w:gridCol w:w="303"/>
        <w:gridCol w:w="211"/>
        <w:gridCol w:w="616"/>
        <w:gridCol w:w="109"/>
        <w:gridCol w:w="109"/>
        <w:gridCol w:w="109"/>
        <w:gridCol w:w="109"/>
        <w:gridCol w:w="211"/>
        <w:gridCol w:w="616"/>
        <w:gridCol w:w="109"/>
        <w:gridCol w:w="109"/>
        <w:gridCol w:w="109"/>
        <w:gridCol w:w="109"/>
        <w:gridCol w:w="315"/>
        <w:gridCol w:w="316"/>
        <w:gridCol w:w="301"/>
        <w:gridCol w:w="109"/>
        <w:gridCol w:w="109"/>
        <w:gridCol w:w="109"/>
        <w:gridCol w:w="220"/>
        <w:gridCol w:w="220"/>
        <w:gridCol w:w="551"/>
        <w:gridCol w:w="109"/>
        <w:gridCol w:w="109"/>
        <w:gridCol w:w="109"/>
        <w:gridCol w:w="211"/>
        <w:gridCol w:w="721"/>
        <w:gridCol w:w="109"/>
        <w:gridCol w:w="109"/>
        <w:gridCol w:w="109"/>
        <w:gridCol w:w="109"/>
        <w:gridCol w:w="211"/>
        <w:gridCol w:w="721"/>
        <w:gridCol w:w="109"/>
        <w:gridCol w:w="109"/>
        <w:gridCol w:w="109"/>
        <w:gridCol w:w="109"/>
        <w:gridCol w:w="315"/>
        <w:gridCol w:w="316"/>
        <w:gridCol w:w="301"/>
        <w:gridCol w:w="109"/>
        <w:gridCol w:w="109"/>
        <w:gridCol w:w="109"/>
        <w:gridCol w:w="211"/>
        <w:gridCol w:w="211"/>
        <w:gridCol w:w="61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pPr>
      <w:r>
        <w:rPr>
          <w:rFonts w:ascii="Times New Roman;sans-serif" w:hAnsi="Times New Roman;sans-serif"/>
          <w:b w:val="false"/>
          <w:color w:val="000000"/>
          <w:sz w:val="20"/>
        </w:rPr>
        <w:t>Research and development expenses consist primarily of salaries and other personnel-related costs, materials, third-party services, depreciation, and amortization of intangible assets. Eos Z3</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battery test results show improved performance at a projected lower system cost than the Company’s current product configuration.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decreased by $1.2 million or 28% from $4.5 million for the three months ended September 30, 2022 to $3.2 million for the three months ended September 30, 2023. The decrease in research and development costs was primarily driven by a decrease of $1.7 million for materials and supplies, partially offset by increases of $0.4 million in stock compensation costs and $0.2 million in payroll and personnel costs.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decreased by $1.2 million or 8.0% from $14.9 million for the nine months ended September 30, 2022, to $13.7 million for the nine months ended September 30, 2023. The decrease in research and development costs was primarily driven by decreases of $2.0 million for outside professional services, partially offset by increases of $0.3 million for materials and supplies, $0.2 million in payroll and personnel costs and $0.2 million of facility costs.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tbl>
      <w:tblPr>
        <w:tblW w:w="11290" w:type="dxa"/>
        <w:jc w:val="left"/>
        <w:tblInd w:w="0" w:type="dxa"/>
        <w:tblLayout w:type="fixed"/>
        <w:tblCellMar>
          <w:top w:w="28" w:type="dxa"/>
          <w:left w:w="28" w:type="dxa"/>
          <w:bottom w:w="28" w:type="dxa"/>
          <w:right w:w="28" w:type="dxa"/>
        </w:tblCellMar>
      </w:tblPr>
      <w:tblGrid>
        <w:gridCol w:w="342"/>
        <w:gridCol w:w="301"/>
        <w:gridCol w:w="303"/>
        <w:gridCol w:w="211"/>
        <w:gridCol w:w="721"/>
        <w:gridCol w:w="109"/>
        <w:gridCol w:w="109"/>
        <w:gridCol w:w="109"/>
        <w:gridCol w:w="109"/>
        <w:gridCol w:w="211"/>
        <w:gridCol w:w="721"/>
        <w:gridCol w:w="109"/>
        <w:gridCol w:w="109"/>
        <w:gridCol w:w="109"/>
        <w:gridCol w:w="109"/>
        <w:gridCol w:w="315"/>
        <w:gridCol w:w="316"/>
        <w:gridCol w:w="301"/>
        <w:gridCol w:w="109"/>
        <w:gridCol w:w="109"/>
        <w:gridCol w:w="109"/>
        <w:gridCol w:w="220"/>
        <w:gridCol w:w="220"/>
        <w:gridCol w:w="551"/>
        <w:gridCol w:w="109"/>
        <w:gridCol w:w="109"/>
        <w:gridCol w:w="109"/>
        <w:gridCol w:w="211"/>
        <w:gridCol w:w="721"/>
        <w:gridCol w:w="109"/>
        <w:gridCol w:w="109"/>
        <w:gridCol w:w="109"/>
        <w:gridCol w:w="109"/>
        <w:gridCol w:w="211"/>
        <w:gridCol w:w="721"/>
        <w:gridCol w:w="109"/>
        <w:gridCol w:w="109"/>
        <w:gridCol w:w="109"/>
        <w:gridCol w:w="109"/>
        <w:gridCol w:w="315"/>
        <w:gridCol w:w="316"/>
        <w:gridCol w:w="301"/>
        <w:gridCol w:w="109"/>
        <w:gridCol w:w="109"/>
        <w:gridCol w:w="109"/>
        <w:gridCol w:w="211"/>
        <w:gridCol w:w="211"/>
        <w:gridCol w:w="61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primarily consist of payroll and personnel-related, outside professional services, facilities, depreciation, travel, marketing, and public company costs.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by $1.6 million or 11% from $14.7 million for the three months ended September 30, 2022 to $13.1 million for the three months ended September 30, 2023. The decrease was primarily driven by decreases in outside consulting expenses of $2.3 million and payroll and personnel costs of $0.4 million, partially offset by increases in facility costs of $0.5 million and legal and professional costs of $0.5 million.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by $7.9 million or 16% from $48.0 million for the nine months ended September 30, 2022 to $40.2 million for the nine months ended September 30, 2023. The decrease was primarily driven by decreases in outside consulting expenses of $6.8 million, legal and professional costs of $0.6 million, stock compensation costs of $0.7 million and duties and fees of $0.7 million, partially offset by increases in facility costs of $0.7 million and payroll and personnel costs of $0.4 million.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from write-down of property, plant and equipment</w:t>
      </w:r>
    </w:p>
    <w:tbl>
      <w:tblPr>
        <w:tblW w:w="9104" w:type="dxa"/>
        <w:jc w:val="left"/>
        <w:tblInd w:w="0" w:type="dxa"/>
        <w:tblLayout w:type="fixed"/>
        <w:tblCellMar>
          <w:top w:w="28" w:type="dxa"/>
          <w:left w:w="28" w:type="dxa"/>
          <w:bottom w:w="28" w:type="dxa"/>
          <w:right w:w="28" w:type="dxa"/>
        </w:tblCellMar>
      </w:tblPr>
      <w:tblGrid>
        <w:gridCol w:w="1660"/>
        <w:gridCol w:w="1460"/>
        <w:gridCol w:w="1470"/>
        <w:gridCol w:w="216"/>
        <w:gridCol w:w="478"/>
        <w:gridCol w:w="111"/>
        <w:gridCol w:w="111"/>
        <w:gridCol w:w="111"/>
        <w:gridCol w:w="111"/>
        <w:gridCol w:w="216"/>
        <w:gridCol w:w="478"/>
        <w:gridCol w:w="111"/>
        <w:gridCol w:w="109"/>
        <w:gridCol w:w="109"/>
        <w:gridCol w:w="109"/>
        <w:gridCol w:w="211"/>
        <w:gridCol w:w="616"/>
        <w:gridCol w:w="109"/>
        <w:gridCol w:w="109"/>
        <w:gridCol w:w="109"/>
        <w:gridCol w:w="109"/>
        <w:gridCol w:w="211"/>
        <w:gridCol w:w="616"/>
        <w:gridCol w:w="154"/>
      </w:tblGrid>
      <w:tr>
        <w:trPr/>
        <w:tc>
          <w:tcPr>
            <w:tcW w:w="16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of property, plant and equipment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a loss of $1.0 million and $0.5 million from write-down of property, plant and equipment for the three months ended September 30, 2023 and 2022, respectively, and a loss of $7.2 million and $2.5 million for the nine months ended September 30, 2023 and 2022, respectively, due to higher write-offs in 2023 for disposal of equipment and tooling that was used for manufacturing of Gen 2.3 BESS, but cannot be repurposed for the next generation Eos Z3 battery production.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net </w:t>
      </w:r>
    </w:p>
    <w:tbl>
      <w:tblPr>
        <w:tblW w:w="6945" w:type="dxa"/>
        <w:jc w:val="left"/>
        <w:tblInd w:w="0" w:type="dxa"/>
        <w:tblLayout w:type="fixed"/>
        <w:tblCellMar>
          <w:top w:w="28" w:type="dxa"/>
          <w:left w:w="28" w:type="dxa"/>
          <w:bottom w:w="28" w:type="dxa"/>
          <w:right w:w="28" w:type="dxa"/>
        </w:tblCellMar>
      </w:tblPr>
      <w:tblGrid>
        <w:gridCol w:w="640"/>
        <w:gridCol w:w="563"/>
        <w:gridCol w:w="567"/>
        <w:gridCol w:w="211"/>
        <w:gridCol w:w="691"/>
        <w:gridCol w:w="109"/>
        <w:gridCol w:w="109"/>
        <w:gridCol w:w="109"/>
        <w:gridCol w:w="109"/>
        <w:gridCol w:w="211"/>
        <w:gridCol w:w="691"/>
        <w:gridCol w:w="109"/>
        <w:gridCol w:w="109"/>
        <w:gridCol w:w="109"/>
        <w:gridCol w:w="109"/>
        <w:gridCol w:w="211"/>
        <w:gridCol w:w="796"/>
        <w:gridCol w:w="109"/>
        <w:gridCol w:w="109"/>
        <w:gridCol w:w="109"/>
        <w:gridCol w:w="109"/>
        <w:gridCol w:w="211"/>
        <w:gridCol w:w="691"/>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includes accrued interest and the amortization of debt issuance cost and the debt discount. Interest expense, net increased by $2.2 million and $11.3 million for the three and nine months ended September 30, 2023, respectively. These increases are a result of interest recognized on the Senior Secured Term Loan and the equipment financing facility.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 related party</w:t>
      </w:r>
    </w:p>
    <w:tbl>
      <w:tblPr>
        <w:tblW w:w="7710" w:type="dxa"/>
        <w:jc w:val="left"/>
        <w:tblInd w:w="0" w:type="dxa"/>
        <w:tblLayout w:type="fixed"/>
        <w:tblCellMar>
          <w:top w:w="28" w:type="dxa"/>
          <w:left w:w="28" w:type="dxa"/>
          <w:bottom w:w="28" w:type="dxa"/>
          <w:right w:w="28" w:type="dxa"/>
        </w:tblCellMar>
      </w:tblPr>
      <w:tblGrid>
        <w:gridCol w:w="917"/>
        <w:gridCol w:w="806"/>
        <w:gridCol w:w="812"/>
        <w:gridCol w:w="211"/>
        <w:gridCol w:w="691"/>
        <w:gridCol w:w="109"/>
        <w:gridCol w:w="109"/>
        <w:gridCol w:w="109"/>
        <w:gridCol w:w="109"/>
        <w:gridCol w:w="211"/>
        <w:gridCol w:w="691"/>
        <w:gridCol w:w="109"/>
        <w:gridCol w:w="109"/>
        <w:gridCol w:w="109"/>
        <w:gridCol w:w="109"/>
        <w:gridCol w:w="211"/>
        <w:gridCol w:w="796"/>
        <w:gridCol w:w="109"/>
        <w:gridCol w:w="109"/>
        <w:gridCol w:w="109"/>
        <w:gridCol w:w="109"/>
        <w:gridCol w:w="211"/>
        <w:gridCol w:w="691"/>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party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party includes accrued interest and the amortization of debt issuance cost and debt discount. Interest expense - related party increased by $1.5 million for the three months ended September 30, 2023, compared to the three months ended September 30, 2022, and increased by $25.2 million for the nine months ended September 30, 2023, compared to the nine months September 30,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for the three months ended September 30, 2023 was primarily due to interest on the AFG Convertible Notes, as they were issued in 2023.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in addition to the interest expense from the 2021 Convertible Notes and the AFG Convertible Notes, the Company recognized losses from the issuance of Yorkville Convertible Promissory Notes and the AFG Convertible Notes whose fair value exceeded proceeds at issuance.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day 1 losses recognized in interest expense, related party for the nine months ended September 30, 2023 were due to:</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The Yorkville Convertible Promissory Notes in the amount of $17.6 million.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The AFG Convertible Notes in the amount of $2.9 million. </w:t>
      </w:r>
    </w:p>
    <w:p>
      <w:pPr>
        <w:pStyle w:val="TextBody"/>
        <w:bidi w:val="0"/>
        <w:spacing w:lineRule="auto" w:line="288" w:before="160" w:after="283"/>
        <w:jc w:val="both"/>
        <w:rPr/>
      </w:pPr>
      <w:r>
        <w:rPr>
          <w:rFonts w:ascii="Times New Roman;sans-serif" w:hAnsi="Times New Roman;sans-serif"/>
          <w:b w:val="false"/>
          <w:color w:val="000000"/>
          <w:sz w:val="20"/>
        </w:rPr>
        <w:t xml:space="preserve">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to our unaudited condensed consolidated financial statements included elsewhere in this Quarterly Report for further discussion.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Gain (loss) on change in fair value of derivatives - related party</w:t>
      </w:r>
    </w:p>
    <w:tbl>
      <w:tblPr>
        <w:tblW w:w="10205" w:type="dxa"/>
        <w:jc w:val="left"/>
        <w:tblInd w:w="0" w:type="dxa"/>
        <w:tblLayout w:type="fixed"/>
        <w:tblCellMar>
          <w:top w:w="28" w:type="dxa"/>
          <w:left w:w="28" w:type="dxa"/>
          <w:bottom w:w="28" w:type="dxa"/>
          <w:right w:w="28" w:type="dxa"/>
        </w:tblCellMar>
      </w:tblPr>
      <w:tblGrid>
        <w:gridCol w:w="1857"/>
        <w:gridCol w:w="1629"/>
        <w:gridCol w:w="1640"/>
        <w:gridCol w:w="211"/>
        <w:gridCol w:w="721"/>
        <w:gridCol w:w="109"/>
        <w:gridCol w:w="109"/>
        <w:gridCol w:w="109"/>
        <w:gridCol w:w="109"/>
        <w:gridCol w:w="211"/>
        <w:gridCol w:w="537"/>
        <w:gridCol w:w="109"/>
        <w:gridCol w:w="109"/>
        <w:gridCol w:w="109"/>
        <w:gridCol w:w="109"/>
        <w:gridCol w:w="211"/>
        <w:gridCol w:w="792"/>
        <w:gridCol w:w="109"/>
        <w:gridCol w:w="109"/>
        <w:gridCol w:w="109"/>
        <w:gridCol w:w="109"/>
        <w:gridCol w:w="211"/>
        <w:gridCol w:w="721"/>
        <w:gridCol w:w="156"/>
      </w:tblGrid>
      <w:tr>
        <w:trPr/>
        <w:tc>
          <w:tcPr>
            <w:tcW w:w="1857"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r>
      <w:tr>
        <w:trPr/>
        <w:tc>
          <w:tcPr>
            <w:tcW w:w="5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embedded derivative - related party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warrants liability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Gain (loss) on change in fair value of derivatives - related party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1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 xml:space="preserve">As discussed in Note 14,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the embedded derivatives for the 2021 Convertible Notes, Yorkville Convertible Notes, the AFG Convertible Notes, as well as all warrants liabilities, are remeasured at fair value on each balance sheet date.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fair value, embedded derivatives - related party, for the three and nine months ended September 30, 2023, compared to the three and nine months ended September 30, 2022, was largely a result of the change in the Company’s stock price.</w:t>
      </w:r>
    </w:p>
    <w:p>
      <w:pPr>
        <w:pStyle w:val="TextBody"/>
        <w:bidi w:val="0"/>
        <w:spacing w:lineRule="auto" w:line="288" w:before="160" w:after="283"/>
        <w:jc w:val="both"/>
        <w:rPr/>
      </w:pPr>
      <w:r>
        <w:rPr>
          <w:rFonts w:ascii="Times New Roman;sans-serif" w:hAnsi="Times New Roman;sans-serif"/>
          <w:b w:val="false"/>
          <w:color w:val="000000"/>
          <w:sz w:val="20"/>
        </w:rPr>
        <w:t xml:space="preserve">The change in fair value, warrants liability- related party for the three months ended September 30, 2023 is mainly due to the gain on change in fair value for the April 2023 Warrants and the May 2023 Warrants (See Note 13, </w:t>
      </w:r>
      <w:r>
        <w:rPr>
          <w:rFonts w:ascii="Times New Roman;sans-serif" w:hAnsi="Times New Roman;sans-serif"/>
          <w:b w:val="false"/>
          <w:i/>
          <w:color w:val="000000"/>
          <w:sz w:val="20"/>
        </w:rPr>
        <w:t>Warrants Liability- Related Party</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warrants liability- related party for the nine months ended September 30, 2023 is mainly due to:</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day 1 loss for the April 2023 Transaction and the May 2023 Transaction in the amounts of $26.4 million and $5.3 million, respectively, partially offset by: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 gain on change in fair value for the April 2023 Warrants and the May 2023 Warrants in the amounts of $6.1 million and $0.5 million, respectively. (See Note 13, </w:t>
      </w:r>
      <w:r>
        <w:rPr>
          <w:rFonts w:ascii="Times New Roman;sans-serif" w:hAnsi="Times New Roman;sans-serif"/>
          <w:b w:val="false"/>
          <w:i/>
          <w:color w:val="000000"/>
          <w:sz w:val="20"/>
        </w:rPr>
        <w:t>Warrants Liability- Related Party</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debt extinguishment</w:t>
      </w:r>
    </w:p>
    <w:tbl>
      <w:tblPr>
        <w:tblW w:w="6994" w:type="dxa"/>
        <w:jc w:val="left"/>
        <w:tblInd w:w="0" w:type="dxa"/>
        <w:tblLayout w:type="fixed"/>
        <w:tblCellMar>
          <w:top w:w="28" w:type="dxa"/>
          <w:left w:w="28" w:type="dxa"/>
          <w:bottom w:w="28" w:type="dxa"/>
          <w:right w:w="28" w:type="dxa"/>
        </w:tblCellMar>
      </w:tblPr>
      <w:tblGrid>
        <w:gridCol w:w="895"/>
        <w:gridCol w:w="787"/>
        <w:gridCol w:w="792"/>
        <w:gridCol w:w="215"/>
        <w:gridCol w:w="413"/>
        <w:gridCol w:w="111"/>
        <w:gridCol w:w="111"/>
        <w:gridCol w:w="111"/>
        <w:gridCol w:w="111"/>
        <w:gridCol w:w="215"/>
        <w:gridCol w:w="551"/>
        <w:gridCol w:w="111"/>
        <w:gridCol w:w="109"/>
        <w:gridCol w:w="109"/>
        <w:gridCol w:w="109"/>
        <w:gridCol w:w="211"/>
        <w:gridCol w:w="691"/>
        <w:gridCol w:w="109"/>
        <w:gridCol w:w="109"/>
        <w:gridCol w:w="109"/>
        <w:gridCol w:w="109"/>
        <w:gridCol w:w="211"/>
        <w:gridCol w:w="541"/>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ans-serif" w:hAnsi="Times New Roman;sans-serif"/>
          <w:b w:val="false"/>
          <w:color w:val="000000"/>
          <w:sz w:val="20"/>
        </w:rPr>
        <w:t xml:space="preserve">The Company recognized a loss on debt extinguishment of — million and $3.5 million for the three and nine months ended September 30, 2023 from the issuance of common stock from the Yorkville Convertible Promissory Notes, respectively.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tbl>
      <w:tblPr>
        <w:tblW w:w="6407" w:type="dxa"/>
        <w:jc w:val="left"/>
        <w:tblInd w:w="0" w:type="dxa"/>
        <w:tblLayout w:type="fixed"/>
        <w:tblCellMar>
          <w:top w:w="28" w:type="dxa"/>
          <w:left w:w="28" w:type="dxa"/>
          <w:bottom w:w="28" w:type="dxa"/>
          <w:right w:w="28" w:type="dxa"/>
        </w:tblCellMar>
      </w:tblPr>
      <w:tblGrid>
        <w:gridCol w:w="738"/>
        <w:gridCol w:w="649"/>
        <w:gridCol w:w="653"/>
        <w:gridCol w:w="229"/>
        <w:gridCol w:w="506"/>
        <w:gridCol w:w="118"/>
        <w:gridCol w:w="118"/>
        <w:gridCol w:w="118"/>
        <w:gridCol w:w="118"/>
        <w:gridCol w:w="229"/>
        <w:gridCol w:w="392"/>
        <w:gridCol w:w="118"/>
        <w:gridCol w:w="109"/>
        <w:gridCol w:w="109"/>
        <w:gridCol w:w="109"/>
        <w:gridCol w:w="211"/>
        <w:gridCol w:w="541"/>
        <w:gridCol w:w="109"/>
        <w:gridCol w:w="109"/>
        <w:gridCol w:w="109"/>
        <w:gridCol w:w="109"/>
        <w:gridCol w:w="211"/>
        <w:gridCol w:w="541"/>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40"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slightly increased by $0.4 million for the three months ended September 30, 2023, compared to the three months ended September 30, 2022. Other income (expense) remained flat for the nine months ended September 30, 2023, compared to the nine months ended September 30, 2022.</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 expense </w:t>
      </w:r>
    </w:p>
    <w:tbl>
      <w:tblPr>
        <w:tblW w:w="5975" w:type="dxa"/>
        <w:jc w:val="left"/>
        <w:tblInd w:w="0" w:type="dxa"/>
        <w:tblLayout w:type="fixed"/>
        <w:tblCellMar>
          <w:top w:w="28" w:type="dxa"/>
          <w:left w:w="28" w:type="dxa"/>
          <w:bottom w:w="28" w:type="dxa"/>
          <w:right w:w="28" w:type="dxa"/>
        </w:tblCellMar>
      </w:tblPr>
      <w:tblGrid>
        <w:gridCol w:w="624"/>
        <w:gridCol w:w="549"/>
        <w:gridCol w:w="552"/>
        <w:gridCol w:w="229"/>
        <w:gridCol w:w="392"/>
        <w:gridCol w:w="118"/>
        <w:gridCol w:w="118"/>
        <w:gridCol w:w="118"/>
        <w:gridCol w:w="118"/>
        <w:gridCol w:w="229"/>
        <w:gridCol w:w="506"/>
        <w:gridCol w:w="118"/>
        <w:gridCol w:w="109"/>
        <w:gridCol w:w="109"/>
        <w:gridCol w:w="109"/>
        <w:gridCol w:w="241"/>
        <w:gridCol w:w="412"/>
        <w:gridCol w:w="124"/>
        <w:gridCol w:w="124"/>
        <w:gridCol w:w="124"/>
        <w:gridCol w:w="124"/>
        <w:gridCol w:w="241"/>
        <w:gridCol w:w="412"/>
        <w:gridCol w:w="175"/>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w:t>
              <w:br/>
              <w:t>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Nine Months</w:t>
              <w:br/>
              <w:t> Ended September 30,</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income tax expense for the three and nine months ended September 30, 2023 and 2022 in relation to the pre-tax income from the Company’s international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and 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the accompanying unaudited condensed consolidated financial statements were issued (the “issuance date”), management evaluated the significance of the following negative financial conditions in accordance with Accounting Standard Codification 205-40, Going Concern: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Since its inception, the Company has incurred significant losses and negative cash from operations in order to fund its development. During the nine months ended September 30, 2023, the Company incurred a net loss of $188.3 million, incurred negative cash flows from operations of $107.6 million, and had an accumulated deficit of $834.6 million as of September 30,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As of September 30, 2023, the Company had $58.0 million of unrestricted cash and cash equivalents available to fund the Company’s operations, no additional borrowings available to fund its operations under pre-existing financing arrangements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to our unaudited condensed consolidated financial statements included elsewhere in this Quarterly Report)</w:t>
      </w:r>
      <w:r>
        <w:rPr>
          <w:color w:val="000000"/>
        </w:rPr>
        <w:t xml:space="preserve"> </w:t>
      </w:r>
      <w:r>
        <w:rPr>
          <w:rFonts w:ascii="Times New Roman;sans-serif" w:hAnsi="Times New Roman;sans-serif"/>
          <w:b w:val="false"/>
          <w:color w:val="000000"/>
          <w:sz w:val="20"/>
        </w:rPr>
        <w:t>and working capital of $61.7 million, inclusive of $3.2 million of outstanding debt that is currently scheduled to mature within the next twelve months beyond the issuance date.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While the Company has available capacity under certain pre-existing arrangements to issue shares of the Company’s common stock, including the at-the-market (“ATM”) offering program, (see Note 18, </w:t>
      </w:r>
      <w:r>
        <w:rPr>
          <w:rFonts w:ascii="Times New Roman;sans-serif" w:hAnsi="Times New Roman;sans-serif"/>
          <w:b w:val="false"/>
          <w:i/>
          <w:color w:val="000000"/>
          <w:sz w:val="20"/>
        </w:rPr>
        <w:t>Shareholders’ Deficit</w:t>
      </w:r>
      <w:r>
        <w:rPr>
          <w:rFonts w:ascii="Times New Roman;sans-serif" w:hAnsi="Times New Roman;sans-serif"/>
          <w:b w:val="false"/>
          <w:color w:val="000000"/>
          <w:sz w:val="20"/>
        </w:rPr>
        <w:t>) to aid in funding the Company’s operations,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continues to progress through the Department of Energy (“DOE”) Loan Programs Office’s (“LPO”) process for its Title XVII loan. In August 2023, the DOE issued a Conditional Commitment Letter to the Company for a loan of an aggregate principal amount of up to $398.6 million through the DOE’s Clean Energy Financing Program. Certain technical, legal, and financial conditions must be met and due diligence to the satisfaction of the DOE must be completed before the DOE enters into definitive financing documents with the Company and funds the loan. There can be no assurance that the Company will be able to secure such a loan or on terms that are acceptable to the Company.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 is required to remain in compliance with a quarterly minimum financial liquidity covenant under its Senior Secured Term Loan Credit Agreement (“Senior Secured Term Loan”). While the Company was in compliance with this covenant as of September 30, 2023, and expects to remain in compliance as of December 31, 2023, absent the Company’s ability to secure additional outside capital, the Company may be unable to remain in compliance with this covenant beginning on March 31, 2024 and thereafter. In the event the Company is unable to remain in compliance with the minimum financial liquidity covenant and the other nonfinancial covenants required by the Senior Secured Term Loan, and the Company is further unable to cure such noncompliance or secure a waiver, Atlas Credit Partners (ACP) Post Oak Credit I LLC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Absent an ability to secure additional outside capital in the near term, the Company will be unable to meet its obligations as they become due over the next twelve months beyond the issuance date.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bidi w:val="0"/>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pStyle w:val="TextBody"/>
        <w:bidi w:val="0"/>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relied on outside capital to fund its cost structure and expects this reliance to continue for the foreseeable future until the Company reaches profitability through its planned revenue generating activities. During the nine months ended September 30, 2023, the Company closed on the following capital transactions:</w:t>
      </w:r>
    </w:p>
    <w:p>
      <w:pPr>
        <w:pStyle w:val="TextBody"/>
        <w:bidi w:val="0"/>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On January 18, 2023, the Company raised $13.8 million from the issuance of the AFG Convertible Notes, which mature in June 2026.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to our unaudited condensed consolidated financial statements included elsewhere in this Quarterly Report</w:t>
      </w:r>
      <w:r>
        <w:rPr>
          <w:color w:val="000000"/>
        </w:rPr>
        <w:t xml:space="preserve"> </w:t>
      </w:r>
      <w:r>
        <w:rPr>
          <w:rFonts w:ascii="Times New Roman;sans-serif" w:hAnsi="Times New Roman;sans-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April 2023, the Company issued 16,000,000 shares of the Company’s common stock at a purchase price of $2.50 per share in a registered direct offering. The Company also issued in a concurrent private placement unregistered warrants to purchase up to an aggregate of 16,000,000 shares of common stock. The gross proceeds to the Company from the offering were $40.0 million, before deducting advisory fees and other offering expenses payable by the Company.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May 2023, the Company issued 3,601,980 shares of the Company’s common stock at a purchase price of $2.221 per share in a registered direct offering. The Company also issued in a concurrent private placement unregistered warrants to purchase up to an aggregate of 3,601,980 shares of common stock. The gross proceeds to the Company from the offering were $8.0 million, before deducting advisory fees and other offering expenses payable by the Company.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For the nine months ended September 30, 2023, total funds raised under the SEPA, inclusive of net proceeds received from the Yorkville Convertible Promissory Notes, were $35.6 million. See Note 18, </w:t>
      </w:r>
      <w:r>
        <w:rPr>
          <w:rFonts w:ascii="Times New Roman;sans-serif" w:hAnsi="Times New Roman;sans-serif"/>
          <w:b w:val="false"/>
          <w:i/>
          <w:color w:val="000000"/>
          <w:sz w:val="20"/>
        </w:rPr>
        <w:t xml:space="preserve">Shareholders' Deficit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Under the ATM offering program, for the nine months ended September 30, 2023, the Company sold 28,938,944 shares raising proceeds of $81.9 million, net of fees paid to Cowen, at an average selling price of $2.74 per share, included in the condensed consolidated statement of shareholders' equity.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capital expenditures and working capital requirements to increase as it seeks to execute its growth strategy. Total capital expenditures for the nine months ended September 30, 2023 and September 30, 2022 were $21.2 million and $18.8 million, respectively. We anticipate the remainder of 2023 spending to be used primarily for additional equipment, automation, and other infrastructure to expand the Company’s capacity to meet customer demand. The increase in capital expenditures was primarily driven by investment in the Eos Z3™ state of the art manufacturing line. The Company’s capital expenditure and working capital requirements in the foreseeable future may change depending on many factors, including but not limited to: equipment requirements to support the next generation(s) of products, growth in customer backlog, the Company’s operating results and its ability to secure funding, and any adjustments to the Company’s operating plan necessary to respond to industry conditions, competition or unexpected events.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Discussion and Analysis of Cash Flows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relies heavily on private placement of convertible notes, term loans, equipment financing and issuance of common stock.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 We have taken steps to conserve working capital and reduce expenses to better manage cash outflows.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cash flows from operating, investing, and financing activities for the periods presented.</w:t>
      </w:r>
    </w:p>
    <w:tbl>
      <w:tblPr>
        <w:tblW w:w="8921" w:type="dxa"/>
        <w:jc w:val="left"/>
        <w:tblInd w:w="0" w:type="dxa"/>
        <w:tblLayout w:type="fixed"/>
        <w:tblCellMar>
          <w:top w:w="28" w:type="dxa"/>
          <w:left w:w="28" w:type="dxa"/>
          <w:bottom w:w="28" w:type="dxa"/>
          <w:right w:w="28" w:type="dxa"/>
        </w:tblCellMar>
      </w:tblPr>
      <w:tblGrid>
        <w:gridCol w:w="1253"/>
        <w:gridCol w:w="1102"/>
        <w:gridCol w:w="1110"/>
        <w:gridCol w:w="109"/>
        <w:gridCol w:w="109"/>
        <w:gridCol w:w="109"/>
        <w:gridCol w:w="283"/>
        <w:gridCol w:w="1210"/>
        <w:gridCol w:w="146"/>
        <w:gridCol w:w="146"/>
        <w:gridCol w:w="146"/>
        <w:gridCol w:w="146"/>
        <w:gridCol w:w="283"/>
        <w:gridCol w:w="1210"/>
        <w:gridCol w:w="146"/>
        <w:gridCol w:w="109"/>
        <w:gridCol w:w="109"/>
        <w:gridCol w:w="109"/>
        <w:gridCol w:w="211"/>
        <w:gridCol w:w="721"/>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9"/>
            <w:tcBorders/>
            <w:tcMar>
              <w:top w:w="0" w:type="dxa"/>
              <w:left w:w="0" w:type="dxa"/>
              <w:bottom w:w="0" w:type="dxa"/>
              <w:right w:w="0" w:type="dxa"/>
            </w:tcMar>
            <w:vAlign w:val="center"/>
          </w:tcPr>
          <w:p>
            <w:pPr>
              <w:pStyle w:val="TableContents"/>
              <w:bidi w:val="0"/>
              <w:spacing w:lineRule="auto" w:line="240" w:before="20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(107,578)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(159,129)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used in operating activities primarily comprise of costs related to research and development, manufacturing of products, project commissioning and other general and administrative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of $107.6 million for the nine months ended September 30, 2023 was primarily driven by a net loss of $188.3 million, adjusted for non-cash items of $89.5 million, primarily related to write-down of property, plant and equipment, stock compensation expense, depreciation and amortization, non-cash interest expense, and changes in fair value of derivatives. The net cash outflows from changes in operating assets and liabilities was $8.7 million, primarily driven by decrease in accounts payable of $17.8 million and increase in vendor deposits of $4.0 million, partially offset by an increase in accrued expenses of $12.3 million.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$159.1 million for the nine months ended September 30, 2022, was primarily driven by a net loss of $173.2 million, adjusted for non-cash items of $14.4 million, primarily related to stock compensation expense, depreciation and amortization, and changes in fair value of derivatives. The net cash outflows from changes in operating assets and liabilities was $0.3 million, primarily driven by decrease in notes payable of $19.6 million and increase in inventory of $10.2 million, partially offset by increases in accounts payable of $22.0 million and accrued expenses of $5.9 million, and a decrease in vendor deposits of $4.0 million.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for the nine months ended September 30, 2023 were composed of payments made for purchases of property, plant and equipment of $21.2 million.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flows used in investing activities for the nine months ended September 30, 2022 were primarily composed of payments made for purchases of property, plant and equipment of $18.8 million and notes receivable advanced to customers of $0.3 million.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$170.6 million for the nine months ended September 30, 2023. This was primarily due to the net proceeds received from the Yorkville Convertible Promissory Notes and AFG Convertible Notes of $48.1 million and from the issuance of common stock and warrants of $131.1 million. The proceeds were partially offset by equity issuance costs of $2.1 million, debt issuance costs related to the Yorkville Convertible Promissory Notes, AFG Convertible Notes and Senior Secured Term Loan of $4.2 million, payments on the equipment financing facility of $2.1 million and $0.6 million for share repurchases from employees for tax withholding purposes.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$123.5 million for the nine months ended September 30, 2022, primarily due to the net proceeds from the following transactions: Senior Secured Term Loan of $92.8 million, issuance of common stock of $34.1 million, issuance of convertible notes of $7.2 million, and an increase in the equipment financing facility of $4.2 million. The proceeds were partially offset by debt issuance costs related of $12.7 million, payments on the equipment financing facility of $1.2 million and payment for share repurchases from employees for tax withholding purposes of $0.9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certain obligations and commitments to make future payments under contracts. As of September 30, 2023, this is comprised of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Open purchase obligations of $0.1 million, related to a supply purchase agreement with a minimum volume commitment. See Note 15,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unaudited condensed consolidated financial statements included elsewhere in this Quarterly Report.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Future lease payments, including interest, under non-cancellable operating and financing leases of $5.7 million. The leases expire at various dates prior to 2028. See Note 15,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unaudited condensed consolidated financial statements included elsewhere in this Quarterly Report.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Principal and Interest payments related to the following debt obligations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to our unaudited condensed consolidated financial statements included elsewhere in this Quarterly Report):</w:t>
      </w:r>
    </w:p>
    <w:tbl>
      <w:tblPr>
        <w:tblW w:w="7153" w:type="dxa"/>
        <w:jc w:val="left"/>
        <w:tblInd w:w="0" w:type="dxa"/>
        <w:tblLayout w:type="fixed"/>
        <w:tblCellMar>
          <w:top w:w="28" w:type="dxa"/>
          <w:left w:w="28" w:type="dxa"/>
          <w:bottom w:w="28" w:type="dxa"/>
          <w:right w:w="28" w:type="dxa"/>
        </w:tblCellMar>
      </w:tblPr>
      <w:tblGrid>
        <w:gridCol w:w="1854"/>
        <w:gridCol w:w="1631"/>
        <w:gridCol w:w="1644"/>
        <w:gridCol w:w="358"/>
        <w:gridCol w:w="1405"/>
        <w:gridCol w:w="261"/>
      </w:tblGrid>
      <w:tr>
        <w:trPr/>
        <w:tc>
          <w:tcPr>
            <w:tcW w:w="185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Future Debt Payments</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2021 Convertible Notes Payable - due June 2026 </w:t>
            </w:r>
            <w:r>
              <w:rPr>
                <w:rFonts w:ascii="Times New Roman;sans-serif" w:hAnsi="Times New Roman;sans-serif"/>
                <w:b w:val="false"/>
                <w:color w:val="000000"/>
                <w:sz w:val="13"/>
              </w:rPr>
              <w:t>(1)</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pPr>
            <w:r>
              <w:rPr>
                <w:rFonts w:ascii="Times New Roman;sans-serif" w:hAnsi="Times New Roman;sans-serif"/>
                <w:b w:val="false"/>
                <w:color w:val="000000"/>
                <w:sz w:val="20"/>
              </w:rPr>
              <w:t xml:space="preserve">AFG Convertible Notes - due June 2026 </w:t>
            </w:r>
            <w:r>
              <w:rPr>
                <w:rFonts w:ascii="Times New Roman;sans-serif" w:hAnsi="Times New Roman;sans-serif"/>
                <w:b w:val="false"/>
                <w:color w:val="000000"/>
                <w:sz w:val="13"/>
              </w:rPr>
              <w:t>(1)</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32,468 </w:t>
            </w:r>
          </w:p>
        </w:tc>
        <w:tc>
          <w:tcPr>
            <w:tcW w:w="261" w:type="dxa"/>
            <w:tcBorders/>
            <w:shd w:fill="FFFF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 due March 2026</w:t>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 - due April 2025 and April 2026</w:t>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309,303 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As of September 30, 2023, the Company is obligated to repay future contractual interest payments for the 2021 Convertible Notes and AFG Convertible Notes in-kind.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management believes to be reasonable under the circumstances. Actual results could differ materially from these estimates under different assumptions or conditions. Management regularly reevaluates assumptions, judgments, and estimates. The Company’s significant accounting policies are described in the Company’s Annual Report on Form 10-K for the year ended December 31,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Critical accounting estimates are those estimates that involve a significant level of estimation uncertainty and could have a material impact on our financial condition or results of operations. We have critical accounting estimates in the areas of warranty liability and financial instruments that are classified as level 3 in the fair value hierarchy, as discussed further below. </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Warranty Liability</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 generally provides a standard warranty for a period of two years. We also provide extended warranties and performance guarantees, which are identified as separate performance obligations in the Company's contracts with customers. We accrue warranty reserves at the time of recording the sale. Warranty reserves include management’s best estimate of the projected costs to repair or to replace any items under warranty, which is based on various factors including actual claim data to date, results of lab testing, factory quality data, and field monitoring. Due to limited claim experience since commercialization of our product, and the potential for variability in these underlying factors, the difference between our estimated costs and our actual costs could be material to our consolidated financial statements. If actual product failure rates or the frequency or severity of reported claims differ from our estimates, we may be required to revise our estimated warranty liability. We will also update actual warranty experience to determine warranty reserves as such experience becomes available. We review our reserves at least quarterly, seeking to ensure that our accruals are adequate in meeting expected future warranty obligations, and we will adjust our estimates as needed. Initial warranty data can be limited at the early stage in the commercialization of our products and, the adjustments that we record may be material. Thus, it is likely that as we sell additional BESS, we will acquire additional information on the projected costs to repair or replace items under warranty and may need to make additional adjustments. See Note 9, </w:t>
      </w:r>
      <w:r>
        <w:rPr>
          <w:rFonts w:ascii="Times New Roman;sans-serif" w:hAnsi="Times New Roman;sans-serif"/>
          <w:b w:val="false"/>
          <w:i/>
          <w:color w:val="000000"/>
          <w:sz w:val="20"/>
        </w:rPr>
        <w:t xml:space="preserve">Accrued Expenses </w:t>
      </w:r>
      <w:r>
        <w:rPr>
          <w:rFonts w:ascii="Times New Roman;sans-serif" w:hAnsi="Times New Roman;sans-serif"/>
          <w:b w:val="false"/>
          <w:color w:val="000000"/>
          <w:sz w:val="20"/>
        </w:rPr>
        <w:t>to our unaudited condensed consolidated financial statements included elsewhere in this Quarterly Report.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Warrants Liability </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 estimated the fair value of the April 2023 warrants and May 2023 warrants using the Black-Scholes model at inception and on subsequent valuation dates. This model incorporates inputs such as the stock price of the Company, risk-free interest rate, volatility, and time to expiration. The volatility involves unobservable inputs classified as Level 3 of the fair value hierarchy. See Note 14, </w:t>
      </w:r>
      <w:r>
        <w:rPr>
          <w:rFonts w:ascii="Times New Roman;sans-serif" w:hAnsi="Times New Roman;sans-serif"/>
          <w:b w:val="false"/>
          <w:i/>
          <w:color w:val="000000"/>
          <w:sz w:val="20"/>
        </w:rPr>
        <w:t xml:space="preserve">Fair Value Measurements </w:t>
      </w:r>
      <w:r>
        <w:rPr>
          <w:rFonts w:ascii="Times New Roman;sans-serif" w:hAnsi="Times New Roman;sans-serif"/>
          <w:b w:val="false"/>
          <w:color w:val="000000"/>
          <w:sz w:val="20"/>
        </w:rPr>
        <w:t>to our unaudited condensed consolidated financial statements included elsewhere in this Quarterly Report for further discussion.</w:t>
      </w:r>
      <w:r>
        <w:rPr>
          <w:color w:val="000000"/>
        </w:rPr>
        <w:t xml:space="preserve"> </w:t>
      </w:r>
      <w:r>
        <w:rPr>
          <w:rFonts w:ascii="Times New Roman;sans-serif" w:hAnsi="Times New Roman;sans-serif"/>
          <w:b w:val="false"/>
          <w:color w:val="000000"/>
          <w:sz w:val="20"/>
        </w:rPr>
        <w:t>The sensitivity of the fair value calculation to this assumption could create materially different results under different conditions or using different assumptions.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Notes and Embedded Derivatives</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 estimated the fair value of the embedded conversion features in the 2021 Convertible Notes and the AFG Convertible Notes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See Note 14, </w:t>
      </w:r>
      <w:r>
        <w:rPr>
          <w:rFonts w:ascii="Times New Roman;sans-serif" w:hAnsi="Times New Roman;sans-serif"/>
          <w:b w:val="false"/>
          <w:i/>
          <w:color w:val="000000"/>
          <w:sz w:val="20"/>
        </w:rPr>
        <w:t xml:space="preserve">Fair Value Measurements </w:t>
      </w:r>
      <w:r>
        <w:rPr>
          <w:rFonts w:ascii="Times New Roman;sans-serif" w:hAnsi="Times New Roman;sans-serif"/>
          <w:b w:val="false"/>
          <w:color w:val="000000"/>
          <w:sz w:val="20"/>
        </w:rPr>
        <w:t>to our unaudited condensed consolidated financial statements included elsewhere in this Quarterly Report for further discussion. The sensitivity of the fair value calculation to these methods, assumptions, and estimates included could create materially different results under different conditions or using different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Company’s market risk exposures for the nine months ended September 30, 2023, as compared to those discussed in its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under the supervision of the Chief Executive Officer (CEO) and the Chief Financial Officer (CFO), evaluated the effectiveness of the design and operation of the Company’s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the Company’s disclosure controls and procedures were not effective as of September 30, 2023 because of material weaknesses resulting from lack of a formalized internal control framework in accordance with COSO, inadequate segregation of duties in the financial reporting process, lack of review and approval of journal entries, and a lack of management review controls.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the Company’s reports filed under the Exchange Act is accumulated and communicated to management, including its CEO and its CFO, to allow timely decisions regarding required disclosure.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material weaknesses, management performed additional analyses, reconciliations, and other post-closing procedures to determine that the Company’s unaudited condensed consolidated financial statements are prepared in accordance with U.S. GAAP. Based on this review, management concluded that the unaudited condensed consolidated financial statements included in this report fairly present in all material respects the Company’s financial condition, results of operations and cash flows for the periods presented.</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the Company’s internal control over financial reporting (as defined in Rules 13a-15(f) and 15d-15(f) under the Securities Exchange Act of 1934) during the most recent quarter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pStyle w:val="TextBody"/>
        <w:bidi w:val="0"/>
        <w:spacing w:lineRule="auto" w:line="288" w:before="160" w:after="283"/>
        <w:jc w:val="both"/>
        <w:rPr/>
      </w:pPr>
      <w:r>
        <w:rPr>
          <w:rFonts w:ascii="Times New Roman;sans-serif" w:hAnsi="Times New Roman;sans-serif"/>
          <w:b w:val="false"/>
          <w:color w:val="000000"/>
          <w:sz w:val="20"/>
        </w:rPr>
        <w:t xml:space="preserve">As disclosed in Note 15,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unaudited condensed consolidated financial statements included elsewhere in this Quarterly Report, on August 1, 2023, a class action complaint was filed against the Company, its Chief Executive Officer, its Chief Financial Officer, and its former Chief Financial Officer (the “August Complaint”) in the United States District Court, District of New Jersey. The August Complaint asserts violations of the federal securities laws in connection with statements and alleged omissions relating to the Company’s business, prospects and reported backlog</w:t>
      </w:r>
      <w:r>
        <w:rPr>
          <w:rFonts w:ascii="Times New Roman;sans-serif" w:hAnsi="Times New Roman;sans-serif"/>
          <w:b w:val="false"/>
          <w:color w:val="444444"/>
          <w:sz w:val="20"/>
          <w:shd w:fill="FFFFFF" w:val="clear"/>
        </w:rPr>
        <w:t xml:space="preserve">. </w:t>
      </w:r>
      <w:r>
        <w:rPr>
          <w:rFonts w:ascii="Times New Roman;sans-serif" w:hAnsi="Times New Roman;sans-serif"/>
          <w:b w:val="false"/>
          <w:color w:val="000000"/>
          <w:sz w:val="20"/>
        </w:rPr>
        <w:t>The Company believes the August Complaint is without merit and intends to vigorously defend against this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there have been no additional material changes to the risk factors disclosed in our annual report on Form 10-K for the fiscal year ended December 31, 2022 and our quarterly report on Form 10-Q for the period ended June 30, 2023. We may disclose changes to such risk factors or disclose additional risk factors from time to time in our future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340"/>
        <w:gridCol w:w="298"/>
        <w:gridCol w:w="299"/>
        <w:gridCol w:w="109"/>
        <w:gridCol w:w="109"/>
        <w:gridCol w:w="109"/>
        <w:gridCol w:w="1435"/>
        <w:gridCol w:w="1192"/>
        <w:gridCol w:w="1196"/>
        <w:gridCol w:w="109"/>
        <w:gridCol w:w="109"/>
        <w:gridCol w:w="109"/>
        <w:gridCol w:w="335"/>
        <w:gridCol w:w="335"/>
        <w:gridCol w:w="336"/>
        <w:gridCol w:w="109"/>
        <w:gridCol w:w="109"/>
        <w:gridCol w:w="109"/>
        <w:gridCol w:w="321"/>
        <w:gridCol w:w="321"/>
        <w:gridCol w:w="323"/>
        <w:gridCol w:w="109"/>
        <w:gridCol w:w="109"/>
        <w:gridCol w:w="109"/>
        <w:gridCol w:w="270"/>
        <w:gridCol w:w="270"/>
        <w:gridCol w:w="271"/>
        <w:gridCol w:w="109"/>
        <w:gridCol w:w="109"/>
        <w:gridCol w:w="109"/>
        <w:gridCol w:w="350"/>
        <w:gridCol w:w="314"/>
        <w:gridCol w:w="364"/>
      </w:tblGrid>
      <w:tr>
        <w:trPr/>
        <w:tc>
          <w:tcPr>
            <w:tcW w:w="3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2023</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19, 2022</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u w:val="single"/>
                </w:rPr>
                <w:t xml:space="preserve">Amendment No. 1 to </w:t>
              </w:r>
            </w:hyperlink>
            <w:hyperlink r:id="rId5">
              <w:r>
                <w:rPr>
                  <w:rStyle w:val="InternetLink"/>
                  <w:rFonts w:ascii="Times New Roman;sans-serif" w:hAnsi="Times New Roman;sans-serif"/>
                  <w:b w:val="false"/>
                  <w:color w:val="000080"/>
                  <w:sz w:val="20"/>
                  <w:u w:val="single"/>
                </w:rPr>
                <w:t xml:space="preserve">Common Stock </w:t>
              </w:r>
            </w:hyperlink>
            <w:hyperlink r:id="rId6">
              <w:r>
                <w:rPr>
                  <w:rStyle w:val="InternetLink"/>
                  <w:rFonts w:ascii="Times New Roman;sans-serif" w:hAnsi="Times New Roman;sans-serif"/>
                  <w:b w:val="false"/>
                  <w:color w:val="000080"/>
                  <w:sz w:val="20"/>
                  <w:u w:val="single"/>
                </w:rPr>
                <w:t>Sales Agreement, dated August 23, 2023, by and between Eos Energy Enterprises, Inc. and Cowen and Company,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23, 2023</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Master Supply Agreement, dated August 23, 2023, by and between HI-POWER, LLC and ACRO Automation Systems,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23, 2023</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80"/>
                  <w:sz w:val="20"/>
                  <w:u w:val="single"/>
                </w:rPr>
                <w:t>Employment Agreement, dated</w:t>
              </w:r>
            </w:hyperlink>
            <w:hyperlink r:id="rId9">
              <w:r>
                <w:rPr>
                  <w:rStyle w:val="InternetLink"/>
                  <w:rFonts w:ascii="Times New Roman;sans-serif" w:hAnsi="Times New Roman;sans-serif"/>
                  <w:b w:val="false"/>
                  <w:color w:val="000080"/>
                  <w:sz w:val="20"/>
                  <w:u w:val="single"/>
                </w:rPr>
                <w:t xml:space="preserve"> August 27, 2</w:t>
              </w:r>
            </w:hyperlink>
            <w:hyperlink r:id="rId10">
              <w:r>
                <w:rPr>
                  <w:rStyle w:val="InternetLink"/>
                  <w:rFonts w:ascii="Times New Roman;sans-serif" w:hAnsi="Times New Roman;sans-serif"/>
                  <w:b w:val="false"/>
                  <w:color w:val="000080"/>
                  <w:sz w:val="20"/>
                  <w:u w:val="single"/>
                </w:rPr>
                <w:t>023</w:t>
              </w:r>
            </w:hyperlink>
            <w:hyperlink r:id="rId11">
              <w:r>
                <w:rPr>
                  <w:rStyle w:val="InternetLink"/>
                  <w:rFonts w:ascii="Times New Roman;sans-serif" w:hAnsi="Times New Roman;sans-serif"/>
                  <w:b w:val="false"/>
                  <w:color w:val="000080"/>
                  <w:sz w:val="20"/>
                  <w:u w:val="single"/>
                </w:rPr>
                <w:t xml:space="preserve">, by and between </w:t>
              </w:r>
            </w:hyperlink>
            <w:hyperlink r:id="rId12">
              <w:r>
                <w:rPr>
                  <w:rStyle w:val="InternetLink"/>
                  <w:rFonts w:ascii="Times New Roman;sans-serif" w:hAnsi="Times New Roman;sans-serif"/>
                  <w:b w:val="false"/>
                  <w:color w:val="000080"/>
                  <w:sz w:val="20"/>
                  <w:u w:val="single"/>
                </w:rPr>
                <w:t>the Company</w:t>
              </w:r>
            </w:hyperlink>
            <w:hyperlink r:id="rId13">
              <w:r>
                <w:rPr>
                  <w:rStyle w:val="InternetLink"/>
                  <w:rFonts w:ascii="Times New Roman;sans-serif" w:hAnsi="Times New Roman;sans-serif"/>
                  <w:b w:val="false"/>
                  <w:color w:val="000080"/>
                  <w:sz w:val="20"/>
                  <w:u w:val="single"/>
                </w:rPr>
                <w:t xml:space="preserve"> and Sumeet Puri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28, 2023</w:t>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1-110623.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2-110623.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2-110623.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XBRL Taxonomy Extension Presentation Linkbase Document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Certain of the exhibits and schedules to this Exhibit have been omitted in accordance with Regulation S-K Item 601(a)(5). The Registrant agrees to furnish a copy of all omitted exhibits and schedules to the SEC upon its request.</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The financial statements filed as part of this registration statement are listed in the index to the financial statements immediately preceding such financial statements, which index to the financial statements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e2d934043eb4a329c2421d6d987ad21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754" w:type="dxa"/>
        <w:jc w:val="left"/>
        <w:tblInd w:w="0" w:type="dxa"/>
        <w:tblLayout w:type="fixed"/>
        <w:tblCellMar>
          <w:top w:w="28" w:type="dxa"/>
          <w:left w:w="28" w:type="dxa"/>
          <w:bottom w:w="28" w:type="dxa"/>
          <w:right w:w="28" w:type="dxa"/>
        </w:tblCellMar>
      </w:tblPr>
      <w:tblGrid>
        <w:gridCol w:w="759"/>
        <w:gridCol w:w="668"/>
        <w:gridCol w:w="672"/>
        <w:gridCol w:w="512"/>
        <w:gridCol w:w="512"/>
        <w:gridCol w:w="512"/>
        <w:gridCol w:w="914"/>
        <w:gridCol w:w="914"/>
        <w:gridCol w:w="129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r>
    </w:tbl>
    <w:tbl>
      <w:tblPr>
        <w:tblW w:w="5143" w:type="dxa"/>
        <w:jc w:val="left"/>
        <w:tblInd w:w="0" w:type="dxa"/>
        <w:tblLayout w:type="fixed"/>
        <w:tblCellMar>
          <w:top w:w="28" w:type="dxa"/>
          <w:left w:w="28" w:type="dxa"/>
          <w:bottom w:w="28" w:type="dxa"/>
          <w:right w:w="28" w:type="dxa"/>
        </w:tblCellMar>
      </w:tblPr>
      <w:tblGrid>
        <w:gridCol w:w="759"/>
        <w:gridCol w:w="668"/>
        <w:gridCol w:w="672"/>
        <w:gridCol w:w="208"/>
        <w:gridCol w:w="208"/>
        <w:gridCol w:w="213"/>
        <w:gridCol w:w="707"/>
        <w:gridCol w:w="707"/>
        <w:gridCol w:w="10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Kroeker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20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 PURSUANT TO SECTION 302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Joseph Mastrangelo, certify that: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577"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 PURSUANT TO SECTION 302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Nathan Kroeker, certify that: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(the “Report”) of Eos Energy Enterprises, Inc. (the Registrant”);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590"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109"/>
        <w:gridCol w:w="109"/>
        <w:gridCol w:w="109"/>
        <w:gridCol w:w="109"/>
        <w:gridCol w:w="109"/>
        <w:gridCol w:w="109"/>
        <w:gridCol w:w="109"/>
        <w:gridCol w:w="109"/>
        <w:gridCol w:w="109"/>
        <w:gridCol w:w="267"/>
        <w:gridCol w:w="267"/>
        <w:gridCol w:w="267"/>
        <w:gridCol w:w="267"/>
        <w:gridCol w:w="267"/>
        <w:gridCol w:w="267"/>
        <w:gridCol w:w="267"/>
        <w:gridCol w:w="267"/>
        <w:gridCol w:w="380"/>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Kroeker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Eos Energy Enterprises, Inc. (the “Registrant”), for the quarterly period ended September 30, 2023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5577"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Eos Energy Enterprises, Inc. (the “Registrant”), for the quarterly period ended September 30, 2023 as filed with the Securities and Exchange Commission on the date hereof (the “Report”), I, Nathan Kroeker, hereby certify, in the capacity and on the date indicated below, pursuant to 18 U.S.C. §1350, as adopted pursuant to Section 906 of the Sarbanes-Oxley Act of 2002, that, to my knowledge: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5917"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109"/>
        <w:gridCol w:w="109"/>
        <w:gridCol w:w="109"/>
        <w:gridCol w:w="109"/>
        <w:gridCol w:w="109"/>
        <w:gridCol w:w="109"/>
        <w:gridCol w:w="109"/>
        <w:gridCol w:w="109"/>
        <w:gridCol w:w="109"/>
        <w:gridCol w:w="109"/>
        <w:gridCol w:w="109"/>
        <w:gridCol w:w="109"/>
        <w:gridCol w:w="267"/>
        <w:gridCol w:w="267"/>
        <w:gridCol w:w="267"/>
        <w:gridCol w:w="267"/>
        <w:gridCol w:w="267"/>
        <w:gridCol w:w="267"/>
        <w:gridCol w:w="267"/>
        <w:gridCol w:w="267"/>
        <w:gridCol w:w="380"/>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Kroeker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077/000162828023005647/ex31-thirdamendedandrestat.htm" TargetMode="External"/><Relationship Id="rId3" Type="http://schemas.openxmlformats.org/officeDocument/2006/relationships/hyperlink" Target="https://www.sec.gov/Archives/edgar/data/1805077/000162828022014885/secondamendedandrestatedby.htm" TargetMode="External"/><Relationship Id="rId4" Type="http://schemas.openxmlformats.org/officeDocument/2006/relationships/hyperlink" Target="https://www.sec.gov/Archives/edgar/data/1805077/000162828023030426/amendment1tocommonstocksal.htm" TargetMode="External"/><Relationship Id="rId5" Type="http://schemas.openxmlformats.org/officeDocument/2006/relationships/hyperlink" Target="https://www.sec.gov/Archives/edgar/data/1805077/000162828023030426/amendment1tocommonstocksal.htm" TargetMode="External"/><Relationship Id="rId6" Type="http://schemas.openxmlformats.org/officeDocument/2006/relationships/hyperlink" Target="https://www.sec.gov/Archives/edgar/data/1805077/000162828023030426/amendment1tocommonstocksal.htm" TargetMode="External"/><Relationship Id="rId7" Type="http://schemas.openxmlformats.org/officeDocument/2006/relationships/hyperlink" Target="https://www.sec.gov/Archives/edgar/data/1805077/000162828023030426/acrosupplyagreement-0823.htm" TargetMode="External"/><Relationship Id="rId8" Type="http://schemas.openxmlformats.org/officeDocument/2006/relationships/hyperlink" Target="https://www.sec.gov/Archives/edgar/data/1805077/000180507723000030/eosemploymentagreement_p.htm" TargetMode="External"/><Relationship Id="rId9" Type="http://schemas.openxmlformats.org/officeDocument/2006/relationships/hyperlink" Target="https://www.sec.gov/Archives/edgar/data/1805077/000180507723000030/eosemploymentagreement_p.htm" TargetMode="External"/><Relationship Id="rId10" Type="http://schemas.openxmlformats.org/officeDocument/2006/relationships/hyperlink" Target="https://www.sec.gov/Archives/edgar/data/1805077/000180507723000030/eosemploymentagreement_p.htm" TargetMode="External"/><Relationship Id="rId11" Type="http://schemas.openxmlformats.org/officeDocument/2006/relationships/hyperlink" Target="https://www.sec.gov/Archives/edgar/data/1805077/000180507723000030/eosemploymentagreement_p.htm" TargetMode="External"/><Relationship Id="rId12" Type="http://schemas.openxmlformats.org/officeDocument/2006/relationships/hyperlink" Target="https://www.sec.gov/Archives/edgar/data/1805077/000180507723000030/eosemploymentagreement_p.htm" TargetMode="External"/><Relationship Id="rId13" Type="http://schemas.openxmlformats.org/officeDocument/2006/relationships/hyperlink" Target="https://www.sec.gov/Archives/edgar/data/1805077/000180507723000030/eosemploymentagreement_p.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23840</Words>
  <Characters>131757</Characters>
  <CharactersWithSpaces>154190</CharactersWithSpaces>
  <Paragraphs>2629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