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tbl>
      <w:tblPr>
        <w:tblW w:w="10205" w:type="dxa"/>
        <w:jc w:val="left"/>
        <w:tblInd w:w="0" w:type="dxa"/>
        <w:tblLayout w:type="fixed"/>
        <w:tblCellMar>
          <w:top w:w="28" w:type="dxa"/>
          <w:left w:w="28" w:type="dxa"/>
          <w:bottom w:w="28" w:type="dxa"/>
          <w:right w:w="28" w:type="dxa"/>
        </w:tblCellMar>
      </w:tblPr>
      <w:tblGrid>
        <w:gridCol w:w="141"/>
        <w:gridCol w:w="124"/>
        <w:gridCol w:w="126"/>
        <w:gridCol w:w="2871"/>
        <w:gridCol w:w="2871"/>
        <w:gridCol w:w="407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40" w:after="40"/>
              <w:jc w:val="center"/>
              <w:rPr>
                <w:color w:val="000000"/>
              </w:rPr>
            </w:pPr>
            <w:r>
              <w:rPr>
                <w:color w:val="000000"/>
              </w:rPr>
              <w:t> ☒</w:t>
            </w:r>
          </w:p>
        </w:tc>
        <w:tc>
          <w:tcPr>
            <w:tcW w:w="9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ans-serif" w:hAnsi="Times New Roman;sans-serif"/>
          <w:b/>
          <w:color w:val="000000"/>
          <w:sz w:val="20"/>
        </w:rPr>
        <w:t>For the transition period from  </w:t>
      </w:r>
      <w:r>
        <w:rPr>
          <w:color w:val="000000"/>
          <w:u w:val="single"/>
        </w:rPr>
        <w:t xml:space="preserve"> </w:t>
      </w:r>
      <w:r>
        <w:rPr>
          <w:rFonts w:ascii="Times New Roman;sans-serif" w:hAnsi="Times New Roman;sans-serif"/>
          <w:b/>
          <w:color w:val="000000"/>
          <w:sz w:val="20"/>
        </w:rPr>
        <w:t xml:space="preserve">to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001-39291</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p>
      <w:pPr>
        <w:pStyle w:val="TextBody"/>
        <w:bidi w:val="0"/>
        <w:spacing w:lineRule="auto" w:line="288" w:before="0" w:after="1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tbl>
      <w:tblPr>
        <w:tblW w:w="9031" w:type="dxa"/>
        <w:jc w:val="left"/>
        <w:tblInd w:w="0" w:type="dxa"/>
        <w:tblLayout w:type="fixed"/>
        <w:tblCellMar>
          <w:top w:w="28" w:type="dxa"/>
          <w:left w:w="28" w:type="dxa"/>
          <w:bottom w:w="28" w:type="dxa"/>
          <w:right w:w="28" w:type="dxa"/>
        </w:tblCellMar>
      </w:tblPr>
      <w:tblGrid>
        <w:gridCol w:w="1795"/>
        <w:gridCol w:w="1577"/>
        <w:gridCol w:w="1593"/>
        <w:gridCol w:w="230"/>
        <w:gridCol w:w="230"/>
        <w:gridCol w:w="231"/>
        <w:gridCol w:w="115"/>
        <w:gridCol w:w="115"/>
        <w:gridCol w:w="116"/>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84-4290188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6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3920 Park Avenue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Edison</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NJ</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08820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(732) 225-8400</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15"/>
        <w:gridCol w:w="1501"/>
        <w:gridCol w:w="1518"/>
        <w:gridCol w:w="560"/>
        <w:gridCol w:w="560"/>
        <w:gridCol w:w="562"/>
        <w:gridCol w:w="1107"/>
        <w:gridCol w:w="1107"/>
        <w:gridCol w:w="1575"/>
      </w:tblGrid>
      <w:tr>
        <w:trPr/>
        <w:tc>
          <w:tcPr>
            <w:tcW w:w="171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EOSE</w:t>
            </w:r>
          </w:p>
        </w:tc>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exercisable for one share of common stock</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EOSEW</w:t>
            </w:r>
          </w:p>
        </w:tc>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283"/>
              <w:jc w:val="center"/>
              <w:rPr>
                <w:color w:val="000000"/>
              </w:rPr>
            </w:pPr>
            <w:r>
              <w:rPr>
                <w:color w:val="000000"/>
              </w:rPr>
              <w:t>☐</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Act).     Yes   ☐     No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208,127,550 shares of common stock as of May 8,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61"/>
        <w:gridCol w:w="229"/>
        <w:gridCol w:w="230"/>
        <w:gridCol w:w="2978"/>
        <w:gridCol w:w="2978"/>
        <w:gridCol w:w="2984"/>
        <w:gridCol w:w="158"/>
        <w:gridCol w:w="158"/>
        <w:gridCol w:w="229"/>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3">
              <w:r>
                <w:rPr>
                  <w:rStyle w:val="InternetLink"/>
                  <w:rFonts w:ascii="Times New Roman;sans-serif" w:hAnsi="Times New Roman;sans-serif"/>
                  <w:b w:val="false"/>
                  <w:strike w:val="false"/>
                  <w:dstrike w:val="false"/>
                  <w:color w:val="000000"/>
                  <w:sz w:val="20"/>
                  <w:u w:val="none"/>
                  <w:effect w:val="none"/>
                </w:rPr>
                <w:t>PART I - FINANCIAL INFORMATION</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6">
              <w:r>
                <w:rPr>
                  <w:rStyle w:val="InternetLink"/>
                  <w:rFonts w:ascii="Times New Roman;sans-serif" w:hAnsi="Times New Roman;sans-serif"/>
                  <w:b w:val="false"/>
                  <w:strike w:val="false"/>
                  <w:dstrike w:val="false"/>
                  <w:color w:val="000000"/>
                  <w:sz w:val="20"/>
                  <w:u w:val="none"/>
                  <w:effect w:val="none"/>
                </w:rPr>
                <w:t xml:space="preserve">Item 1. </w:t>
              </w:r>
            </w:hyperlink>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6">
              <w:r>
                <w:rPr>
                  <w:rStyle w:val="InternetLink"/>
                  <w:rFonts w:ascii="Times New Roman;sans-serif" w:hAnsi="Times New Roman;sans-serif"/>
                  <w:b w:val="false"/>
                  <w:strike w:val="false"/>
                  <w:dstrike w:val="false"/>
                  <w:color w:val="000000"/>
                  <w:sz w:val="20"/>
                  <w:u w:val="none"/>
                  <w:effect w:val="none"/>
                </w:rPr>
                <w:t xml:space="preserve">Financial Statements </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6">
              <w:r>
                <w:rPr>
                  <w:rStyle w:val="InternetLink"/>
                  <w:rFonts w:ascii="Times New Roman;sans-serif" w:hAnsi="Times New Roman;sans-serif"/>
                  <w:b w:val="false"/>
                  <w:strike w:val="false"/>
                  <w:dstrike w:val="false"/>
                  <w:color w:val="000000"/>
                  <w:sz w:val="20"/>
                  <w:u w:val="none"/>
                  <w:effect w:val="none"/>
                </w:rPr>
                <w:t>4</w:t>
              </w:r>
            </w:hyperlink>
          </w:p>
        </w:tc>
      </w:tr>
      <w:tr>
        <w:trPr/>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Unaudited </w:t>
            </w:r>
            <w:hyperlink w:anchor="i89bf6f39fd2b48668219dedeb576350d_19">
              <w:r>
                <w:rPr>
                  <w:rStyle w:val="InternetLink"/>
                  <w:rFonts w:ascii="Times New Roman;sans-serif" w:hAnsi="Times New Roman;sans-serif"/>
                  <w:b w:val="false"/>
                  <w:strike w:val="false"/>
                  <w:dstrike w:val="false"/>
                  <w:color w:val="000000"/>
                  <w:sz w:val="20"/>
                  <w:u w:val="none"/>
                  <w:effect w:val="none"/>
                </w:rPr>
                <w:t xml:space="preserve">Condensed Consolidated Balance Sheets as of </w:t>
              </w:r>
            </w:hyperlink>
            <w:r>
              <w:rPr>
                <w:rFonts w:ascii="Times New Roman;sans-serif" w:hAnsi="Times New Roman;sans-serif"/>
                <w:b w:val="false"/>
                <w:color w:val="000000"/>
                <w:sz w:val="20"/>
              </w:rPr>
              <w:t>March 31, 2024</w:t>
            </w:r>
            <w:hyperlink w:anchor="i89bf6f39fd2b48668219dedeb576350d_19">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December 31, 2023</w:t>
            </w:r>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9">
              <w:r>
                <w:rPr>
                  <w:rStyle w:val="InternetLink"/>
                  <w:rFonts w:ascii="Times New Roman;sans-serif" w:hAnsi="Times New Roman;sans-serif"/>
                  <w:b w:val="false"/>
                  <w:strike w:val="false"/>
                  <w:dstrike w:val="false"/>
                  <w:color w:val="000000"/>
                  <w:sz w:val="20"/>
                  <w:u w:val="none"/>
                  <w:effect w:val="none"/>
                </w:rPr>
                <w:t>4</w:t>
              </w:r>
            </w:hyperlink>
          </w:p>
        </w:tc>
      </w:tr>
      <w:tr>
        <w:trPr/>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Unaudited </w:t>
            </w:r>
            <w:hyperlink w:anchor="i89bf6f39fd2b48668219dedeb576350d_22">
              <w:r>
                <w:rPr>
                  <w:rStyle w:val="InternetLink"/>
                  <w:rFonts w:ascii="Times New Roman;sans-serif" w:hAnsi="Times New Roman;sans-serif"/>
                  <w:b w:val="false"/>
                  <w:strike w:val="false"/>
                  <w:dstrike w:val="false"/>
                  <w:color w:val="000080"/>
                  <w:sz w:val="20"/>
                  <w:u w:val="single"/>
                  <w:effect w:val="none"/>
                </w:rPr>
                <w:t xml:space="preserve">Condensed Consolidated Statements of Operations and Comprehensive </w:t>
              </w:r>
            </w:hyperlink>
            <w:hyperlink w:anchor="i89bf6f39fd2b48668219dedeb576350d_22">
              <w:r>
                <w:rPr>
                  <w:rStyle w:val="InternetLink"/>
                  <w:rFonts w:ascii="Times New Roman;sans-serif" w:hAnsi="Times New Roman;sans-serif"/>
                  <w:b w:val="false"/>
                  <w:strike w:val="false"/>
                  <w:dstrike w:val="false"/>
                  <w:color w:val="000080"/>
                  <w:sz w:val="20"/>
                  <w:u w:val="single"/>
                  <w:effect w:val="none"/>
                </w:rPr>
                <w:t>Loss</w:t>
              </w:r>
            </w:hyperlink>
            <w:hyperlink w:anchor="i89bf6f39fd2b48668219dedeb576350d_22">
              <w:r>
                <w:rPr>
                  <w:rStyle w:val="InternetLink"/>
                  <w:rFonts w:ascii="Times New Roman;sans-serif" w:hAnsi="Times New Roman;sans-serif"/>
                  <w:b w:val="false"/>
                  <w:strike w:val="false"/>
                  <w:dstrike w:val="false"/>
                  <w:color w:val="000080"/>
                  <w:sz w:val="20"/>
                  <w:u w:val="single"/>
                  <w:effect w:val="none"/>
                </w:rPr>
                <w:t xml:space="preserve"> for the Three</w:t>
              </w:r>
            </w:hyperlink>
            <w:hyperlink w:anchor="i89bf6f39fd2b48668219dedeb576350d_22">
              <w:r>
                <w:rPr>
                  <w:rStyle w:val="InternetLink"/>
                  <w:rFonts w:ascii="Times New Roman;sans-serif" w:hAnsi="Times New Roman;sans-serif"/>
                  <w:b w:val="false"/>
                  <w:strike w:val="false"/>
                  <w:dstrike w:val="false"/>
                  <w:color w:val="000080"/>
                  <w:sz w:val="20"/>
                  <w:u w:val="single"/>
                  <w:effect w:val="none"/>
                </w:rPr>
                <w:t xml:space="preserve"> Months Ended </w:t>
              </w:r>
            </w:hyperlink>
            <w:r>
              <w:rPr>
                <w:rFonts w:ascii="Times New Roman;sans-serif" w:hAnsi="Times New Roman;sans-serif"/>
                <w:b w:val="false"/>
                <w:color w:val="000000"/>
                <w:sz w:val="20"/>
              </w:rPr>
              <w:t>March 31, 2024</w:t>
            </w:r>
            <w:hyperlink w:anchor="i89bf6f39fd2b48668219dedeb576350d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2023</w:t>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22">
              <w:r>
                <w:rPr>
                  <w:rStyle w:val="InternetLink"/>
                  <w:rFonts w:ascii="Times New Roman;sans-serif" w:hAnsi="Times New Roman;sans-serif"/>
                  <w:b w:val="false"/>
                  <w:strike w:val="false"/>
                  <w:dstrike w:val="false"/>
                  <w:color w:val="000000"/>
                  <w:sz w:val="20"/>
                  <w:u w:val="none"/>
                  <w:effect w:val="none"/>
                </w:rPr>
                <w:t>6</w:t>
              </w:r>
            </w:hyperlink>
          </w:p>
        </w:tc>
      </w:tr>
      <w:tr>
        <w:trPr/>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Unaudited </w:t>
            </w:r>
            <w:hyperlink w:anchor="i89bf6f39fd2b48668219dedeb576350d_25">
              <w:r>
                <w:rPr>
                  <w:rStyle w:val="InternetLink"/>
                  <w:rFonts w:ascii="Times New Roman;sans-serif" w:hAnsi="Times New Roman;sans-serif"/>
                  <w:b w:val="false"/>
                  <w:strike w:val="false"/>
                  <w:dstrike w:val="false"/>
                  <w:color w:val="000080"/>
                  <w:sz w:val="20"/>
                  <w:u w:val="single"/>
                  <w:effect w:val="none"/>
                </w:rPr>
                <w:t xml:space="preserve">Condensed Consolidated Statements of Shareholders’ </w:t>
              </w:r>
            </w:hyperlink>
            <w:hyperlink w:anchor="i89bf6f39fd2b48668219dedeb576350d_25">
              <w:r>
                <w:rPr>
                  <w:rStyle w:val="InternetLink"/>
                  <w:rFonts w:ascii="Times New Roman;sans-serif" w:hAnsi="Times New Roman;sans-serif"/>
                  <w:b w:val="false"/>
                  <w:strike w:val="false"/>
                  <w:dstrike w:val="false"/>
                  <w:color w:val="000080"/>
                  <w:sz w:val="20"/>
                  <w:u w:val="single"/>
                  <w:effect w:val="none"/>
                </w:rPr>
                <w:t>Deficit</w:t>
              </w:r>
            </w:hyperlink>
            <w:hyperlink w:anchor="i89bf6f39fd2b48668219dedeb576350d_25">
              <w:r>
                <w:rPr>
                  <w:rStyle w:val="InternetLink"/>
                  <w:rFonts w:ascii="Times New Roman;sans-serif" w:hAnsi="Times New Roman;sans-serif"/>
                  <w:b w:val="false"/>
                  <w:strike w:val="false"/>
                  <w:dstrike w:val="false"/>
                  <w:color w:val="000080"/>
                  <w:sz w:val="20"/>
                  <w:u w:val="single"/>
                  <w:effect w:val="none"/>
                </w:rPr>
                <w:t xml:space="preserve"> for the Three</w:t>
              </w:r>
            </w:hyperlink>
            <w:hyperlink w:anchor="i89bf6f39fd2b48668219dedeb576350d_25">
              <w:r>
                <w:rPr>
                  <w:rStyle w:val="InternetLink"/>
                  <w:rFonts w:ascii="Times New Roman;sans-serif" w:hAnsi="Times New Roman;sans-serif"/>
                  <w:b w:val="false"/>
                  <w:strike w:val="false"/>
                  <w:dstrike w:val="false"/>
                  <w:color w:val="000080"/>
                  <w:sz w:val="20"/>
                  <w:u w:val="single"/>
                  <w:effect w:val="none"/>
                </w:rPr>
                <w:t xml:space="preserve"> Months Ended </w:t>
              </w:r>
            </w:hyperlink>
            <w:r>
              <w:rPr>
                <w:rFonts w:ascii="Times New Roman;sans-serif" w:hAnsi="Times New Roman;sans-serif"/>
                <w:b w:val="false"/>
                <w:color w:val="000000"/>
                <w:sz w:val="20"/>
              </w:rPr>
              <w:t xml:space="preserve">March 31, 2024 </w:t>
            </w:r>
            <w:hyperlink w:anchor="i89bf6f39fd2b48668219dedeb576350d_22">
              <w:r>
                <w:rPr>
                  <w:rStyle w:val="InternetLink"/>
                  <w:rFonts w:ascii="Times New Roman;sans-serif" w:hAnsi="Times New Roman;sans-serif"/>
                  <w:b w:val="false"/>
                  <w:strike w:val="false"/>
                  <w:dstrike w:val="false"/>
                  <w:color w:val="000000"/>
                  <w:sz w:val="20"/>
                  <w:u w:val="none"/>
                  <w:effect w:val="none"/>
                </w:rPr>
                <w:t xml:space="preserve">and </w:t>
              </w:r>
            </w:hyperlink>
            <w:r>
              <w:rPr>
                <w:rFonts w:ascii="Times New Roman;sans-serif" w:hAnsi="Times New Roman;sans-serif"/>
                <w:b w:val="false"/>
                <w:color w:val="000000"/>
                <w:sz w:val="20"/>
              </w:rPr>
              <w:t>2023</w:t>
            </w:r>
            <w:hyperlink w:anchor="i89bf6f39fd2b48668219dedeb576350d_22">
              <w:r>
                <w:rPr>
                  <w:rStyle w:val="InternetLink"/>
                  <w:rFonts w:ascii="Times New Roman;sans-serif" w:hAnsi="Times New Roman;sans-serif"/>
                  <w:b w:val="false"/>
                  <w:strike w:val="false"/>
                  <w:dstrike w:val="false"/>
                  <w:color w:val="000000"/>
                  <w:sz w:val="20"/>
                  <w:u w:val="none"/>
                  <w:effect w:val="none"/>
                </w:rPr>
                <w:t xml:space="preserve"> </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25">
              <w:r>
                <w:rPr>
                  <w:rStyle w:val="InternetLink"/>
                  <w:rFonts w:ascii="Times New Roman;sans-serif" w:hAnsi="Times New Roman;sans-serif"/>
                  <w:b w:val="false"/>
                  <w:strike w:val="false"/>
                  <w:dstrike w:val="false"/>
                  <w:color w:val="000000"/>
                  <w:sz w:val="20"/>
                  <w:u w:val="none"/>
                  <w:effect w:val="none"/>
                </w:rPr>
                <w:t>7</w:t>
              </w:r>
            </w:hyperlink>
          </w:p>
        </w:tc>
      </w:tr>
      <w:tr>
        <w:trPr/>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Unaudited </w:t>
            </w:r>
            <w:hyperlink w:anchor="i89bf6f39fd2b48668219dedeb576350d_28">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for </w:t>
              </w:r>
            </w:hyperlink>
            <w:r>
              <w:rPr>
                <w:rFonts w:ascii="Times New Roman;sans-serif" w:hAnsi="Times New Roman;sans-serif"/>
                <w:b w:val="false"/>
                <w:color w:val="000000"/>
                <w:sz w:val="20"/>
              </w:rPr>
              <w:t>t</w:t>
            </w:r>
            <w:hyperlink w:anchor="i89bf6f39fd2b48668219dedeb576350d_25">
              <w:r>
                <w:rPr>
                  <w:rStyle w:val="InternetLink"/>
                  <w:rFonts w:ascii="Times New Roman;sans-serif" w:hAnsi="Times New Roman;sans-serif"/>
                  <w:b w:val="false"/>
                  <w:strike w:val="false"/>
                  <w:dstrike w:val="false"/>
                  <w:color w:val="000080"/>
                  <w:sz w:val="20"/>
                  <w:u w:val="single"/>
                  <w:effect w:val="none"/>
                </w:rPr>
                <w:t xml:space="preserve">he </w:t>
              </w:r>
            </w:hyperlink>
            <w:hyperlink w:anchor="i89bf6f39fd2b48668219dedeb576350d_25">
              <w:r>
                <w:rPr>
                  <w:rStyle w:val="InternetLink"/>
                  <w:rFonts w:ascii="Times New Roman;sans-serif" w:hAnsi="Times New Roman;sans-serif"/>
                  <w:b w:val="false"/>
                  <w:strike w:val="false"/>
                  <w:dstrike w:val="false"/>
                  <w:color w:val="000080"/>
                  <w:sz w:val="20"/>
                  <w:u w:val="single"/>
                  <w:effect w:val="none"/>
                </w:rPr>
                <w:t>Three</w:t>
              </w:r>
            </w:hyperlink>
            <w:hyperlink w:anchor="i89bf6f39fd2b48668219dedeb576350d_25">
              <w:r>
                <w:rPr>
                  <w:rStyle w:val="InternetLink"/>
                  <w:rFonts w:ascii="Times New Roman;sans-serif" w:hAnsi="Times New Roman;sans-serif"/>
                  <w:b w:val="false"/>
                  <w:strike w:val="false"/>
                  <w:dstrike w:val="false"/>
                  <w:color w:val="000080"/>
                  <w:sz w:val="20"/>
                  <w:u w:val="single"/>
                  <w:effect w:val="none"/>
                </w:rPr>
                <w:t xml:space="preserve"> Months Ended </w:t>
              </w:r>
            </w:hyperlink>
            <w:r>
              <w:rPr>
                <w:rFonts w:ascii="Times New Roman;sans-serif" w:hAnsi="Times New Roman;sans-serif"/>
                <w:b w:val="false"/>
                <w:color w:val="000000"/>
                <w:sz w:val="20"/>
              </w:rPr>
              <w:t>March 31, 2024</w:t>
            </w:r>
            <w:hyperlink w:anchor="i89bf6f39fd2b48668219dedeb576350d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2023</w:t>
            </w:r>
            <w:hyperlink w:anchor="i89bf6f39fd2b48668219dedeb576350d_22">
              <w:r>
                <w:rPr>
                  <w:rStyle w:val="InternetLink"/>
                  <w:rFonts w:ascii="Times New Roman;sans-serif" w:hAnsi="Times New Roman;sans-serif"/>
                  <w:b w:val="false"/>
                  <w:strike w:val="false"/>
                  <w:dstrike w:val="false"/>
                  <w:color w:val="000000"/>
                  <w:sz w:val="20"/>
                  <w:u w:val="none"/>
                  <w:effect w:val="none"/>
                </w:rPr>
                <w:t xml:space="preserve"> </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28">
              <w:r>
                <w:rPr>
                  <w:rStyle w:val="InternetLink"/>
                  <w:rFonts w:ascii="Times New Roman;sans-serif" w:hAnsi="Times New Roman;sans-serif"/>
                  <w:b w:val="false"/>
                  <w:strike w:val="false"/>
                  <w:dstrike w:val="false"/>
                  <w:color w:val="000000"/>
                  <w:sz w:val="20"/>
                  <w:u w:val="none"/>
                  <w:effect w:val="none"/>
                </w:rPr>
                <w:t>8</w:t>
              </w:r>
            </w:hyperlink>
          </w:p>
        </w:tc>
      </w:tr>
      <w:tr>
        <w:trPr/>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31">
              <w:r>
                <w:rPr>
                  <w:rStyle w:val="InternetLink"/>
                  <w:rFonts w:ascii="Times New Roman;sans-serif" w:hAnsi="Times New Roman;sans-serif"/>
                  <w:b w:val="false"/>
                  <w:strike w:val="false"/>
                  <w:dstrike w:val="false"/>
                  <w:color w:val="000000"/>
                  <w:sz w:val="20"/>
                  <w:u w:val="none"/>
                  <w:effect w:val="none"/>
                </w:rPr>
                <w:t>Notes to the Unaudited Condensed Consolidated Financial Statements</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31">
              <w:r>
                <w:rPr>
                  <w:rStyle w:val="InternetLink"/>
                  <w:rFonts w:ascii="Times New Roman;sans-serif" w:hAnsi="Times New Roman;sans-serif"/>
                  <w:b w:val="false"/>
                  <w:strike w:val="false"/>
                  <w:dstrike w:val="false"/>
                  <w:color w:val="000000"/>
                  <w:sz w:val="20"/>
                  <w:u w:val="none"/>
                  <w:effect w:val="none"/>
                </w:rPr>
                <w:t>10</w:t>
              </w:r>
            </w:hyperlink>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03">
              <w:r>
                <w:rPr>
                  <w:rStyle w:val="InternetLink"/>
                  <w:rFonts w:ascii="Times New Roman;sans-serif" w:hAnsi="Times New Roman;sans-serif"/>
                  <w:b w:val="false"/>
                  <w:strike w:val="false"/>
                  <w:dstrike w:val="false"/>
                  <w:color w:val="000000"/>
                  <w:sz w:val="20"/>
                  <w:u w:val="none"/>
                  <w:effect w:val="none"/>
                </w:rPr>
                <w:t>Item 2.</w:t>
              </w:r>
            </w:hyperlink>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03">
              <w:r>
                <w:rPr>
                  <w:rStyle w:val="InternetLink"/>
                  <w:rFonts w:ascii="Times New Roman;sans-serif" w:hAnsi="Times New Roman;sans-serif"/>
                  <w:b w:val="false"/>
                  <w:strike w:val="false"/>
                  <w:dstrike w:val="false"/>
                  <w:color w:val="000000"/>
                  <w:sz w:val="20"/>
                  <w:u w:val="none"/>
                  <w:effect w:val="none"/>
                </w:rPr>
                <w:t>Management</w:t>
              </w:r>
            </w:hyperlink>
            <w:r>
              <w:rPr>
                <w:rFonts w:ascii="Times New Roman;sans-serif" w:hAnsi="Times New Roman;sans-serif"/>
                <w:b w:val="false"/>
                <w:color w:val="000000"/>
                <w:sz w:val="20"/>
              </w:rPr>
              <w:t>’</w:t>
            </w:r>
            <w:hyperlink w:anchor="i89bf6f39fd2b48668219dedeb576350d_103">
              <w:r>
                <w:rPr>
                  <w:rStyle w:val="InternetLink"/>
                  <w:rFonts w:ascii="Times New Roman;sans-serif" w:hAnsi="Times New Roman;sans-serif"/>
                  <w:b w:val="false"/>
                  <w:strike w:val="false"/>
                  <w:dstrike w:val="false"/>
                  <w:color w:val="000000"/>
                  <w:sz w:val="20"/>
                  <w:u w:val="none"/>
                  <w:effect w:val="none"/>
                </w:rPr>
                <w:t>s Discussion and Analysis of Financial Condition and Results of Operations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03">
              <w:r>
                <w:rPr>
                  <w:rStyle w:val="InternetLink"/>
                  <w:rFonts w:ascii="Times New Roman;sans-serif" w:hAnsi="Times New Roman;sans-serif"/>
                  <w:b w:val="false"/>
                  <w:strike w:val="false"/>
                  <w:dstrike w:val="false"/>
                  <w:color w:val="000000"/>
                  <w:sz w:val="20"/>
                  <w:u w:val="none"/>
                  <w:effect w:val="none"/>
                </w:rPr>
                <w:t>29</w:t>
              </w:r>
            </w:hyperlink>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27">
              <w:r>
                <w:rPr>
                  <w:rStyle w:val="InternetLink"/>
                  <w:rFonts w:ascii="Times New Roman;sans-serif" w:hAnsi="Times New Roman;sans-serif"/>
                  <w:b w:val="false"/>
                  <w:strike w:val="false"/>
                  <w:dstrike w:val="false"/>
                  <w:color w:val="000000"/>
                  <w:sz w:val="20"/>
                  <w:u w:val="none"/>
                  <w:effect w:val="none"/>
                </w:rPr>
                <w:t xml:space="preserve">Item 3. </w:t>
              </w:r>
            </w:hyperlink>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27">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27">
              <w:r>
                <w:rPr>
                  <w:rStyle w:val="InternetLink"/>
                  <w:rFonts w:ascii="Times New Roman;sans-serif" w:hAnsi="Times New Roman;sans-serif"/>
                  <w:b w:val="false"/>
                  <w:strike w:val="false"/>
                  <w:dstrike w:val="false"/>
                  <w:color w:val="000000"/>
                  <w:sz w:val="20"/>
                  <w:u w:val="none"/>
                  <w:effect w:val="none"/>
                </w:rPr>
                <w:t>37</w:t>
              </w:r>
            </w:hyperlink>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30">
              <w:r>
                <w:rPr>
                  <w:rStyle w:val="InternetLink"/>
                  <w:rFonts w:ascii="Times New Roman;sans-serif" w:hAnsi="Times New Roman;sans-serif"/>
                  <w:b w:val="false"/>
                  <w:strike w:val="false"/>
                  <w:dstrike w:val="false"/>
                  <w:color w:val="000000"/>
                  <w:sz w:val="20"/>
                  <w:u w:val="none"/>
                  <w:effect w:val="none"/>
                </w:rPr>
                <w:t xml:space="preserve">Item 4. </w:t>
              </w:r>
            </w:hyperlink>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30">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30">
              <w:r>
                <w:rPr>
                  <w:rStyle w:val="InternetLink"/>
                  <w:rFonts w:ascii="Times New Roman;sans-serif" w:hAnsi="Times New Roman;sans-serif"/>
                  <w:b w:val="false"/>
                  <w:strike w:val="false"/>
                  <w:dstrike w:val="false"/>
                  <w:color w:val="000000"/>
                  <w:sz w:val="20"/>
                  <w:u w:val="none"/>
                  <w:effect w:val="none"/>
                </w:rPr>
                <w:t>37</w:t>
              </w:r>
            </w:hyperlink>
          </w:p>
        </w:tc>
      </w:tr>
      <w:tr>
        <w:trPr/>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33">
              <w:r>
                <w:rPr>
                  <w:rStyle w:val="InternetLink"/>
                  <w:rFonts w:ascii="Times New Roman;sans-serif" w:hAnsi="Times New Roman;sans-serif"/>
                  <w:b w:val="false"/>
                  <w:strike w:val="false"/>
                  <w:dstrike w:val="false"/>
                  <w:color w:val="000000"/>
                  <w:sz w:val="20"/>
                  <w:u w:val="none"/>
                  <w:effect w:val="none"/>
                </w:rPr>
                <w:t>PART II - OTHER INFORMATION</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36">
              <w:r>
                <w:rPr>
                  <w:rStyle w:val="InternetLink"/>
                  <w:rFonts w:ascii="Times New Roman;sans-serif" w:hAnsi="Times New Roman;sans-serif"/>
                  <w:b w:val="false"/>
                  <w:strike w:val="false"/>
                  <w:dstrike w:val="false"/>
                  <w:color w:val="000000"/>
                  <w:sz w:val="20"/>
                  <w:u w:val="none"/>
                  <w:effect w:val="none"/>
                </w:rPr>
                <w:t xml:space="preserve">Item </w:t>
              </w:r>
            </w:hyperlink>
            <w:r>
              <w:rPr>
                <w:rFonts w:ascii="Times New Roman;sans-serif" w:hAnsi="Times New Roman;sans-serif"/>
                <w:b w:val="false"/>
                <w:color w:val="000000"/>
                <w:sz w:val="20"/>
              </w:rPr>
              <w:t xml:space="preserve">1. </w:t>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36">
              <w:r>
                <w:rPr>
                  <w:rStyle w:val="InternetLink"/>
                  <w:rFonts w:ascii="Times New Roman;sans-serif" w:hAnsi="Times New Roman;sans-serif"/>
                  <w:b w:val="false"/>
                  <w:strike w:val="false"/>
                  <w:dstrike w:val="false"/>
                  <w:color w:val="000000"/>
                  <w:sz w:val="20"/>
                  <w:u w:val="none"/>
                  <w:effect w:val="none"/>
                </w:rPr>
                <w:t>Legal Proceedings</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36">
              <w:r>
                <w:rPr>
                  <w:rStyle w:val="InternetLink"/>
                  <w:rFonts w:ascii="Times New Roman;sans-serif" w:hAnsi="Times New Roman;sans-serif"/>
                  <w:b w:val="false"/>
                  <w:strike w:val="false"/>
                  <w:dstrike w:val="false"/>
                  <w:color w:val="000000"/>
                  <w:sz w:val="20"/>
                  <w:u w:val="none"/>
                  <w:effect w:val="none"/>
                </w:rPr>
                <w:t>37</w:t>
              </w:r>
            </w:hyperlink>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1a. </w:t>
            </w:r>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39">
              <w:r>
                <w:rPr>
                  <w:rStyle w:val="InternetLink"/>
                  <w:rFonts w:ascii="Times New Roman;sans-serif" w:hAnsi="Times New Roman;sans-serif"/>
                  <w:b w:val="false"/>
                  <w:strike w:val="false"/>
                  <w:dstrike w:val="false"/>
                  <w:color w:val="000000"/>
                  <w:sz w:val="20"/>
                  <w:u w:val="none"/>
                  <w:effect w:val="none"/>
                </w:rPr>
                <w:t>Risk Factors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39">
              <w:r>
                <w:rPr>
                  <w:rStyle w:val="InternetLink"/>
                  <w:rFonts w:ascii="Times New Roman;sans-serif" w:hAnsi="Times New Roman;sans-serif"/>
                  <w:b w:val="false"/>
                  <w:strike w:val="false"/>
                  <w:dstrike w:val="false"/>
                  <w:color w:val="000000"/>
                  <w:sz w:val="20"/>
                  <w:u w:val="none"/>
                  <w:effect w:val="none"/>
                </w:rPr>
                <w:t>38</w:t>
              </w:r>
            </w:hyperlink>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42">
              <w:r>
                <w:rPr>
                  <w:rStyle w:val="InternetLink"/>
                  <w:rFonts w:ascii="Times New Roman;sans-serif" w:hAnsi="Times New Roman;sans-serif"/>
                  <w:b w:val="false"/>
                  <w:strike w:val="false"/>
                  <w:dstrike w:val="false"/>
                  <w:color w:val="000000"/>
                  <w:sz w:val="20"/>
                  <w:u w:val="none"/>
                  <w:effect w:val="none"/>
                </w:rPr>
                <w:t xml:space="preserve">Item 2. </w:t>
              </w:r>
            </w:hyperlink>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42">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42">
              <w:r>
                <w:rPr>
                  <w:rStyle w:val="InternetLink"/>
                  <w:rFonts w:ascii="Times New Roman;sans-serif" w:hAnsi="Times New Roman;sans-serif"/>
                  <w:b w:val="false"/>
                  <w:strike w:val="false"/>
                  <w:dstrike w:val="false"/>
                  <w:color w:val="000000"/>
                  <w:sz w:val="20"/>
                  <w:u w:val="none"/>
                  <w:effect w:val="none"/>
                </w:rPr>
                <w:t>38</w:t>
              </w:r>
            </w:hyperlink>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45">
              <w:r>
                <w:rPr>
                  <w:rStyle w:val="InternetLink"/>
                  <w:rFonts w:ascii="Times New Roman;sans-serif" w:hAnsi="Times New Roman;sans-serif"/>
                  <w:b w:val="false"/>
                  <w:strike w:val="false"/>
                  <w:dstrike w:val="false"/>
                  <w:color w:val="000000"/>
                  <w:sz w:val="20"/>
                  <w:u w:val="none"/>
                  <w:effect w:val="none"/>
                </w:rPr>
                <w:t xml:space="preserve">Item 3. </w:t>
              </w:r>
            </w:hyperlink>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45">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45">
              <w:r>
                <w:rPr>
                  <w:rStyle w:val="InternetLink"/>
                  <w:rFonts w:ascii="Times New Roman;sans-serif" w:hAnsi="Times New Roman;sans-serif"/>
                  <w:b w:val="false"/>
                  <w:strike w:val="false"/>
                  <w:dstrike w:val="false"/>
                  <w:color w:val="000000"/>
                  <w:sz w:val="20"/>
                  <w:u w:val="none"/>
                  <w:effect w:val="none"/>
                </w:rPr>
                <w:t>38</w:t>
              </w:r>
            </w:hyperlink>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48">
              <w:r>
                <w:rPr>
                  <w:rStyle w:val="InternetLink"/>
                  <w:rFonts w:ascii="Times New Roman;sans-serif" w:hAnsi="Times New Roman;sans-serif"/>
                  <w:b w:val="false"/>
                  <w:strike w:val="false"/>
                  <w:dstrike w:val="false"/>
                  <w:color w:val="000000"/>
                  <w:sz w:val="20"/>
                  <w:u w:val="none"/>
                  <w:effect w:val="none"/>
                </w:rPr>
                <w:t>Item 4</w:t>
              </w:r>
            </w:hyperlink>
            <w:r>
              <w:rPr>
                <w:rFonts w:ascii="Times New Roman;sans-serif" w:hAnsi="Times New Roman;sans-serif"/>
                <w:b w:val="false"/>
                <w:color w:val="000000"/>
                <w:sz w:val="20"/>
              </w:rPr>
              <w:t xml:space="preserve">. </w:t>
            </w:r>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48">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48">
              <w:r>
                <w:rPr>
                  <w:rStyle w:val="InternetLink"/>
                  <w:rFonts w:ascii="Times New Roman;sans-serif" w:hAnsi="Times New Roman;sans-serif"/>
                  <w:b w:val="false"/>
                  <w:strike w:val="false"/>
                  <w:dstrike w:val="false"/>
                  <w:color w:val="000000"/>
                  <w:sz w:val="20"/>
                  <w:u w:val="none"/>
                  <w:effect w:val="none"/>
                </w:rPr>
                <w:t>38</w:t>
              </w:r>
            </w:hyperlink>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51">
              <w:r>
                <w:rPr>
                  <w:rStyle w:val="InternetLink"/>
                  <w:rFonts w:ascii="Times New Roman;sans-serif" w:hAnsi="Times New Roman;sans-serif"/>
                  <w:b w:val="false"/>
                  <w:strike w:val="false"/>
                  <w:dstrike w:val="false"/>
                  <w:color w:val="000000"/>
                  <w:sz w:val="20"/>
                  <w:u w:val="none"/>
                  <w:effect w:val="none"/>
                </w:rPr>
                <w:t xml:space="preserve">Item 5. </w:t>
              </w:r>
            </w:hyperlink>
          </w:p>
        </w:tc>
        <w:tc>
          <w:tcPr>
            <w:tcW w:w="8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51">
              <w:r>
                <w:rPr>
                  <w:rStyle w:val="InternetLink"/>
                  <w:rFonts w:ascii="Times New Roman;sans-serif" w:hAnsi="Times New Roman;sans-serif"/>
                  <w:b w:val="false"/>
                  <w:strike w:val="false"/>
                  <w:dstrike w:val="false"/>
                  <w:color w:val="000000"/>
                  <w:sz w:val="20"/>
                  <w:u w:val="none"/>
                  <w:effect w:val="none"/>
                </w:rPr>
                <w:t>Other Information</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51">
              <w:r>
                <w:rPr>
                  <w:rStyle w:val="InternetLink"/>
                  <w:rFonts w:ascii="Times New Roman;sans-serif" w:hAnsi="Times New Roman;sans-serif"/>
                  <w:b w:val="false"/>
                  <w:strike w:val="false"/>
                  <w:dstrike w:val="false"/>
                  <w:color w:val="000000"/>
                  <w:sz w:val="20"/>
                  <w:u w:val="none"/>
                  <w:effect w:val="none"/>
                </w:rPr>
                <w:t>38</w:t>
              </w:r>
            </w:hyperlink>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54">
              <w:r>
                <w:rPr>
                  <w:rStyle w:val="InternetLink"/>
                  <w:rFonts w:ascii="Times New Roman;sans-serif" w:hAnsi="Times New Roman;sans-serif"/>
                  <w:b w:val="false"/>
                  <w:strike w:val="false"/>
                  <w:dstrike w:val="false"/>
                  <w:color w:val="000000"/>
                  <w:sz w:val="20"/>
                  <w:u w:val="none"/>
                  <w:effect w:val="none"/>
                </w:rPr>
                <w:t xml:space="preserve">Item 6. </w:t>
              </w:r>
            </w:hyperlink>
          </w:p>
        </w:tc>
        <w:tc>
          <w:tcPr>
            <w:tcW w:w="8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54">
              <w:r>
                <w:rPr>
                  <w:rStyle w:val="InternetLink"/>
                  <w:rFonts w:ascii="Times New Roman;sans-serif" w:hAnsi="Times New Roman;sans-serif"/>
                  <w:b w:val="false"/>
                  <w:strike w:val="false"/>
                  <w:dstrike w:val="false"/>
                  <w:color w:val="000000"/>
                  <w:sz w:val="20"/>
                  <w:u w:val="none"/>
                  <w:effect w:val="none"/>
                </w:rPr>
                <w:t>Exhibits</w:t>
              </w:r>
            </w:hyperlink>
          </w:p>
        </w:tc>
        <w:tc>
          <w:tcPr>
            <w:tcW w:w="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54">
              <w:r>
                <w:rPr>
                  <w:rStyle w:val="InternetLink"/>
                  <w:rFonts w:ascii="Times New Roman;sans-serif" w:hAnsi="Times New Roman;sans-serif"/>
                  <w:b w:val="false"/>
                  <w:strike w:val="false"/>
                  <w:dstrike w:val="false"/>
                  <w:color w:val="000000"/>
                  <w:sz w:val="20"/>
                  <w:u w:val="none"/>
                  <w:effect w:val="none"/>
                </w:rPr>
                <w:t>39</w:t>
              </w:r>
            </w:hyperlink>
          </w:p>
        </w:tc>
      </w:tr>
      <w:tr>
        <w:trPr/>
        <w:tc>
          <w:tcPr>
            <w:tcW w:w="966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9bf6f39fd2b48668219dedeb576350d_157">
              <w:r>
                <w:rPr>
                  <w:rStyle w:val="InternetLink"/>
                  <w:rFonts w:ascii="Times New Roman;sans-serif" w:hAnsi="Times New Roman;sans-serif"/>
                  <w:b w:val="false"/>
                  <w:strike w:val="false"/>
                  <w:dstrike w:val="false"/>
                  <w:color w:val="000000"/>
                  <w:sz w:val="20"/>
                  <w:u w:val="none"/>
                  <w:effect w:val="none"/>
                </w:rPr>
                <w:t>Signatures</w:t>
              </w:r>
            </w:hyperlink>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9bf6f39fd2b48668219dedeb576350d_157">
              <w:r>
                <w:rPr>
                  <w:rStyle w:val="InternetLink"/>
                  <w:rFonts w:ascii="Times New Roman;sans-serif" w:hAnsi="Times New Roman;sans-serif"/>
                  <w:b w:val="false"/>
                  <w:strike w:val="false"/>
                  <w:dstrike w:val="false"/>
                  <w:color w:val="000000"/>
                  <w:sz w:val="20"/>
                  <w:u w:val="none"/>
                  <w:effect w:val="non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333" w:before="200" w:after="283"/>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FORWARD-LOOKING INFORMATION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All statements included in this Quarterly Report on Form 10-Q (“Quarterly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Quarterly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i/>
          <w:color w:val="000000"/>
          <w:sz w:val="20"/>
        </w:rPr>
        <w:t>changes adversely affecting the business in which we are engaged;</w:t>
      </w:r>
    </w:p>
    <w:p>
      <w:pPr>
        <w:pStyle w:val="TextBody"/>
        <w:bidi w:val="0"/>
        <w:spacing w:lineRule="auto" w:line="360" w:before="60" w:after="283"/>
        <w:ind w:left="0" w:right="0" w:hanging="360"/>
        <w:jc w:val="left"/>
        <w:rPr/>
      </w:pPr>
      <w:r>
        <w:rPr>
          <w:color w:val="000000"/>
        </w:rPr>
        <w:t>•</w:t>
      </w:r>
      <w:r>
        <w:rPr>
          <w:rFonts w:ascii="Times New Roman;sans-serif" w:hAnsi="Times New Roman;sans-serif"/>
          <w:b w:val="false"/>
          <w:i/>
          <w:color w:val="000000"/>
          <w:sz w:val="20"/>
        </w:rPr>
        <w:t xml:space="preserve">our ability to forecast trends accurately; </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generate cash, service indebtedness and incur additional indebtedness;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raise financing in the future;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customer’s ability to secure project financing;</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the amount of final tax credits available to our customers or to Eos Energy Enterprises, Inc. pursuant to the Inflation Reduction Act;</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uncertainties around our ability to meet the applicable conditions precedent and secure final approval of a loan in a timely manner or at all from the Department of Energy, Loan Programs Office, or the timing of funding and the final size of any loan that is approved;</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the possibility of a government shutdown while we work to meet the applicable conditions precedent and finalize loan documents with the U.S. Department of Energy Loan Programs Office or while we await notice of a decision regarding the issuance of a loan from the Department of Energy Loan Programs Office;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continue to develop efficient manufacturing processes to scale and to forecast related costs and efficiencies accurately;</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fluctuations in our revenue and operating results;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competition from existing or new competitors;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convert firm order backlog and pipeline to revenue;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security breaches in our information technology systems;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related to legal proceedings or claims;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evolving energy policies in the United States and other countries and the potential costs of regulatory compliance;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changes to the U.S. trade environment;</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 xml:space="preserve">risks resulting from the impact of global pandemics, including the novel coronavirus, Covid-19; </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maintain the listing of our shares of common stock on NASDAQ;</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grow our business and manage growth profitably, maintain relationships with customers and suppliers and retain our management and key employees;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 xml:space="preserve">risks related to adverse changes in general economic conditions, including inflationary pressures and increased interest rates; </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 from supply chain disruptions and other impacts of geopolitical conflict;</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changes in applicable laws or regulations;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33" w:before="200" w:after="283"/>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other factors detailed under the section entitled “Risk Factors” herein.</w:t>
      </w:r>
    </w:p>
    <w:p>
      <w:pPr>
        <w:pStyle w:val="TextBody"/>
        <w:bidi w:val="0"/>
        <w:spacing w:lineRule="auto" w:line="288" w:before="160" w:after="283"/>
        <w:jc w:val="both"/>
        <w:rPr/>
      </w:pPr>
      <w:r>
        <w:rPr>
          <w:rFonts w:ascii="Times New Roman;sans-serif" w:hAnsi="Times New Roman;sans-serif"/>
          <w:b w:val="false"/>
          <w:color w:val="000000"/>
          <w:sz w:val="20"/>
        </w:rPr>
        <w:t xml:space="preserve">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See also Part I, Item 1A,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disclosures contained in the Company’s Annual Report on Form 10-K for the year ended December 31, 2023 for additional discussion of the risks and uncertainties that could cause the Company’s actual results to differ materially from those expressed or implied in its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33" w:before="200" w:after="283"/>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tbl>
      <w:tblPr>
        <w:tblW w:w="5970" w:type="dxa"/>
        <w:jc w:val="left"/>
        <w:tblInd w:w="0" w:type="dxa"/>
        <w:tblLayout w:type="fixed"/>
        <w:tblCellMar>
          <w:top w:w="28" w:type="dxa"/>
          <w:left w:w="28" w:type="dxa"/>
          <w:bottom w:w="28" w:type="dxa"/>
          <w:right w:w="28" w:type="dxa"/>
        </w:tblCellMar>
      </w:tblPr>
      <w:tblGrid>
        <w:gridCol w:w="1912"/>
        <w:gridCol w:w="1679"/>
        <w:gridCol w:w="2379"/>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tc>
      </w:tr>
      <w:tr>
        <w:trPr/>
        <w:tc>
          <w:tcPr>
            <w:tcW w:w="5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12" w:type="dxa"/>
        <w:jc w:val="center"/>
        <w:tblInd w:w="0" w:type="dxa"/>
        <w:tblLayout w:type="fixed"/>
        <w:tblCellMar>
          <w:top w:w="28" w:type="dxa"/>
          <w:left w:w="28" w:type="dxa"/>
          <w:bottom w:w="28" w:type="dxa"/>
          <w:right w:w="28" w:type="dxa"/>
        </w:tblCellMar>
      </w:tblPr>
      <w:tblGrid>
        <w:gridCol w:w="1242"/>
        <w:gridCol w:w="1095"/>
        <w:gridCol w:w="1098"/>
        <w:gridCol w:w="211"/>
        <w:gridCol w:w="826"/>
        <w:gridCol w:w="109"/>
        <w:gridCol w:w="109"/>
        <w:gridCol w:w="109"/>
        <w:gridCol w:w="109"/>
        <w:gridCol w:w="231"/>
        <w:gridCol w:w="905"/>
        <w:gridCol w:w="168"/>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122,331 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186,492 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LIABILITIES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liability, current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current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current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payable - 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236,422 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297,292 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33" w:before="200" w:after="283"/>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5970" w:type="dxa"/>
        <w:jc w:val="left"/>
        <w:tblInd w:w="0" w:type="dxa"/>
        <w:tblLayout w:type="fixed"/>
        <w:tblCellMar>
          <w:top w:w="28" w:type="dxa"/>
          <w:left w:w="28" w:type="dxa"/>
          <w:bottom w:w="28" w:type="dxa"/>
          <w:right w:w="28" w:type="dxa"/>
        </w:tblCellMar>
      </w:tblPr>
      <w:tblGrid>
        <w:gridCol w:w="1912"/>
        <w:gridCol w:w="1679"/>
        <w:gridCol w:w="2379"/>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tc>
      </w:tr>
      <w:tr>
        <w:trPr/>
        <w:tc>
          <w:tcPr>
            <w:tcW w:w="5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2722"/>
        <w:gridCol w:w="2378"/>
        <w:gridCol w:w="2388"/>
        <w:gridCol w:w="211"/>
        <w:gridCol w:w="826"/>
        <w:gridCol w:w="109"/>
        <w:gridCol w:w="109"/>
        <w:gridCol w:w="109"/>
        <w:gridCol w:w="109"/>
        <w:gridCol w:w="220"/>
        <w:gridCol w:w="862"/>
        <w:gridCol w:w="162"/>
      </w:tblGrid>
      <w:tr>
        <w:trPr/>
        <w:tc>
          <w:tcPr>
            <w:tcW w:w="2722"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4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SHAREHOLDERS' DEFICIT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shares authorized, 206,779,447 and 199,133,827 shares outstanding on March 31, 2024 and December 31, 2023,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shares authorized, no shares outstanding on March 31, 2024 and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 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(875,846)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186,492 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33" w:before="200" w:after="283"/>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9944" w:type="dxa"/>
        <w:jc w:val="left"/>
        <w:tblInd w:w="0" w:type="dxa"/>
        <w:tblLayout w:type="fixed"/>
        <w:tblCellMar>
          <w:top w:w="28" w:type="dxa"/>
          <w:left w:w="28" w:type="dxa"/>
          <w:bottom w:w="28" w:type="dxa"/>
          <w:right w:w="28" w:type="dxa"/>
        </w:tblCellMar>
      </w:tblPr>
      <w:tblGrid>
        <w:gridCol w:w="3185"/>
        <w:gridCol w:w="2796"/>
        <w:gridCol w:w="3963"/>
      </w:tblGrid>
      <w:tr>
        <w:trPr/>
        <w:tc>
          <w:tcPr>
            <w:tcW w:w="3185"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3963" w:type="dxa"/>
            <w:tcBorders/>
            <w:vAlign w:val="center"/>
          </w:tcPr>
          <w:p>
            <w:pPr>
              <w:pStyle w:val="TableContents"/>
              <w:bidi w:val="0"/>
              <w:spacing w:before="0" w:after="283"/>
              <w:jc w:val="left"/>
              <w:rPr>
                <w:sz w:val="4"/>
                <w:szCs w:val="4"/>
              </w:rPr>
            </w:pPr>
            <w:r>
              <w:rPr>
                <w:sz w:val="4"/>
                <w:szCs w:val="4"/>
              </w:rPr>
            </w:r>
          </w:p>
        </w:tc>
      </w:tr>
      <w:tr>
        <w:trPr/>
        <w:tc>
          <w:tcPr>
            <w:tcW w:w="99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9944"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 AND COMPREHENSIVE LOSS</w:t>
            </w:r>
          </w:p>
        </w:tc>
      </w:tr>
      <w:tr>
        <w:trPr/>
        <w:tc>
          <w:tcPr>
            <w:tcW w:w="9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9202" w:type="dxa"/>
        <w:jc w:val="center"/>
        <w:tblInd w:w="0" w:type="dxa"/>
        <w:tblLayout w:type="fixed"/>
        <w:tblCellMar>
          <w:top w:w="28" w:type="dxa"/>
          <w:left w:w="28" w:type="dxa"/>
          <w:bottom w:w="28" w:type="dxa"/>
          <w:right w:w="28" w:type="dxa"/>
        </w:tblCellMar>
      </w:tblPr>
      <w:tblGrid>
        <w:gridCol w:w="2153"/>
        <w:gridCol w:w="1900"/>
        <w:gridCol w:w="1902"/>
        <w:gridCol w:w="109"/>
        <w:gridCol w:w="109"/>
        <w:gridCol w:w="109"/>
        <w:gridCol w:w="264"/>
        <w:gridCol w:w="922"/>
        <w:gridCol w:w="118"/>
        <w:gridCol w:w="118"/>
        <w:gridCol w:w="118"/>
        <w:gridCol w:w="118"/>
        <w:gridCol w:w="229"/>
        <w:gridCol w:w="866"/>
        <w:gridCol w:w="167"/>
      </w:tblGrid>
      <w:tr>
        <w:trPr/>
        <w:tc>
          <w:tcPr>
            <w:tcW w:w="2153"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write-down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and diluted loss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201,306,905 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86,797,669 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201,306,905 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86,797,669 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33" w:before="200" w:after="283"/>
        <w:jc w:val="left"/>
        <w:rPr/>
      </w:pPr>
      <w:hyperlink w:anchor="i89bf6f39fd2b48668219dedeb576350d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8429" w:type="dxa"/>
        <w:jc w:val="left"/>
        <w:tblInd w:w="0" w:type="dxa"/>
        <w:tblLayout w:type="fixed"/>
        <w:tblCellMar>
          <w:top w:w="28" w:type="dxa"/>
          <w:left w:w="28" w:type="dxa"/>
          <w:bottom w:w="28" w:type="dxa"/>
          <w:right w:w="28" w:type="dxa"/>
        </w:tblCellMar>
      </w:tblPr>
      <w:tblGrid>
        <w:gridCol w:w="2700"/>
        <w:gridCol w:w="2370"/>
        <w:gridCol w:w="3359"/>
      </w:tblGrid>
      <w:tr>
        <w:trPr/>
        <w:tc>
          <w:tcPr>
            <w:tcW w:w="2700"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SHAREHOLDERS' DEFICIT</w:t>
            </w:r>
          </w:p>
        </w:tc>
      </w:tr>
      <w:tr>
        <w:trPr/>
        <w:tc>
          <w:tcPr>
            <w:tcW w:w="8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479"/>
        <w:gridCol w:w="421"/>
        <w:gridCol w:w="423"/>
        <w:gridCol w:w="592"/>
        <w:gridCol w:w="594"/>
        <w:gridCol w:w="226"/>
        <w:gridCol w:w="109"/>
        <w:gridCol w:w="109"/>
        <w:gridCol w:w="109"/>
        <w:gridCol w:w="241"/>
        <w:gridCol w:w="414"/>
        <w:gridCol w:w="126"/>
        <w:gridCol w:w="109"/>
        <w:gridCol w:w="109"/>
        <w:gridCol w:w="109"/>
        <w:gridCol w:w="213"/>
        <w:gridCol w:w="836"/>
        <w:gridCol w:w="110"/>
        <w:gridCol w:w="109"/>
        <w:gridCol w:w="109"/>
        <w:gridCol w:w="109"/>
        <w:gridCol w:w="535"/>
        <w:gridCol w:w="649"/>
        <w:gridCol w:w="278"/>
        <w:gridCol w:w="109"/>
        <w:gridCol w:w="109"/>
        <w:gridCol w:w="109"/>
        <w:gridCol w:w="212"/>
        <w:gridCol w:w="901"/>
        <w:gridCol w:w="109"/>
        <w:gridCol w:w="109"/>
        <w:gridCol w:w="109"/>
        <w:gridCol w:w="109"/>
        <w:gridCol w:w="211"/>
        <w:gridCol w:w="841"/>
        <w:gridCol w:w="159"/>
      </w:tblGrid>
      <w:tr>
        <w:trPr/>
        <w:tc>
          <w:tcPr>
            <w:tcW w:w="4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82,653,781 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shares used to settle payroll tax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11,900,400 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March 31, 2023</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95,222,670 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542,326 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December 31, 2023</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199,133,827 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shares used to settle payroll tax withholding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(251,967)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7,239,982 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Balances on</w:t>
            </w:r>
            <w:r>
              <w:rPr>
                <w:color w:val="000000"/>
              </w:rPr>
              <w:t xml:space="preserve"> </w:t>
            </w:r>
            <w:r>
              <w:rPr>
                <w:rFonts w:ascii="Times New Roman;sans-serif" w:hAnsi="Times New Roman;sans-serif"/>
                <w:b/>
                <w:color w:val="000000"/>
                <w:sz w:val="20"/>
              </w:rPr>
              <w:t>March 31, 2024</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206,779,447 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(922,554)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(147,673)</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33" w:before="200" w:after="283"/>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2316"/>
        <w:gridCol w:w="2033"/>
        <w:gridCol w:w="2881"/>
      </w:tblGrid>
      <w:tr>
        <w:trPr/>
        <w:tc>
          <w:tcPr>
            <w:tcW w:w="231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CASH FLOWS </w:t>
            </w:r>
          </w:p>
        </w:tc>
      </w:tr>
      <w:tr>
        <w:trPr/>
        <w:tc>
          <w:tcPr>
            <w:tcW w:w="7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9158" w:type="dxa"/>
        <w:jc w:val="left"/>
        <w:tblInd w:w="0" w:type="dxa"/>
        <w:tblLayout w:type="fixed"/>
        <w:tblCellMar>
          <w:top w:w="28" w:type="dxa"/>
          <w:left w:w="28" w:type="dxa"/>
          <w:bottom w:w="28" w:type="dxa"/>
          <w:right w:w="28" w:type="dxa"/>
        </w:tblCellMar>
      </w:tblPr>
      <w:tblGrid>
        <w:gridCol w:w="2288"/>
        <w:gridCol w:w="2014"/>
        <w:gridCol w:w="2027"/>
        <w:gridCol w:w="229"/>
        <w:gridCol w:w="866"/>
        <w:gridCol w:w="118"/>
        <w:gridCol w:w="118"/>
        <w:gridCol w:w="118"/>
        <w:gridCol w:w="118"/>
        <w:gridCol w:w="229"/>
        <w:gridCol w:w="866"/>
        <w:gridCol w:w="167"/>
      </w:tblGrid>
      <w:tr>
        <w:trPr/>
        <w:tc>
          <w:tcPr>
            <w:tcW w:w="228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reconcile net loss to net cash used in operating activities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write-down of property, plant and equipment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 related party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 related parties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deposits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 receivable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 - related party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Other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(30,478)</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convertible notes - related party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 - related party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equipment financing facility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issuance of common stock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 from employees for income tax withholding purposes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200" w:after="283"/>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2316"/>
        <w:gridCol w:w="2033"/>
        <w:gridCol w:w="2881"/>
      </w:tblGrid>
      <w:tr>
        <w:trPr/>
        <w:tc>
          <w:tcPr>
            <w:tcW w:w="231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CASH FLOWS </w:t>
            </w:r>
          </w:p>
        </w:tc>
      </w:tr>
      <w:tr>
        <w:trPr/>
        <w:tc>
          <w:tcPr>
            <w:tcW w:w="7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8918" w:type="dxa"/>
        <w:jc w:val="left"/>
        <w:tblInd w:w="0" w:type="dxa"/>
        <w:tblLayout w:type="fixed"/>
        <w:tblCellMar>
          <w:top w:w="28" w:type="dxa"/>
          <w:left w:w="28" w:type="dxa"/>
          <w:bottom w:w="28" w:type="dxa"/>
          <w:right w:w="28" w:type="dxa"/>
        </w:tblCellMar>
      </w:tblPr>
      <w:tblGrid>
        <w:gridCol w:w="2202"/>
        <w:gridCol w:w="1938"/>
        <w:gridCol w:w="1949"/>
        <w:gridCol w:w="243"/>
        <w:gridCol w:w="833"/>
        <w:gridCol w:w="125"/>
        <w:gridCol w:w="125"/>
        <w:gridCol w:w="125"/>
        <w:gridCol w:w="125"/>
        <w:gridCol w:w="243"/>
        <w:gridCol w:w="833"/>
        <w:gridCol w:w="177"/>
      </w:tblGrid>
      <w:tr>
        <w:trPr/>
        <w:tc>
          <w:tcPr>
            <w:tcW w:w="2202"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beginning of the period</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the period</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capital expenditures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settlement of Yorkville convertible notes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capitalized internal-use software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20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1.Overview</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Nature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execute its development strategy, the Company has historically relied on outside capital through the issuance of equity, debt and borrowings under financing arrangements (collectively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the accompanying Unaudited Condensed Consolidated Financial Statements were issued (the “issuance date”), management evaluated the significance of the following negative financial conditions in accordance with Accounting Standard Codification 205-40, Going Concern: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Since its inception, the Company has incurred significant losses and negative cash from operations in order to fund its development. During the three months ended March 31, 2024, the Company incurred a net loss of $46,708, incurred negative cash flows from operations of $40,474 and had an accumulated deficit of $922,554 as of March 31, 2024.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As of March 31, 2024, the Company had $31,773 of unrestricted cash and cash equivalents available to fund the Company’s operations</w:t>
      </w:r>
      <w:r>
        <w:rPr>
          <w:color w:val="000000"/>
        </w:rPr>
        <w:t xml:space="preserve"> </w:t>
      </w:r>
      <w:r>
        <w:rPr>
          <w:rFonts w:ascii="Times New Roman;sans-serif" w:hAnsi="Times New Roman;sans-serif"/>
          <w:b w:val="false"/>
          <w:color w:val="000000"/>
          <w:sz w:val="20"/>
        </w:rPr>
        <w:t xml:space="preserve">and working capital of $22,097, inclusive of $3,458 of outstanding debt that is currently scheduled to mature within the next twelve months. Additionally, the Company has no additional borrowings available under pre-existing financing arrangements to fund its operations (see Note 12, </w:t>
      </w:r>
      <w:r>
        <w:rPr>
          <w:rFonts w:ascii="Times New Roman;sans-serif" w:hAnsi="Times New Roman;sans-serif"/>
          <w:b w:val="false"/>
          <w:i/>
          <w:color w:val="000000"/>
          <w:sz w:val="20"/>
        </w:rPr>
        <w:t>Borrowings</w:t>
      </w:r>
      <w:r>
        <w:rPr>
          <w:rFonts w:ascii="Times New Roman;sans-serif" w:hAnsi="Times New Roman;sans-serif"/>
          <w:b w:val="false"/>
          <w:color w:val="000000"/>
          <w:sz w:val="20"/>
        </w:rPr>
        <w:t>).</w:t>
      </w:r>
      <w:r>
        <w:rPr>
          <w:color w:val="000000"/>
        </w:rPr>
        <w:t xml:space="preserv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Company has available capacity under its at-the-market (“ATM”) offering program to issue shares of the Company’s common stock, (see also Note 18, </w:t>
      </w:r>
      <w:r>
        <w:rPr>
          <w:rFonts w:ascii="Times New Roman;sans-serif" w:hAnsi="Times New Roman;sans-serif"/>
          <w:b w:val="false"/>
          <w:i/>
          <w:color w:val="000000"/>
          <w:sz w:val="20"/>
        </w:rPr>
        <w:t>Shareholders’ Deficit</w:t>
      </w:r>
      <w:r>
        <w:rPr>
          <w:rFonts w:ascii="Times New Roman;sans-serif" w:hAnsi="Times New Roman;sans-serif"/>
          <w:b w:val="false"/>
          <w:color w:val="000000"/>
          <w:sz w:val="20"/>
        </w:rPr>
        <w:t>) to aid in funding the Company’s operations. However, the Company’s ability to secure such funding is dependent upon certain conditions, such as investors’ willingness to purchase the Company’s common stock and at a price that is acceptable to the Company. Accordingly, as of the issuance date, there is no assurance the Company will be able to secure funding under these pre-existing arrangements or on terms that are acceptable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 Overview</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Similarly, while the Company has historically been successful in raising additional outside capital to fund the Company’s operations, as of the issuance date no assurance can be provided the Company will be successful in obtaining additional outside capital or on terms that are acceptable to the Company. In this regard, the Company continues to progress through the Department of Energy (“DOE”) Loan Programs Office’s (“LPO”) process for its Title XVII loan. In August 2023, the DOE issued a conditional commitment letter to the Company for a loan of an aggregate principal amount of up to $398,600 through the DOE’s Clean Energy Financing Program. Certain technical, legal and financial conditions must be met and due diligence to the satisfaction of the DOE must be completed before the DOE enters into definitive financing documents with the Company and funds the loan. There can be no assurance that the Company will be able to secure such a loan or on terms that are acceptable to the Company.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 is required to remain in compliance with a quarterly minimum financial liquidity covenant under its Senior Secured Term Loan Credit Agreement (“Senior Secured Term Loan”). While the Company was in compliance with this covenant as of March 31, 2024, the Company expects it may be unable to remain in compliance with this covenant beginning on June 30, 2024 and thereafter absent the Company’s ability to secure a waiver or raise additional outside capital. In the event the Company is unable to remain in compliance with the minimum financial liquidity covenant and the other nonfinancial covenants required by the Senior Secured Term Loan and the Company is further unable to cure such noncompliance or secure a waiver, the Lender - Atlas Credit Partners (ACP) Post Oak Credit I LLC (“Atlas”)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Absent an ability to secure additional outside capital in the near term, the Company will be unable to meet its obligations as they become due over the next twelve months beyond the issuance date.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the event the Company’s ongoing efforts to raise additional outside capital prove unsuccessful,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color w:val="000000"/>
          <w:sz w:val="20"/>
        </w:rPr>
        <w:t>2. Summary of Significant Accounting Policies</w:t>
      </w:r>
      <w:r>
        <w:rPr>
          <w:color w:val="000000"/>
        </w:rPr>
        <w:t xml:space="preserv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Unaudited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 interim financial statements should be read in conjunction with the audited consolidated financial statements, including the notes thereto, included in our 2023 Annual Report on Form 10-K. These interim results are not necessarily indicative of results for the full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160" w:after="283"/>
        <w:jc w:val="both"/>
        <w:rPr/>
      </w:pPr>
      <w:r>
        <w:rPr>
          <w:rFonts w:ascii="Times New Roman;sans-serif" w:hAnsi="Times New Roman;sans-serif"/>
          <w:b/>
          <w:color w:val="000000"/>
          <w:sz w:val="20"/>
        </w:rPr>
        <w:t>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Reclassification of Prior Year Presentation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 year amounts have been reclassified for consistency with the current year presentation. These reclassifications had no effect on the reported results of operations. </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standards or updates during the three months ended March 31, 2024 that would have a material impact on the Company’s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primarily earns revenue from sales of its energy storage systems and services including installation, commissioning and extended warranty services. Product revenues, which are generally recognized at a point in time, and service revenues, which are generally recognized over time, are as follows:</w:t>
      </w:r>
    </w:p>
    <w:tbl>
      <w:tblPr>
        <w:tblW w:w="4661" w:type="dxa"/>
        <w:jc w:val="center"/>
        <w:tblInd w:w="0" w:type="dxa"/>
        <w:tblLayout w:type="fixed"/>
        <w:tblCellMar>
          <w:top w:w="28" w:type="dxa"/>
          <w:left w:w="28" w:type="dxa"/>
          <w:bottom w:w="28" w:type="dxa"/>
          <w:right w:w="28" w:type="dxa"/>
        </w:tblCellMar>
      </w:tblPr>
      <w:tblGrid>
        <w:gridCol w:w="521"/>
        <w:gridCol w:w="459"/>
        <w:gridCol w:w="460"/>
        <w:gridCol w:w="303"/>
        <w:gridCol w:w="885"/>
        <w:gridCol w:w="156"/>
        <w:gridCol w:w="156"/>
        <w:gridCol w:w="156"/>
        <w:gridCol w:w="156"/>
        <w:gridCol w:w="303"/>
        <w:gridCol w:w="885"/>
        <w:gridCol w:w="221"/>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the Company had one customer that accounted for 88.1% of total revenue; for the three months ended March 31, 2023, we had one customer that accounted for 97.0% of total revenue.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Lessor revenue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battery energy storage systems to one customer through a sales-type lease with a 20-year term. No revenue was recognized from the sales-type lease for the three months ended March 31, 2024 and 2023.</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Contract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contract assets and contract liabilities from contracts with customers. Contract assets, current, Contract liabilities, current and Contract liabilities, long-term are included separately on the Unaudited Condensed Consolidated Balance Sheets and contract assets expected to be recognized in greater than twelve months are included under Other assets, net. </w:t>
      </w:r>
    </w:p>
    <w:tbl>
      <w:tblPr>
        <w:tblW w:w="4857" w:type="dxa"/>
        <w:jc w:val="left"/>
        <w:tblInd w:w="0" w:type="dxa"/>
        <w:tblLayout w:type="fixed"/>
        <w:tblCellMar>
          <w:top w:w="28" w:type="dxa"/>
          <w:left w:w="28" w:type="dxa"/>
          <w:bottom w:w="28" w:type="dxa"/>
          <w:right w:w="28" w:type="dxa"/>
        </w:tblCellMar>
      </w:tblPr>
      <w:tblGrid>
        <w:gridCol w:w="597"/>
        <w:gridCol w:w="525"/>
        <w:gridCol w:w="528"/>
        <w:gridCol w:w="261"/>
        <w:gridCol w:w="894"/>
        <w:gridCol w:w="135"/>
        <w:gridCol w:w="109"/>
        <w:gridCol w:w="109"/>
        <w:gridCol w:w="109"/>
        <w:gridCol w:w="342"/>
        <w:gridCol w:w="999"/>
        <w:gridCol w:w="249"/>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3. Revenue Recognition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contract assets for certain contracts in which revenue recognition performance obligations have been satisfied but invoicing to the customer has not yet occurred. Contract liabilities primarily relate to consideration received from customers in advance of the Company’s satisfying performance obligations under contractual arrangements. Contract balances are reported in a net contract asset or liability position on a contract-by-contract basis at the end of each reporting period.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increased by $4,572 during the three months ended March 31, 2024 due to recognition of revenues for which invoicing has not yet occurred. Contract liabilities increased by $501 during the three months ended March 31, 2024, reflecting $798 of revenue recognized from customers and offset by $1,299 in customer advance payments.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of $2,828 as of March 31, 2024 are expected to be recognized within the next twelve months and long-term contract liabilities of $4,283 are expected to be recognized as revenue in greater than twelve months. Contract assets of $11,075 as of March 31, 2024 are expected to be recognized within the next twelve months and long-term contract assets of $1,819 are expected to be recognized as accounts receivable in greater than twelve months.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Remaining performance obligations (“RPO”) represent the allocated transaction price of unsatisfied or partially unsatisfied performance obligations. The Company expects </w:t>
      </w:r>
      <w:r>
        <w:rPr>
          <w:rFonts w:ascii="Times New Roman;sans-serif" w:hAnsi="Times New Roman;sans-serif"/>
          <w:b w:val="false"/>
          <w:color w:val="000000"/>
          <w:sz w:val="20"/>
        </w:rPr>
        <w:t xml:space="preserve">to recognize revenue related to the RPOs as the performance obligations are satisfied </w:t>
      </w:r>
      <w:r>
        <w:rPr>
          <w:rFonts w:ascii="Times New Roman;sans-serif" w:hAnsi="Times New Roman;sans-serif"/>
          <w:b w:val="false"/>
          <w:color w:val="000000"/>
          <w:sz w:val="20"/>
          <w:shd w:fill="FFFFFF" w:val="clear"/>
        </w:rPr>
        <w:t xml:space="preserve">in accordance with the Company’s revenue recognition policy, which can be found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 xml:space="preserve">of the Company’s Annual Report on Form 10-K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4. Cash, Cash Equivalents and Restricted Cash</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 current consists of escrow deposits related to U.S. Custom Bonds insurance and escrow deposits related to our credit card program agreements. </w:t>
      </w:r>
    </w:p>
    <w:p>
      <w:pPr>
        <w:pStyle w:val="TextBody"/>
        <w:bidi w:val="0"/>
        <w:spacing w:lineRule="auto" w:line="288" w:before="160" w:after="1"/>
        <w:jc w:val="both"/>
        <w:rPr/>
      </w:pPr>
      <w:r>
        <w:rPr>
          <w:rFonts w:ascii="Times New Roman;sans-serif" w:hAnsi="Times New Roman;sans-serif"/>
          <w:b w:val="false"/>
          <w:color w:val="000000"/>
          <w:sz w:val="20"/>
        </w:rPr>
        <w:t xml:space="preserve">Long-term restricted cash relates to interest that is required to be held in escrow per the Senior Secured Term Loan Agreement in an amount equal to the next four quarterly interest payments owed as of the balance sheet date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for further discussion).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reported amounts from the Unaudited Condensed Consolidated Balance Sheets to Cash, Cash Equivalents and Restricted Cash reported within the Unaudited Condensed Consolidated Statements of Cash Flows:</w:t>
      </w:r>
    </w:p>
    <w:tbl>
      <w:tblPr>
        <w:tblW w:w="7181" w:type="dxa"/>
        <w:jc w:val="left"/>
        <w:tblInd w:w="0" w:type="dxa"/>
        <w:tblLayout w:type="fixed"/>
        <w:tblCellMar>
          <w:top w:w="28" w:type="dxa"/>
          <w:left w:w="28" w:type="dxa"/>
          <w:bottom w:w="28" w:type="dxa"/>
          <w:right w:w="28" w:type="dxa"/>
        </w:tblCellMar>
      </w:tblPr>
      <w:tblGrid>
        <w:gridCol w:w="1532"/>
        <w:gridCol w:w="1345"/>
        <w:gridCol w:w="1353"/>
        <w:gridCol w:w="261"/>
        <w:gridCol w:w="894"/>
        <w:gridCol w:w="135"/>
        <w:gridCol w:w="109"/>
        <w:gridCol w:w="109"/>
        <w:gridCol w:w="109"/>
        <w:gridCol w:w="259"/>
        <w:gridCol w:w="886"/>
        <w:gridCol w:w="189"/>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current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restricted cash</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cash, cash equivalents and restricted cash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5. Inventory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inventory balances:</w:t>
      </w:r>
    </w:p>
    <w:tbl>
      <w:tblPr>
        <w:tblW w:w="5246" w:type="dxa"/>
        <w:jc w:val="left"/>
        <w:tblInd w:w="0" w:type="dxa"/>
        <w:tblLayout w:type="fixed"/>
        <w:tblCellMar>
          <w:top w:w="28" w:type="dxa"/>
          <w:left w:w="28" w:type="dxa"/>
          <w:bottom w:w="28" w:type="dxa"/>
          <w:right w:w="28" w:type="dxa"/>
        </w:tblCellMar>
      </w:tblPr>
      <w:tblGrid>
        <w:gridCol w:w="738"/>
        <w:gridCol w:w="647"/>
        <w:gridCol w:w="654"/>
        <w:gridCol w:w="261"/>
        <w:gridCol w:w="894"/>
        <w:gridCol w:w="135"/>
        <w:gridCol w:w="109"/>
        <w:gridCol w:w="109"/>
        <w:gridCol w:w="109"/>
        <w:gridCol w:w="309"/>
        <w:gridCol w:w="1056"/>
        <w:gridCol w:w="225"/>
      </w:tblGrid>
      <w:tr>
        <w:trPr/>
        <w:tc>
          <w:tcPr>
            <w:tcW w:w="7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inventory, net</w:t>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14,393 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6. Property, Plant and Equipment, Net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property, plant and equipment, net balances:</w:t>
      </w:r>
    </w:p>
    <w:tbl>
      <w:tblPr>
        <w:tblW w:w="8900" w:type="dxa"/>
        <w:jc w:val="left"/>
        <w:tblInd w:w="0" w:type="dxa"/>
        <w:tblLayout w:type="fixed"/>
        <w:tblCellMar>
          <w:top w:w="28" w:type="dxa"/>
          <w:left w:w="28" w:type="dxa"/>
          <w:bottom w:w="28" w:type="dxa"/>
          <w:right w:w="28" w:type="dxa"/>
        </w:tblCellMar>
      </w:tblPr>
      <w:tblGrid>
        <w:gridCol w:w="1233"/>
        <w:gridCol w:w="1083"/>
        <w:gridCol w:w="1088"/>
        <w:gridCol w:w="218"/>
        <w:gridCol w:w="218"/>
        <w:gridCol w:w="218"/>
        <w:gridCol w:w="218"/>
        <w:gridCol w:w="218"/>
        <w:gridCol w:w="218"/>
        <w:gridCol w:w="218"/>
        <w:gridCol w:w="218"/>
        <w:gridCol w:w="218"/>
        <w:gridCol w:w="109"/>
        <w:gridCol w:w="109"/>
        <w:gridCol w:w="109"/>
        <w:gridCol w:w="261"/>
        <w:gridCol w:w="894"/>
        <w:gridCol w:w="135"/>
        <w:gridCol w:w="109"/>
        <w:gridCol w:w="109"/>
        <w:gridCol w:w="109"/>
        <w:gridCol w:w="309"/>
        <w:gridCol w:w="1056"/>
        <w:gridCol w:w="225"/>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1962"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1962"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w:t>
            </w:r>
          </w:p>
        </w:tc>
        <w:tc>
          <w:tcPr>
            <w:tcW w:w="196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9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useful life/</w:t>
              <w:br/>
              <w:t>remaining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w:t>
            </w:r>
          </w:p>
        </w:tc>
        <w:tc>
          <w:tcPr>
            <w:tcW w:w="196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to 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(“CIP”)</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Accumulated depreciation </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related to property, plant and equipment was $1,175 and $2,667 for the three months ended March 31, 2024 and 2023, respectively. For the three months ended March 31, 2024 and 2023, the Company recorded a loss from write-down of property, plant and equipment of $65 and $760, respectively, mainly due to replacement of equipment, outsourcing of certain production processes and the shift in production from the Gen 2.3 battery system to the Z3™ battery system.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CIP assets are capitalized interest costs of $850 and $0 for the three months ended March 31, 2024 and 2023, respectively. Depreciation will commence after the assets under construction are placed in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7. Intangible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include patents valued at $400, which represents the cost to acquire the patents. These patents are determined to have useful lives and are amortized into the results of operations over ten years. The Company recorded amortization expense of $10 for the three months ended March 31, 2024 and 2023 related to patents.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capitalized $146 of costs for internal-use software, including $8 of costs capitalized during the three months ended March 31, 2024. The software has a useful life and is amortized into the results of operations over 3 years. The Company recorded amortization expense of $12 and $9 for the three months ended March 31, 2024 and 2023, respectively, related to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8. Notes Receivable, Net and Variable Interest Entities (“VIEs”) Consideration</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Notes receivable, net, relates to financing the Company offered to a customer. The Company reports the notes receivable at the principal balance outstanding less an allowance for losses. The estimate of credit losses is based on historical trends, the customer’s financial condition and current economic trends. The Company charges interest at a fixed rate and calculates interest income by applying the effective rate to the outstanding principal balance.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notes receivable, net, of $827 and $863 outstanding as of March 31, 2024 and December 31, 2023, respectively. These amounts are included in Other assets, net and Other current assets in the accompanying Unaudited Condensed Consolidated Balance Sheets. As of March 31, 2024 and December 31, 2023, the allowance for expected credit loss related to the notes receivable amounted to $36 and $2, respectively. </w:t>
      </w:r>
    </w:p>
    <w:p>
      <w:pPr>
        <w:pStyle w:val="TextBody"/>
        <w:bidi w:val="0"/>
        <w:spacing w:lineRule="auto" w:line="288" w:before="160" w:after="1"/>
        <w:jc w:val="both"/>
        <w:rPr/>
      </w:pPr>
      <w:r>
        <w:rPr>
          <w:rFonts w:ascii="Times New Roman;sans-serif" w:hAnsi="Times New Roman;sans-serif"/>
          <w:b w:val="false"/>
          <w:color w:val="000000"/>
          <w:sz w:val="20"/>
        </w:rPr>
        <w:t>The customer to whom the Company offers financing through notes receivable is a VIE. However, the Company is not the primary beneficiary, because the Company does not have power to direct the activities of the VIE that most significantly impact the VIE’s economic performance. Therefore, the VIE is not consolidated into the Company’s consolidated financial statements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maximum loss exposure is limited to the carrying value of notes receivable as of the balances sheet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9. Accrued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were as follows:</w:t>
      </w:r>
    </w:p>
    <w:tbl>
      <w:tblPr>
        <w:tblW w:w="6611" w:type="dxa"/>
        <w:jc w:val="left"/>
        <w:tblInd w:w="0" w:type="dxa"/>
        <w:tblLayout w:type="fixed"/>
        <w:tblCellMar>
          <w:top w:w="28" w:type="dxa"/>
          <w:left w:w="28" w:type="dxa"/>
          <w:bottom w:w="28" w:type="dxa"/>
          <w:right w:w="28" w:type="dxa"/>
        </w:tblCellMar>
      </w:tblPr>
      <w:tblGrid>
        <w:gridCol w:w="1231"/>
        <w:gridCol w:w="1083"/>
        <w:gridCol w:w="1091"/>
        <w:gridCol w:w="261"/>
        <w:gridCol w:w="894"/>
        <w:gridCol w:w="135"/>
        <w:gridCol w:w="109"/>
        <w:gridCol w:w="109"/>
        <w:gridCol w:w="109"/>
        <w:gridCol w:w="308"/>
        <w:gridCol w:w="1055"/>
        <w:gridCol w:w="226"/>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Warranty reserve </w:t>
            </w:r>
            <w:r>
              <w:rPr>
                <w:rFonts w:ascii="Times New Roman;sans-serif" w:hAnsi="Times New Roman;sans-serif"/>
                <w:b w:val="false"/>
                <w:color w:val="000000"/>
                <w:sz w:val="13"/>
              </w:rPr>
              <w:t>(1)</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and professional expenses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contract losses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premium payable, current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 current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Refer to the table below for the warranty reserve activity for the three months ended March 31, 2024 and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warranty reserve activity:</w:t>
      </w:r>
    </w:p>
    <w:p>
      <w:pPr>
        <w:pStyle w:val="TextBody"/>
        <w:bidi w:val="0"/>
        <w:spacing w:before="0" w:after="0"/>
        <w:jc w:val="both"/>
        <w:rPr/>
      </w:pPr>
      <w:r>
        <w:rPr/>
      </w:r>
    </w:p>
    <w:tbl>
      <w:tblPr>
        <w:tblW w:w="6040" w:type="dxa"/>
        <w:jc w:val="left"/>
        <w:tblInd w:w="0" w:type="dxa"/>
        <w:tblLayout w:type="fixed"/>
        <w:tblCellMar>
          <w:top w:w="28" w:type="dxa"/>
          <w:left w:w="28" w:type="dxa"/>
          <w:bottom w:w="28" w:type="dxa"/>
          <w:right w:w="28" w:type="dxa"/>
        </w:tblCellMar>
      </w:tblPr>
      <w:tblGrid>
        <w:gridCol w:w="1239"/>
        <w:gridCol w:w="1087"/>
        <w:gridCol w:w="1094"/>
        <w:gridCol w:w="246"/>
        <w:gridCol w:w="720"/>
        <w:gridCol w:w="127"/>
        <w:gridCol w:w="127"/>
        <w:gridCol w:w="127"/>
        <w:gridCol w:w="127"/>
        <w:gridCol w:w="246"/>
        <w:gridCol w:w="720"/>
        <w:gridCol w:w="180"/>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 - beginning of period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current period deliveries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warranty reserve estimate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 - end of period</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10. Government Grants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 (“IRA”)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10. Government Grants </w:t>
      </w:r>
      <w:r>
        <w:rPr>
          <w:rFonts w:ascii="Times New Roman;sans-serif" w:hAnsi="Times New Roman;sans-serif"/>
          <w:b w:val="false"/>
          <w:color w:val="000000"/>
          <w:sz w:val="20"/>
        </w:rPr>
        <w:t>(cont.)</w: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the Inflation Reduction Act of 2022 into law. The IRA has significant economic incentives for both energy storage customers and manufacturers for projects placed in service after December 31, 2022. Starting in 2023, there are Production Tax Credits under Internal Revenue Code 45X (“PTC”), that can be claimed on battery components manufactured in the U.S. and sold to U.S. or foreign customers. The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In June 2023, the IRS issued temporary and proposed regulations related to applicable tax credit transferability and direct pay provisions of the Inflation Reduction Act. The Company has reviewed these regulations and believes they do not have a material impact on the financial statements.</w:t>
      </w:r>
    </w:p>
    <w:p>
      <w:pPr>
        <w:pStyle w:val="TextBody"/>
        <w:bidi w:val="0"/>
        <w:spacing w:lineRule="auto" w:line="288" w:before="160" w:after="283"/>
        <w:jc w:val="both"/>
        <w:rPr/>
      </w:pPr>
      <w:r>
        <w:rPr>
          <w:rFonts w:ascii="Times New Roman;sans-serif" w:hAnsi="Times New Roman;sans-serif"/>
          <w:b w:val="false"/>
          <w:color w:val="000000"/>
          <w:sz w:val="20"/>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sans-serif" w:hAnsi="Times New Roman;sans-serif"/>
          <w:b w:val="false"/>
          <w:i/>
          <w:color w:val="000000"/>
          <w:sz w:val="20"/>
        </w:rPr>
        <w:t>Accounting for Government Grants and Disclosure of Government Assistance,</w:t>
      </w:r>
      <w:r>
        <w:rPr>
          <w:color w:val="000000"/>
        </w:rPr>
        <w:t xml:space="preserve"> </w:t>
      </w:r>
      <w:r>
        <w:rPr>
          <w:rFonts w:ascii="Times New Roman;sans-serif" w:hAnsi="Times New Roman;sans-serif"/>
          <w:b w:val="false"/>
          <w:color w:val="000000"/>
          <w:sz w:val="20"/>
        </w:rPr>
        <w:t xml:space="preserve">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PTC is recorded as the applicable items are produced and sold and the conditions in the preceding paragraph are met. For the three months ended March 31, 2024 and 2023, the Company recognized PTC of $1,542 and $798, respectively, as a reduction of cost of goods sold on the Unaudited Condensed Consolidated Statement of Operations and Comprehensive Loss. As of March 31, 2024 and December 31, 2023, grant receivable related to the PTC in the amount of $4,798 and $3,256, respectively, is recorded in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11. Related Party Transactions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Convertible Note Payable</w:t>
      </w:r>
    </w:p>
    <w:p>
      <w:pPr>
        <w:pStyle w:val="TextBody"/>
        <w:bidi w:val="0"/>
        <w:spacing w:lineRule="auto" w:line="288" w:before="160" w:after="283"/>
        <w:jc w:val="both"/>
        <w:rPr/>
      </w:pPr>
      <w:r>
        <w:rPr>
          <w:rFonts w:ascii="Times New Roman;sans-serif" w:hAnsi="Times New Roman;sans-serif"/>
          <w:b w:val="false"/>
          <w:color w:val="000000"/>
          <w:sz w:val="20"/>
        </w:rPr>
        <w:t xml:space="preserve">In July 2021, the Company issued a convertible note in the aggregate principal amount of $100,000 to Spring Creek Capital, LLC, a wholly-owned, indirect subsidiary of Koch Industries, Inc. (the “2021 Convertible Note”). In connection with the 2021 Convertible Note, the Company paid $3,000 to B. Riley Securities, Inc., a related party, who acted as a placement agent. Refer to Note 12, </w:t>
      </w:r>
      <w:r>
        <w:rPr>
          <w:rFonts w:ascii="Times New Roman;sans-serif" w:hAnsi="Times New Roman;sans-serif"/>
          <w:b w:val="false"/>
          <w:i/>
          <w:color w:val="000000"/>
          <w:sz w:val="20"/>
        </w:rPr>
        <w:t>Borrowing</w:t>
      </w:r>
      <w:r>
        <w:rPr>
          <w:rFonts w:ascii="Times New Roman;sans-serif" w:hAnsi="Times New Roman;sans-serif"/>
          <w:b w:val="false"/>
          <w:color w:val="000000"/>
          <w:sz w:val="20"/>
        </w:rPr>
        <w: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AFG Convertible Notes</w:t>
      </w:r>
    </w:p>
    <w:p>
      <w:pPr>
        <w:pStyle w:val="TextBody"/>
        <w:bidi w:val="0"/>
        <w:spacing w:lineRule="auto" w:line="288" w:before="160" w:after="283"/>
        <w:jc w:val="both"/>
        <w:rPr/>
      </w:pPr>
      <w:r>
        <w:rPr>
          <w:rFonts w:ascii="Times New Roman;sans-serif" w:hAnsi="Times New Roman;sans-serif"/>
          <w:b w:val="false"/>
          <w:color w:val="000000"/>
          <w:sz w:val="20"/>
        </w:rPr>
        <w:t xml:space="preserve">In January 2023, the Company issued and sold $13,750 of 26.5% Convertible Senior PIK Notes due in 2026 (“AFG Convertible Notes”) to Great American Insurance Company, Ardsley Partners Renewable Energy, LP, CCI SPV III, LP, Denman Street LLC, John B. Bending Irrevocable Children’s Trust, John B. Berding and AE Convert, LLC, a Delaware limited liability company managed by Russell Stidolph, a director of the Company (together, the “Purchasers”). In connection with the issuance and sale of the AFG Convertible Notes, the Company entered into an investment agreement (the “Investment Agreement”) with the Purchasers. Refer to Note 12, </w:t>
      </w:r>
      <w:r>
        <w:rPr>
          <w:rFonts w:ascii="Times New Roman;sans-serif" w:hAnsi="Times New Roman;sans-serif"/>
          <w:b w:val="false"/>
          <w:i/>
          <w:color w:val="000000"/>
          <w:sz w:val="20"/>
        </w:rPr>
        <w:t>Borrowing</w:t>
      </w:r>
      <w:r>
        <w:rPr>
          <w:rFonts w:ascii="Times New Roman;sans-serif" w:hAnsi="Times New Roman;sans-serif"/>
          <w:b w:val="false"/>
          <w:color w:val="000000"/>
          <w:sz w:val="20"/>
        </w:rPr>
        <w: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Standby Equity Purchase Agreement </w:t>
      </w:r>
    </w:p>
    <w:p>
      <w:pPr>
        <w:pStyle w:val="TextBody"/>
        <w:bidi w:val="0"/>
        <w:spacing w:lineRule="auto" w:line="288" w:before="160" w:after="283"/>
        <w:jc w:val="both"/>
        <w:rPr/>
      </w:pPr>
      <w:r>
        <w:rPr>
          <w:rFonts w:ascii="Times New Roman;sans-serif" w:hAnsi="Times New Roman;sans-serif"/>
          <w:b w:val="false"/>
          <w:color w:val="000000"/>
          <w:sz w:val="20"/>
        </w:rPr>
        <w:t xml:space="preserve">On April 28, 2022, the Company entered into the </w:t>
      </w:r>
      <w:r>
        <w:rPr>
          <w:rFonts w:ascii="Times New Roman;sans-serif" w:hAnsi="Times New Roman;sans-serif"/>
          <w:b w:val="false"/>
          <w:i/>
          <w:color w:val="000000"/>
          <w:sz w:val="20"/>
        </w:rPr>
        <w:t>Standby Equity Purchase Agreement (“</w:t>
      </w:r>
      <w:r>
        <w:rPr>
          <w:rFonts w:ascii="Times New Roman;sans-serif" w:hAnsi="Times New Roman;sans-serif"/>
          <w:b w:val="false"/>
          <w:color w:val="000000"/>
          <w:sz w:val="20"/>
        </w:rPr>
        <w:t xml:space="preserve">SEPA”). Pursuant to the SEPA, the Company had the right, but not the obligation, to sell to Yorkville shares of its common stock at the Company’s request. On August 23, 2023, the Company and Yorkville terminated the SEPA, as amended, by mutual written consent.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 xml:space="preserve">for pre-advance loans in form of convertible promissory notes and Note 18, </w:t>
      </w:r>
      <w:r>
        <w:rPr>
          <w:rFonts w:ascii="Times New Roman;sans-serif" w:hAnsi="Times New Roman;sans-serif"/>
          <w:b w:val="false"/>
          <w:i/>
          <w:color w:val="000000"/>
          <w:sz w:val="20"/>
        </w:rPr>
        <w:t xml:space="preserve">Shareholders' Deficit </w:t>
      </w:r>
      <w:r>
        <w:rPr>
          <w:rFonts w:ascii="Times New Roman;sans-serif" w:hAnsi="Times New Roman;sans-serif"/>
          <w:b w:val="false"/>
          <w:color w:val="000000"/>
          <w:sz w:val="20"/>
        </w:rPr>
        <w:t xml:space="preserve">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11. Related Party Transactions </w:t>
      </w:r>
      <w:r>
        <w:rPr>
          <w:rFonts w:ascii="Times New Roman;sans-serif" w:hAnsi="Times New Roman;sans-serif"/>
          <w:b w:val="false"/>
          <w:color w:val="000000"/>
          <w:sz w:val="20"/>
        </w:rPr>
        <w:t>(cont.)</w:t>
      </w:r>
    </w:p>
    <w:p>
      <w:pPr>
        <w:pStyle w:val="TextBody"/>
        <w:bidi w:val="0"/>
        <w:spacing w:lineRule="auto" w:line="276"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bidi w:val="0"/>
        <w:spacing w:lineRule="auto" w:line="288" w:before="20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private placement warrants to B. Riley Financial, Inc. in conjunction with its initial public offering 2020 (“IPO warrants”). As of March 31, 2024 and December 31, 2023, 274,400 IPO warrants were outstanding for both periods, with a fair value of $49 and $55,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12. Borrowings</w:t>
      </w:r>
    </w:p>
    <w:p>
      <w:pPr>
        <w:pStyle w:val="TextBody"/>
        <w:bidi w:val="0"/>
        <w:spacing w:before="0" w:after="0"/>
        <w:ind w:left="0" w:right="0" w:hanging="180"/>
        <w:jc w:val="left"/>
        <w:rPr/>
      </w:pPr>
      <w:r>
        <w:rPr/>
      </w:r>
    </w:p>
    <w:p>
      <w:pPr>
        <w:pStyle w:val="TextBody"/>
        <w:bidi w:val="0"/>
        <w:spacing w:lineRule="auto" w:line="26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obligations at carrying value consist of the following related and third-party borrowings:</w:t>
      </w:r>
    </w:p>
    <w:tbl>
      <w:tblPr>
        <w:tblW w:w="10205" w:type="dxa"/>
        <w:jc w:val="left"/>
        <w:tblInd w:w="0" w:type="dxa"/>
        <w:tblLayout w:type="fixed"/>
        <w:tblCellMar>
          <w:top w:w="28" w:type="dxa"/>
          <w:left w:w="28" w:type="dxa"/>
          <w:bottom w:w="28" w:type="dxa"/>
          <w:right w:w="28" w:type="dxa"/>
        </w:tblCellMar>
      </w:tblPr>
      <w:tblGrid>
        <w:gridCol w:w="728"/>
        <w:gridCol w:w="640"/>
        <w:gridCol w:w="647"/>
        <w:gridCol w:w="342"/>
        <w:gridCol w:w="342"/>
        <w:gridCol w:w="344"/>
        <w:gridCol w:w="109"/>
        <w:gridCol w:w="109"/>
        <w:gridCol w:w="109"/>
        <w:gridCol w:w="296"/>
        <w:gridCol w:w="1162"/>
        <w:gridCol w:w="153"/>
        <w:gridCol w:w="109"/>
        <w:gridCol w:w="109"/>
        <w:gridCol w:w="109"/>
        <w:gridCol w:w="237"/>
        <w:gridCol w:w="930"/>
        <w:gridCol w:w="122"/>
        <w:gridCol w:w="109"/>
        <w:gridCol w:w="109"/>
        <w:gridCol w:w="109"/>
        <w:gridCol w:w="296"/>
        <w:gridCol w:w="1162"/>
        <w:gridCol w:w="153"/>
        <w:gridCol w:w="109"/>
        <w:gridCol w:w="109"/>
        <w:gridCol w:w="109"/>
        <w:gridCol w:w="236"/>
        <w:gridCol w:w="926"/>
        <w:gridCol w:w="181"/>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015"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2021 Convertible Note Payable</w:t>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AFG Convertible Notes</w:t>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color w:val="000000"/>
                <w:sz w:val="20"/>
              </w:rPr>
              <w:t>Total borrowings</w:t>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238,175 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238,962 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203,859 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234,717 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202,172 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235,630 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200,527 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180"/>
        <w:jc w:val="both"/>
        <w:rPr/>
      </w:pPr>
      <w:r>
        <w:rPr>
          <w:rFonts w:ascii="Times New Roman;sans-serif" w:hAnsi="Times New Roman;sans-serif"/>
          <w:b w:val="false"/>
          <w:i/>
          <w:color w:val="000000"/>
          <w:sz w:val="16"/>
        </w:rPr>
        <w:t>*</w:t>
      </w:r>
      <w:r>
        <w:rPr>
          <w:rFonts w:ascii="Times New Roman;sans-serif" w:hAnsi="Times New Roman;sans-serif"/>
          <w:b w:val="false"/>
          <w:color w:val="000000"/>
          <w:sz w:val="16"/>
        </w:rPr>
        <w:t>Carrying value includes unamortized deferred financing costs, unamortized discounts and fair value of embedded derivative liabilities.</w:t>
      </w:r>
    </w:p>
    <w:p>
      <w:pPr>
        <w:pStyle w:val="TextBody"/>
        <w:bidi w:val="0"/>
        <w:spacing w:lineRule="auto" w:line="276"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Convertible Note Payable – Related Party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6, 2021, the Company entered into an investment agreement with Spring Creek Capital, LLC, a wholly-owned, indirect subsidiary of Koch Industries, Inc. The investment agreement provides for the issuance and sale to Koch Industries of the 2021 Convertible Note in the aggregate principal amount of $100,000. </w:t>
      </w:r>
    </w:p>
    <w:p>
      <w:pPr>
        <w:pStyle w:val="TextBody"/>
        <w:bidi w:val="0"/>
        <w:spacing w:lineRule="auto" w:line="288" w:before="160" w:after="1"/>
        <w:jc w:val="both"/>
        <w:rPr/>
      </w:pPr>
      <w:r>
        <w:rPr>
          <w:rFonts w:ascii="Times New Roman;sans-serif" w:hAnsi="Times New Roman;sans-serif"/>
          <w:b w:val="false"/>
          <w:color w:val="000000"/>
          <w:sz w:val="20"/>
        </w:rPr>
        <w:t xml:space="preserve">The 2021 Convertible Note contains an embedded derivative feature, which is presented on the Unaudited Condensed Consolidated Balance Sheets as a component of Convertible notes payable - related party. See Note 14,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for the assumptions used to determine the fair value of the embedded derivative as of March 31, 2024 and December 31,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 on the 2021 Convertible Note is as follows:</w:t>
      </w:r>
    </w:p>
    <w:tbl>
      <w:tblPr>
        <w:tblW w:w="5619" w:type="dxa"/>
        <w:jc w:val="left"/>
        <w:tblInd w:w="0" w:type="dxa"/>
        <w:tblLayout w:type="fixed"/>
        <w:tblCellMar>
          <w:top w:w="28" w:type="dxa"/>
          <w:left w:w="28" w:type="dxa"/>
          <w:bottom w:w="28" w:type="dxa"/>
          <w:right w:w="28" w:type="dxa"/>
        </w:tblCellMar>
      </w:tblPr>
      <w:tblGrid>
        <w:gridCol w:w="1085"/>
        <w:gridCol w:w="954"/>
        <w:gridCol w:w="960"/>
        <w:gridCol w:w="246"/>
        <w:gridCol w:w="720"/>
        <w:gridCol w:w="127"/>
        <w:gridCol w:w="127"/>
        <w:gridCol w:w="127"/>
        <w:gridCol w:w="127"/>
        <w:gridCol w:w="246"/>
        <w:gridCol w:w="720"/>
        <w:gridCol w:w="180"/>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for the 2021 Convertible Note are as follows:</w:t>
      </w:r>
    </w:p>
    <w:tbl>
      <w:tblPr>
        <w:tblW w:w="5964" w:type="dxa"/>
        <w:jc w:val="left"/>
        <w:tblInd w:w="0" w:type="dxa"/>
        <w:tblLayout w:type="fixed"/>
        <w:tblCellMar>
          <w:top w:w="28" w:type="dxa"/>
          <w:left w:w="28" w:type="dxa"/>
          <w:bottom w:w="28" w:type="dxa"/>
          <w:right w:w="28" w:type="dxa"/>
        </w:tblCellMar>
      </w:tblPr>
      <w:tblGrid>
        <w:gridCol w:w="1000"/>
        <w:gridCol w:w="876"/>
        <w:gridCol w:w="883"/>
        <w:gridCol w:w="237"/>
        <w:gridCol w:w="930"/>
        <w:gridCol w:w="122"/>
        <w:gridCol w:w="109"/>
        <w:gridCol w:w="109"/>
        <w:gridCol w:w="109"/>
        <w:gridCol w:w="281"/>
        <w:gridCol w:w="1103"/>
        <w:gridCol w:w="205"/>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conversion feature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obligated to repay all contractual interest attributable to the 2021 Convertible Note in-kind on a semi-annual basis, in accordance with the terms under the Senior Secured Term Loan. Therefore, as of March 31, 2024 and December 31, 2023, interest payable attributable to the 2021 Convertible Note was $1,737 and $0, respectively.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AFG Convertible Notes - Related Party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18, 2023, the Company entered into the Investment Agreement with the Purchasers relating to the issuance and sale to the Purchasers of $13,750 in aggregate principal amount of the Company’s AFG Convertible Notes. The AFG Convertible Notes bear interest at a rate of 26.5% per annum, which is entirely paid-in-kind (“PIK Interest”) semi-annually in arrears on June 30 and December 30. It is expected that the Notes will mature on June 30, 2026, subject to earlier conversion, redemption or repurchase. The AFG Convertible Notes are convertible into shares of the Company’s common stock, par value $0.0001 per share, based on an initial conversion price of approximately $1.67 per share subject to customary anti-dilution and other adjustments. The Company has the right to settle conversions in shares of common stock, cash, or any combination thereof.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Option includes an exercise contingency, which requires the Company to obtain shareholder approval for conversions subject to the Exchange Cap. If shareholder approval is not obtained, following commercially reasonable efforts, the Company will be required to settle the conversion in excess of the Exchange Cap in cash. Since settlement in cash may be required in absence of shareholder approval, the embedded conversion feature fails the equity classification guidance in ASC 815 and is thus precluded from being classified in equity. Therefore, the embedded conversion feature is required to be bifurcated from the AFG Convertible Notes and accounted for at fair value at each reporting date, with changes in fair value recognized on the Unaudited Condensed Consolidated Statements of Operations and Comprehensive Loss. The embedded derivative is presented on the Unaudited Condensed Consolidated Balance Sheets as a component of Convertible notes payable - related party. The fair value of the embedded derivative was $3,843 and $4,345 as of March 31, 2024 and December 31, 2023, respectively.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AFG Convertible Notes at issuance was $16,623, which was greater than the proceeds received. The Company recorded the difference of $2,873 as interest expense for the three months ended March 31, 2023 on the Unaudited Condensed Consolidated Statement of Operations and Comprehensive Loss.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 on the AFG Convertible Notes is as follows:</w:t>
      </w:r>
    </w:p>
    <w:tbl>
      <w:tblPr>
        <w:tblW w:w="5620" w:type="dxa"/>
        <w:jc w:val="left"/>
        <w:tblInd w:w="0" w:type="dxa"/>
        <w:tblLayout w:type="fixed"/>
        <w:tblCellMar>
          <w:top w:w="28" w:type="dxa"/>
          <w:left w:w="28" w:type="dxa"/>
          <w:bottom w:w="28" w:type="dxa"/>
          <w:right w:w="28" w:type="dxa"/>
        </w:tblCellMar>
      </w:tblPr>
      <w:tblGrid>
        <w:gridCol w:w="1085"/>
        <w:gridCol w:w="954"/>
        <w:gridCol w:w="960"/>
        <w:gridCol w:w="264"/>
        <w:gridCol w:w="772"/>
        <w:gridCol w:w="136"/>
        <w:gridCol w:w="136"/>
        <w:gridCol w:w="136"/>
        <w:gridCol w:w="136"/>
        <w:gridCol w:w="264"/>
        <w:gridCol w:w="584"/>
        <w:gridCol w:w="193"/>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for the AFG Convertible Notes are as follows:</w:t>
      </w:r>
    </w:p>
    <w:tbl>
      <w:tblPr>
        <w:tblW w:w="5965" w:type="dxa"/>
        <w:jc w:val="left"/>
        <w:tblInd w:w="0" w:type="dxa"/>
        <w:tblLayout w:type="fixed"/>
        <w:tblCellMar>
          <w:top w:w="28" w:type="dxa"/>
          <w:left w:w="28" w:type="dxa"/>
          <w:bottom w:w="28" w:type="dxa"/>
          <w:right w:w="28" w:type="dxa"/>
        </w:tblCellMar>
      </w:tblPr>
      <w:tblGrid>
        <w:gridCol w:w="1000"/>
        <w:gridCol w:w="876"/>
        <w:gridCol w:w="883"/>
        <w:gridCol w:w="261"/>
        <w:gridCol w:w="894"/>
        <w:gridCol w:w="135"/>
        <w:gridCol w:w="109"/>
        <w:gridCol w:w="109"/>
        <w:gridCol w:w="109"/>
        <w:gridCol w:w="308"/>
        <w:gridCol w:w="1055"/>
        <w:gridCol w:w="226"/>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conversion feature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obligated to repay all contractual interest attributable to the AFG Convertible Notes in-kind on a semi-annual basis, in accordance with the terms of the Investment Agreement. Therefore, as of March 31, 2024 and December 31, 2023, interest payable attributable to the AFG Convertible Notes was $1,155 and $0, respectively.</w:t>
      </w:r>
    </w:p>
    <w:p>
      <w:pPr>
        <w:pStyle w:val="TextBody"/>
        <w:bidi w:val="0"/>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Term Loan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July 29, 2022, the Company entered into a $100,000 Senior Secured Term Loan Credit Agreement with Atlas Credit Partners (ACP) Post Oak Credit I LLC, as administrative agent for the lenders and collateral agent for the secured parties. The Senior Secured Term Loan is scheduled to mature on the earlier of (i) July 29, 2026 and (ii) 91 days prior to the current maturity date of the 2021 Convertible Note of June 30, 2026. The Company has the right at any time to prepay any Borrowing in whole or in part in an amount of not less than $500.</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principal balance of the Senior Secured Term Loan bears interest, at the applicable margin plus, at the Company’s election, either (i) the benchmark secured overnight financing rate (“SOFR”), which is a per annum rate equal to (y) the Adjusted Term SOFR plus 0.2616%, or (ii) the alternate base rate (“ABR”), which is a per annum rate equal to the greatest of (x) the Prime Lending Rate, (y) the NYFRB Rate (as defined in the agreement) plus 0.5% and (z) the SOFR. The applicable margin under the Credit Agreement is 8.5% per annum with respect to SOFR loans and 7.5% per annum with respect to ABR loans. Interest on the Senior Secured Term Loan accrues at a variable interest rate and interest payments are due quarterly. The Company may elect to convert SOFR Loans to ABR and ABR Loans to SOFR. As of March 31, 2024, the interest rate in effect for the Senior Secured Term Loan interest payment was 14.11%.</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repayment of principal prior to the second anniversary of the issuance date is subject to a call premium. The call premium is equal to the present value of all interest payments due through June 30, 2024, calculated using a discount rate equal to the applicable treasury rate as of the repayment date plus 50 basis points. The Company deemed that the fair value of the embedded derivative features which qualify for bifurcation was de minimis.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interest is required to be escrowed based on the principle outstanding. This amount was $11,858 at March 31, 2024 and $11,755 at December 31, 2023. This escrowed and restricted cash is presented on a separate line item on the Unaudited Condensed Consolidated Balance Sheets as Long-term restricted cash. </w:t>
      </w:r>
    </w:p>
    <w:p>
      <w:pPr>
        <w:pStyle w:val="TextBody"/>
        <w:bidi w:val="0"/>
        <w:spacing w:lineRule="auto" w:line="288" w:before="120" w:after="1"/>
        <w:jc w:val="both"/>
        <w:rPr/>
      </w:pPr>
      <w:r>
        <w:rPr>
          <w:rFonts w:ascii="Times New Roman;sans-serif" w:hAnsi="Times New Roman;sans-serif"/>
          <w:b w:val="false"/>
          <w:color w:val="000000"/>
          <w:sz w:val="20"/>
        </w:rPr>
        <w:t xml:space="preserve">The agreements also contain customary affirmative and negative covenants. They limit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Furthermore, the limitation on the Company’s ability to incur indebtedness also requires payment of principal and interest in kind on the 2021 Convertible Note. While the Company was in compliance with this covenant as of March 31, 2024 , absent the Company’s ability to secure a waiver or raise additional outside capital, the Company expects it may be unable to remain in compliance with this covenant beginning on June 30, 2024 and thereafter (see Note 1, </w:t>
      </w: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interest expense recognized:</w:t>
      </w:r>
    </w:p>
    <w:tbl>
      <w:tblPr>
        <w:tblW w:w="5619" w:type="dxa"/>
        <w:jc w:val="left"/>
        <w:tblInd w:w="0" w:type="dxa"/>
        <w:tblLayout w:type="fixed"/>
        <w:tblCellMar>
          <w:top w:w="28" w:type="dxa"/>
          <w:left w:w="28" w:type="dxa"/>
          <w:bottom w:w="28" w:type="dxa"/>
          <w:right w:w="28" w:type="dxa"/>
        </w:tblCellMar>
      </w:tblPr>
      <w:tblGrid>
        <w:gridCol w:w="1085"/>
        <w:gridCol w:w="954"/>
        <w:gridCol w:w="960"/>
        <w:gridCol w:w="246"/>
        <w:gridCol w:w="720"/>
        <w:gridCol w:w="127"/>
        <w:gridCol w:w="127"/>
        <w:gridCol w:w="127"/>
        <w:gridCol w:w="127"/>
        <w:gridCol w:w="246"/>
        <w:gridCol w:w="720"/>
        <w:gridCol w:w="180"/>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Term Loan balance is as follows:</w:t>
      </w:r>
    </w:p>
    <w:tbl>
      <w:tblPr>
        <w:tblW w:w="5964" w:type="dxa"/>
        <w:jc w:val="left"/>
        <w:tblInd w:w="0" w:type="dxa"/>
        <w:tblLayout w:type="fixed"/>
        <w:tblCellMar>
          <w:top w:w="28" w:type="dxa"/>
          <w:left w:w="28" w:type="dxa"/>
          <w:bottom w:w="28" w:type="dxa"/>
          <w:right w:w="28" w:type="dxa"/>
        </w:tblCellMar>
      </w:tblPr>
      <w:tblGrid>
        <w:gridCol w:w="1000"/>
        <w:gridCol w:w="876"/>
        <w:gridCol w:w="883"/>
        <w:gridCol w:w="237"/>
        <w:gridCol w:w="930"/>
        <w:gridCol w:w="122"/>
        <w:gridCol w:w="109"/>
        <w:gridCol w:w="109"/>
        <w:gridCol w:w="109"/>
        <w:gridCol w:w="281"/>
        <w:gridCol w:w="1103"/>
        <w:gridCol w:w="205"/>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85,624 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Equipment Financing facility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The Company has drawn a portion of the facility as follows: </w:t>
      </w:r>
    </w:p>
    <w:tbl>
      <w:tblPr>
        <w:tblW w:w="10205" w:type="dxa"/>
        <w:jc w:val="left"/>
        <w:tblInd w:w="0" w:type="dxa"/>
        <w:tblLayout w:type="fixed"/>
        <w:tblCellMar>
          <w:top w:w="28" w:type="dxa"/>
          <w:left w:w="28" w:type="dxa"/>
          <w:bottom w:w="28" w:type="dxa"/>
          <w:right w:w="28" w:type="dxa"/>
        </w:tblCellMar>
      </w:tblPr>
      <w:tblGrid>
        <w:gridCol w:w="1066"/>
        <w:gridCol w:w="937"/>
        <w:gridCol w:w="928"/>
        <w:gridCol w:w="562"/>
        <w:gridCol w:w="1925"/>
        <w:gridCol w:w="293"/>
        <w:gridCol w:w="188"/>
        <w:gridCol w:w="188"/>
        <w:gridCol w:w="190"/>
        <w:gridCol w:w="567"/>
        <w:gridCol w:w="567"/>
        <w:gridCol w:w="569"/>
        <w:gridCol w:w="188"/>
        <w:gridCol w:w="188"/>
        <w:gridCol w:w="190"/>
        <w:gridCol w:w="420"/>
        <w:gridCol w:w="928"/>
        <w:gridCol w:w="311"/>
      </w:tblGrid>
      <w:tr>
        <w:trPr/>
        <w:tc>
          <w:tcPr>
            <w:tcW w:w="10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of Draw</w:t>
            </w:r>
          </w:p>
        </w:tc>
        <w:tc>
          <w:tcPr>
            <w:tcW w:w="2780" w:type="dxa"/>
            <w:gridSpan w:val="3"/>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Gross Amount of Initial Draw</w:t>
            </w:r>
          </w:p>
        </w:tc>
        <w:tc>
          <w:tcPr>
            <w:tcW w:w="56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Coupon Interest Rate</w:t>
            </w:r>
          </w:p>
        </w:tc>
        <w:tc>
          <w:tcPr>
            <w:tcW w:w="56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Debt Issuance Costs</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w:t>
            </w:r>
          </w:p>
        </w:tc>
        <w:tc>
          <w:tcPr>
            <w:tcW w:w="2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Equipment Financing loans</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total equipment financing carrying value was $4,924 and $5,710, respectively of which $3,458 and $3,332 are recorded as a current liability on the Unaudited Condensed Consolidated Balance Sheets, respectively. The Company recognized $208 and $317 for the three months ended March 31, 2024 and 2023 as interest expense attributable to the equipment financing agreement, respectively.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Yorkville Convertible Promissory Notes - Related Party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February 2023, and March of 2023, the Company issued additional convertible promissory notes with an aggregate principal amount of $22,000 in a private placement to Yorkville under the second and third supplemental agreements to the SEPA, respectively. The fair values of the January 2023 and February 2023 Promissory Notes at issuance were greater than the proceeds received. Accordingly, the Company recorded the excess of fair value of these Promissory Notes over the proceeds received as Interest expense - related party in the amount of $6,952, for the three months ended March 31, 2023, which is reflected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Yorkville delivered Investor Notices requiring the Company to issue and sell an aggregate of 11,216,492 shares of common stock to Yorkville to offset all outstanding amounts owed to Yorkville under the outstanding Promissory Notes. The Company recognized a loss on debt extinguishment from the issuance of common stock from the December 2022, January 2023, and February 2023 Promissory Notes of $1,634 for the three months ended March 31, 2023, which is reflected in the Condensed Consolidated Statements of Operations and Comprehensive Loss.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feature for each of the Promissory Notes discussed above did not qualify for the scope exception to derivative accounting, therefore bifurcation was required for each issuance. Upon extinguishment of each Promissory Note, the embedded derivatives were adjusted to their fair value. This remeasurement resulted in net gains of $55 for the three months ended March 31, 2023, which is included in change in fair value of derivatives - related parties on the Condensed Consolidated Statements of Operations and Comprehensive Loss.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no outstanding amounts under the Yorkville Promissory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 xml:space="preserve">13. Warrants Liability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Company issued 16,000,000 shares of common stock and 16,000,000 private placement warrants to purchase shares of common stock. In May 2023, the Company issued another 3,601,980 shares of common stock and 3,601,980 private placement warrants to purchase shares of common stock (the “April 2023 warrants” and “May 2023 warrants”, respectively).</w:t>
      </w:r>
    </w:p>
    <w:p>
      <w:pPr>
        <w:pStyle w:val="TextBody"/>
        <w:bidi w:val="0"/>
        <w:spacing w:lineRule="auto" w:line="288"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Company issued in a combined public offering 34,482,759 shares of common stock and 34,482,759 accompanying common warrants to purchase shares of common stock (the "December 2023 warrants"). </w:t>
      </w:r>
    </w:p>
    <w:p>
      <w:pPr>
        <w:pStyle w:val="TextBody"/>
        <w:bidi w:val="0"/>
        <w:spacing w:lineRule="auto" w:line="26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warrants outstanding and fair value for all warrants as of March 31, 2024 and December 31, 2023 are as follows:</w:t>
      </w:r>
    </w:p>
    <w:tbl>
      <w:tblPr>
        <w:tblW w:w="8430" w:type="dxa"/>
        <w:jc w:val="left"/>
        <w:tblInd w:w="0" w:type="dxa"/>
        <w:tblLayout w:type="fixed"/>
        <w:tblCellMar>
          <w:top w:w="28" w:type="dxa"/>
          <w:left w:w="28" w:type="dxa"/>
          <w:bottom w:w="28" w:type="dxa"/>
          <w:right w:w="28" w:type="dxa"/>
        </w:tblCellMar>
      </w:tblPr>
      <w:tblGrid>
        <w:gridCol w:w="765"/>
        <w:gridCol w:w="672"/>
        <w:gridCol w:w="678"/>
        <w:gridCol w:w="540"/>
        <w:gridCol w:w="541"/>
        <w:gridCol w:w="361"/>
        <w:gridCol w:w="113"/>
        <w:gridCol w:w="113"/>
        <w:gridCol w:w="113"/>
        <w:gridCol w:w="220"/>
        <w:gridCol w:w="753"/>
        <w:gridCol w:w="113"/>
        <w:gridCol w:w="109"/>
        <w:gridCol w:w="109"/>
        <w:gridCol w:w="109"/>
        <w:gridCol w:w="540"/>
        <w:gridCol w:w="541"/>
        <w:gridCol w:w="361"/>
        <w:gridCol w:w="129"/>
        <w:gridCol w:w="129"/>
        <w:gridCol w:w="129"/>
        <w:gridCol w:w="251"/>
        <w:gridCol w:w="858"/>
        <w:gridCol w:w="183"/>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w:t>
              <w:br/>
              <w:t>Outstanding</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w:t>
              <w:br/>
              <w:t>Outstanding</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IPO warrants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2023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2023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3,601,980 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3,601,980 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2023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34,482,759 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34,482,759 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54,359,139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54,359,139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
        <w:jc w:val="both"/>
        <w:rPr/>
      </w:pPr>
      <w:r>
        <w:rPr>
          <w:rFonts w:ascii="Times New Roman;sans-serif" w:hAnsi="Times New Roman;sans-serif"/>
          <w:b w:val="false"/>
          <w:color w:val="000000"/>
          <w:sz w:val="20"/>
        </w:rPr>
        <w:t xml:space="preserve">All warrants are measured at fair value at each reporting period. For all warrants in aggregate, the change in fair value for the three months ended March 31, 2024 and 2023 has been recognized in change in fair value of warrants on the Company’s Condensed Consolidated Statements of Operations and Comprehensive Loss. The fair value for the warrants is included in Warrants liability on the Condensed Consolidated Balance Sheets. See Note 14, </w:t>
      </w:r>
      <w:r>
        <w:rPr>
          <w:rFonts w:ascii="Times New Roman;sans-serif" w:hAnsi="Times New Roman;sans-serif"/>
          <w:b w:val="false"/>
          <w:i/>
          <w:color w:val="000000"/>
          <w:sz w:val="20"/>
        </w:rPr>
        <w:t xml:space="preserve">Fair Value Measurements </w:t>
      </w:r>
      <w:r>
        <w:rPr>
          <w:rFonts w:ascii="Times New Roman;sans-serif" w:hAnsi="Times New Roman;sans-serif"/>
          <w:b w:val="false"/>
          <w:color w:val="000000"/>
          <w:sz w:val="20"/>
        </w:rPr>
        <w:t>for further information</w:t>
      </w:r>
      <w:r>
        <w:rPr>
          <w:rFonts w:ascii="Times New Roman;sans-serif" w:hAnsi="Times New Roman;sans-serif"/>
          <w:b w:val="false"/>
          <w:i/>
          <w:color w:val="000000"/>
          <w:sz w:val="20"/>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14. Fair Value Measurement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of cash and cash equivalents, restricted cash, accounts receivable, notes receivable, contract assets, accounts payable, warrants, convertible notes payable — related party, contract liabilities and long-term debt.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establish a hierarchy, which prioritizes the inputs to valuation techniques used to measure fair value into three levels. The fair value hierarchy gives the highest priority to quoted market prices (unadjusted) in active markets for identical assets or liabilities (Level 1) and the lowest priority to unobservable inputs (Level 3). Level 2 inputs are inputs other than quoted prices included within Level 1 that are observable for the asset or liability, either directly or indirectly.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14. Fair Value Measurement</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the exercise of this judgment may affect the valuation of the fair value of assets and liabilities and their placement within the fair value hierarchy levels.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and cash equivalents, restricted cash, accounts receivable, contract assets, contract liabilities and accounts payable are considered to be representative of their fair value due to the short maturity of these instruments.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fair values of certain liabilities that are included within the Company’s accompanying Unaudited Condensed Consolidated Balance Sheets and their designations among the three fair value measurement categories:</w:t>
      </w:r>
    </w:p>
    <w:tbl>
      <w:tblPr>
        <w:tblW w:w="8766" w:type="dxa"/>
        <w:jc w:val="left"/>
        <w:tblInd w:w="0" w:type="dxa"/>
        <w:tblLayout w:type="fixed"/>
        <w:tblCellMar>
          <w:top w:w="28" w:type="dxa"/>
          <w:left w:w="28" w:type="dxa"/>
          <w:bottom w:w="28" w:type="dxa"/>
          <w:right w:w="28" w:type="dxa"/>
        </w:tblCellMar>
      </w:tblPr>
      <w:tblGrid>
        <w:gridCol w:w="760"/>
        <w:gridCol w:w="667"/>
        <w:gridCol w:w="673"/>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160" w:after="283"/>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160" w:after="283"/>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Warrants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Embedded derivatives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IPO warrants are classified as Level 2 financial instruments in the table above. They are valued on the basis of the quoted price of the Company’s public warrants, adjusted for insignificant difference between the public warrants and the private placement warrants.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April 2023 warrants, May 2023 warrants and December 2023 warrants are classified as Level 3 financial instruments in the table above. The Company estimated the fair value of these warrants using the Black-Scholes model at inception and on subsequent valuation dates. This model incorporates inputs such as the stock price of the Company, risk-free interest rate, volatility and time to expiration. The volatility involves unobservable inputs classified as Level 3 of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14. Fair Value Measurement</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inputs used to determine the fair value of the April 2023 warrants, May 2023 warrants and the December 2023 warrants are as follows:</w:t>
      </w:r>
    </w:p>
    <w:tbl>
      <w:tblPr>
        <w:tblW w:w="5457" w:type="dxa"/>
        <w:jc w:val="left"/>
        <w:tblInd w:w="0" w:type="dxa"/>
        <w:tblLayout w:type="fixed"/>
        <w:tblCellMar>
          <w:top w:w="28" w:type="dxa"/>
          <w:left w:w="28" w:type="dxa"/>
          <w:bottom w:w="28" w:type="dxa"/>
          <w:right w:w="28" w:type="dxa"/>
        </w:tblCellMar>
      </w:tblPr>
      <w:tblGrid>
        <w:gridCol w:w="815"/>
        <w:gridCol w:w="716"/>
        <w:gridCol w:w="719"/>
        <w:gridCol w:w="274"/>
        <w:gridCol w:w="664"/>
        <w:gridCol w:w="352"/>
        <w:gridCol w:w="109"/>
        <w:gridCol w:w="109"/>
        <w:gridCol w:w="109"/>
        <w:gridCol w:w="323"/>
        <w:gridCol w:w="782"/>
        <w:gridCol w:w="485"/>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April 2023 warrants</w:t>
            </w:r>
          </w:p>
        </w:tc>
        <w:tc>
          <w:tcPr>
            <w:tcW w:w="129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expiration</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price</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May 2023 warrants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expiration</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price</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December 2023 warrants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expiration</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price</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Embedded derivatives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estimated the fair value of the embedded conversion features in the 2021 Convertible Note and the AFG Convertible Notes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inputs used to determine the fair value of the embedded derivative liabilities are as follows:</w:t>
      </w:r>
    </w:p>
    <w:tbl>
      <w:tblPr>
        <w:tblW w:w="6026" w:type="dxa"/>
        <w:jc w:val="left"/>
        <w:tblInd w:w="0" w:type="dxa"/>
        <w:tblLayout w:type="fixed"/>
        <w:tblCellMar>
          <w:top w:w="28" w:type="dxa"/>
          <w:left w:w="28" w:type="dxa"/>
          <w:bottom w:w="28" w:type="dxa"/>
          <w:right w:w="28" w:type="dxa"/>
        </w:tblCellMar>
      </w:tblPr>
      <w:tblGrid>
        <w:gridCol w:w="1022"/>
        <w:gridCol w:w="896"/>
        <w:gridCol w:w="901"/>
        <w:gridCol w:w="287"/>
        <w:gridCol w:w="287"/>
        <w:gridCol w:w="716"/>
        <w:gridCol w:w="109"/>
        <w:gridCol w:w="109"/>
        <w:gridCol w:w="109"/>
        <w:gridCol w:w="324"/>
        <w:gridCol w:w="324"/>
        <w:gridCol w:w="942"/>
      </w:tblGrid>
      <w:tr>
        <w:trPr/>
        <w:tc>
          <w:tcPr>
            <w:tcW w:w="10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2021 Convertible Note Payable</w:t>
            </w:r>
          </w:p>
        </w:tc>
        <w:tc>
          <w:tcPr>
            <w:tcW w:w="129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years</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debt yield</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AFG Convertible Notes Payable</w:t>
            </w:r>
          </w:p>
        </w:tc>
        <w:tc>
          <w:tcPr>
            <w:tcW w:w="129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years</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debt yield</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14. Fair Value Measurement</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Level 3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liabilities are measured at fair value on a recurring basis using significant unobservable inputs. The following table summarizes the changes in the fair value of liabilities that are included within the Company’s accompanying Unaudited Condensed Consolidated Balance Sheets and are designated as Level 3:</w:t>
      </w:r>
    </w:p>
    <w:tbl>
      <w:tblPr>
        <w:tblW w:w="6909" w:type="dxa"/>
        <w:jc w:val="left"/>
        <w:tblInd w:w="0" w:type="dxa"/>
        <w:tblLayout w:type="fixed"/>
        <w:tblCellMar>
          <w:top w:w="28" w:type="dxa"/>
          <w:left w:w="28" w:type="dxa"/>
          <w:bottom w:w="28" w:type="dxa"/>
          <w:right w:w="28" w:type="dxa"/>
        </w:tblCellMar>
      </w:tblPr>
      <w:tblGrid>
        <w:gridCol w:w="1554"/>
        <w:gridCol w:w="1363"/>
        <w:gridCol w:w="1372"/>
        <w:gridCol w:w="225"/>
        <w:gridCol w:w="771"/>
        <w:gridCol w:w="116"/>
        <w:gridCol w:w="116"/>
        <w:gridCol w:w="116"/>
        <w:gridCol w:w="116"/>
        <w:gridCol w:w="225"/>
        <w:gridCol w:w="771"/>
        <w:gridCol w:w="164"/>
      </w:tblGrid>
      <w:tr>
        <w:trPr/>
        <w:tc>
          <w:tcPr>
            <w:tcW w:w="15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2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Embedded derivatives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fair value of derivatives - related parties</w:t>
            </w:r>
            <w:r>
              <w:rPr>
                <w:rFonts w:ascii="Times New Roman;sans-serif" w:hAnsi="Times New Roman;sans-serif"/>
                <w:b w:val="false"/>
                <w:color w:val="000000"/>
                <w:sz w:val="13"/>
              </w:rPr>
              <w:t>1</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Warrants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Includes loss on debt extinguishment from Yorkville Promissory Note Conversions for the three months ended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financial instruments not carried at fair value in the Unaudited Condensed Consolidated Balance Sheets was as follows:</w:t>
      </w:r>
    </w:p>
    <w:tbl>
      <w:tblPr>
        <w:tblW w:w="10205" w:type="dxa"/>
        <w:jc w:val="left"/>
        <w:tblInd w:w="0" w:type="dxa"/>
        <w:tblLayout w:type="fixed"/>
        <w:tblCellMar>
          <w:top w:w="28" w:type="dxa"/>
          <w:left w:w="28" w:type="dxa"/>
          <w:bottom w:w="28" w:type="dxa"/>
          <w:right w:w="28" w:type="dxa"/>
        </w:tblCellMar>
      </w:tblPr>
      <w:tblGrid>
        <w:gridCol w:w="728"/>
        <w:gridCol w:w="590"/>
        <w:gridCol w:w="598"/>
        <w:gridCol w:w="666"/>
        <w:gridCol w:w="666"/>
        <w:gridCol w:w="668"/>
        <w:gridCol w:w="109"/>
        <w:gridCol w:w="109"/>
        <w:gridCol w:w="109"/>
        <w:gridCol w:w="243"/>
        <w:gridCol w:w="952"/>
        <w:gridCol w:w="125"/>
        <w:gridCol w:w="109"/>
        <w:gridCol w:w="109"/>
        <w:gridCol w:w="109"/>
        <w:gridCol w:w="211"/>
        <w:gridCol w:w="826"/>
        <w:gridCol w:w="109"/>
        <w:gridCol w:w="109"/>
        <w:gridCol w:w="109"/>
        <w:gridCol w:w="109"/>
        <w:gridCol w:w="243"/>
        <w:gridCol w:w="952"/>
        <w:gridCol w:w="125"/>
        <w:gridCol w:w="109"/>
        <w:gridCol w:w="109"/>
        <w:gridCol w:w="109"/>
        <w:gridCol w:w="211"/>
        <w:gridCol w:w="826"/>
        <w:gridCol w:w="158"/>
      </w:tblGrid>
      <w:tr>
        <w:trPr/>
        <w:tc>
          <w:tcPr>
            <w:tcW w:w="72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1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20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in 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w:t>
            </w:r>
          </w:p>
        </w:tc>
        <w:tc>
          <w:tcPr>
            <w:tcW w:w="2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2021 Convertible Note*</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Secured Term Loan </w:t>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AFG Convertible Notes*</w:t>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w:t>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206,457 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204,722 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143,255 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*Includes the embedded derivative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Commitments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 commitments under lease agreements. As of March 31, 2024, future lease payments amounted to $5,568.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Minimum Volume Commitment</w:t>
      </w:r>
    </w:p>
    <w:p>
      <w:pPr>
        <w:pStyle w:val="TextBody"/>
        <w:bidi w:val="0"/>
        <w:spacing w:lineRule="auto" w:line="288" w:before="160" w:after="283"/>
        <w:jc w:val="both"/>
        <w:rPr/>
      </w:pPr>
      <w:r>
        <w:rPr>
          <w:rFonts w:ascii="Times New Roman;sans-serif" w:hAnsi="Times New Roman;sans-serif"/>
          <w:b w:val="false"/>
          <w:color w:val="000000"/>
          <w:sz w:val="20"/>
        </w:rPr>
        <w:t>In June 2022, the Company entered into a long-term supply agreement with a minimum volume commitment with a third party that provides services to process certain raw materials. Any purchase order issued under this supply agreement will be non-cancellable. If the Company fails to order the guaranteed minimum volume defined in the contract at the end of the term, the Company will be required to pay the counterparty an amount equal to the shortfall, if any, multiplied by a fee.</w:t>
      </w:r>
      <w:r>
        <w:rPr>
          <w:color w:val="000000"/>
        </w:rPr>
        <w:t xml:space="preserve"> </w:t>
      </w:r>
      <w:r>
        <w:rPr>
          <w:rFonts w:ascii="Times New Roman;sans-serif" w:hAnsi="Times New Roman;sans-serif"/>
          <w:b w:val="false"/>
          <w:color w:val="000000"/>
          <w:sz w:val="20"/>
        </w:rPr>
        <w:t xml:space="preserve">The Company believes it will meet the minimum volume commitment and no shortfall penalty has been accrued as of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15. Commitments and Contingencies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1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Class Action Complaints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2023, a class action lawsuit was filed in the Court of Chancery of the State of Delaware by plaintiff Richard Delman against certain defendants including the Company’s former directors (the “Delman Defendants”). Neither the Company nor Eos Energy Storage LLC were named as a defendant but each was identified in the Complaint as a relevant non-party and the Company has indemnification obligations relating to the lawsuit. On February 1, 2024, the parties agreed to a binding Settlement Term Sheet (the “Settlement”) whereby plaintiff agreed to resolve the lawsuit in exchange for a settlement payment of $8,500, consisting of cash payments previously made by the Company of approximately $1,000 and an additional cash payment of approximately $7,500 funded by the Company’s Directors and Officers (“D&amp;O”) liability insurance policies. The definitive settlement agreement is currently being negotiated between the parties. Once finalized, the settlement agreement will be submitted to the Court of Chancery for final approval.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2023, a class action lawsuit was filed in the United States District Court of New Jersey by plaintiff William Houck against the Company, the Company’s Chief Executive Officer, its former Chief Financial Officer and its current Chief Financial Officer (with the Company, the “Houck Defendants”). The Complaint alleges that the defendants violated federal securities laws by making knowingly false or misleading statements about the Company’s contractual relationship with a customer and about the size of the Company’s order backlog and commercial pipeline. Defendants deny the allegations and, on February 13, 2024, moved to dismiss the Complaint. On March 5, 2024, plaintiff filed an amended complaint that dropped the Company’s former Chief Financial Officer as a defendant. On April 4, 2024, defendants filed a renewed motion to dismiss the lawsuit. The Company intends to continue to vigorously defend against this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16. Stock-Based Compensation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the Unaudited Condensed Consolidated Statements of Operations and Comprehensive Loss was as follows:</w:t>
      </w:r>
    </w:p>
    <w:tbl>
      <w:tblPr>
        <w:tblW w:w="4496" w:type="dxa"/>
        <w:jc w:val="left"/>
        <w:tblInd w:w="0" w:type="dxa"/>
        <w:tblLayout w:type="fixed"/>
        <w:tblCellMar>
          <w:top w:w="28" w:type="dxa"/>
          <w:left w:w="28" w:type="dxa"/>
          <w:bottom w:w="28" w:type="dxa"/>
          <w:right w:w="28" w:type="dxa"/>
        </w:tblCellMar>
      </w:tblPr>
      <w:tblGrid>
        <w:gridCol w:w="678"/>
        <w:gridCol w:w="596"/>
        <w:gridCol w:w="601"/>
        <w:gridCol w:w="245"/>
        <w:gridCol w:w="697"/>
        <w:gridCol w:w="136"/>
        <w:gridCol w:w="136"/>
        <w:gridCol w:w="136"/>
        <w:gridCol w:w="136"/>
        <w:gridCol w:w="245"/>
        <w:gridCol w:w="697"/>
        <w:gridCol w:w="193"/>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3,363 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compensation expense has been recorded in cost of goods sold, research and development expenses and selling, general and administrative expenses.</w:t>
      </w:r>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total unrecognized compensation expense was $12,448 of which $12,358 was attributable to unvested restricted stock units (“RSU”) and $90 was attributable to unvested stock options. Compensation expense for these unvested awards is expected to be recognized over a weighted-average remaining vesting period of 2.1 years for RSUs and 0.1 years for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17. 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income tax expense was $25 and $10, respectively, related to state margin taxes and taxable earnings from foreign operations. The income tax expense differs from the amount computed by applying the statutory U.S. federal income tax rate of 21% to the loss before income taxes. This is due to non-taxable income, foreign operations and pre-tax losses for which no tax benefit can be recognized for U.S.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17. Income Taxes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and applies the annual effective tax rate to its ordinary earnings each interim period. Any significant unusual or infrequent items are not included in the estimation of the annual effective tax rate; instead, these items and their related income tax expense are separately stated in the interim period in which they occur. The quarterly estimate of the annual effective tax rate and related tax expense is subject to variation due to a multitude of factors, including, but are not limited to, the inability to accurately predict the Company’s pre-tax and taxable income and loss.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March 31, 2024 and December 31, 2023 due to cumulative losses. Therefore, the Company has a valuation allowance against its net U.S. deferred tax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Company has unrecognized tax benefits associated with uncertain tax positions that, if recognized, would not affect the effective tax rate on income from continuing operations. The Company is not currently under examination by any taxing jurisdiction and none of the uncertain tax positions are expected to reverse within the next 12 months.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files income tax returns in U.S. federal and various state jurisdictions, as well as in Italy and India. The open tax years for federal returns are 2020 and forward and open tax years for state returns are generally 2019 and forward. In addition, net operating losses generated in closed years and utilized in open years are subject to adjustment by the tax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18. Shareholders’ Deficit</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Preferred Stock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1,000,000 shares of preferred stock with such designations, voting and other rights and preferences as may be determined from time to time by the Company’s Board of Directors. At March 31, 2024 and December 31, 2023, there were no shares of preferred stock issued or outstanding.</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300,000,000 shares of common stock at $0.0001 par value as of March 31, 2024. The holders of the Company’s common stock are entitled to one vote for each share held. At March 31, 2024 and December 31, 2023, there were 206,779,447 and 199,133,827 shares of common stock issued and outstanding.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treasury stock of $308 and $345 for the three months ended March 31, 2024 and 2023 for shares withheld from employees to cover the payroll tax liability of RSUs vested, respectively. The treasury stock was immediately retired.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 Liability</w:t>
      </w:r>
    </w:p>
    <w:p>
      <w:pPr>
        <w:pStyle w:val="TextBody"/>
        <w:bidi w:val="0"/>
        <w:spacing w:lineRule="auto" w:line="288" w:before="160" w:after="283"/>
        <w:jc w:val="both"/>
        <w:rPr/>
      </w:pPr>
      <w:r>
        <w:rPr>
          <w:rFonts w:ascii="Times New Roman;sans-serif" w:hAnsi="Times New Roman;sans-serif"/>
          <w:b w:val="false"/>
          <w:color w:val="000000"/>
          <w:sz w:val="20"/>
        </w:rPr>
        <w:t xml:space="preserve">The Company has outstanding private warrants from the IPO warrants, the April 2023 warrants, the May 2023 warrants and the December 2023 warrants. Warrants liability is included separately on the Unaudited Condensed Consolidated Balance Sheets. See Note 13, </w:t>
      </w:r>
      <w:r>
        <w:rPr>
          <w:rFonts w:ascii="Times New Roman;sans-serif" w:hAnsi="Times New Roman;sans-serif"/>
          <w:b w:val="false"/>
          <w:i/>
          <w:color w:val="000000"/>
          <w:sz w:val="20"/>
        </w:rPr>
        <w:t xml:space="preserve">Warrants Liability </w:t>
      </w:r>
      <w:r>
        <w:rPr>
          <w:rFonts w:ascii="Times New Roman;sans-serif" w:hAnsi="Times New Roman;sans-serif"/>
          <w:b w:val="false"/>
          <w:color w:val="000000"/>
          <w:sz w:val="20"/>
        </w:rPr>
        <w:t>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18. Shareholders’ Deficit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Warrants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sold warrants to purchase 9,075,000 shares of the Company’s common stock in a public offering on May 22, 2020 (the “Public Warrants”). Each Public Warrant entitles the holder to purchase a share of common stock at a price of $11.50 per share. There were no Public Warrants exercised during the three months ended March 31, 2024 and 2023. As of March 31, 2024 and December 31, 2023, there were 7,052,254 public warrants outstanding for both periods.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Standby Equity Purchase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total funds raised under the SEPA, inclusive of proceeds received from the Yorkville Convertible Promissory Notes, were $20,850. During the three months ended March 31, 2023, total shares issued under the SEPA were 11,900,400.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23, 2023, the Company and Yorkville terminated the SEPA, as amended, by mutual written consent. At the time of termination, there were no outstanding borrowings, advance notices or shares of Common Stock to be issued under the SEPA. In addition, there were no fees due by the Company or Yorkville in connection with the termination of the SEPA.</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At-the-Market Offering Program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sales agreement with Cowen and Company, LLC (“Cowen”), with respect to an at-the-market offering (“ATM”) program under which the Company may offer and sell, from time to time at its sole discretion, shares of its common stock, having an aggregate offering price of up to $200,000 through Cowen as its sales agent and/or principal.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sold 7,239,982 shares raising proceeds of $7,206, net of fees paid to Cowen, at an average selling price of $1.03 per share. There were no shares issued under the ATM offering program for the three months ended March 31, 2023.</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Earnings Per Share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Since the Company incurred a net loss for the three months ended March 31, 2024 and 2023, the potential dilutive shares from stock options, restricted stock units, warrants and Convertible Notes were excluded from the calculation of diluted net loss per share because their effect would have been anti-dilutive for the periods presented. Therefore, basic and diluted EPS are computed using the same number of weighted-average shares for the three months ended March 31, 2024 and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shares were excluded from the calculation of diluted net loss per share because their effect would have been anti-dilutive for the periods presented:</w:t>
      </w:r>
    </w:p>
    <w:p>
      <w:pPr>
        <w:pStyle w:val="TextBody"/>
        <w:bidi w:val="0"/>
        <w:spacing w:before="0" w:after="0"/>
        <w:jc w:val="both"/>
        <w:rPr/>
      </w:pPr>
      <w:r>
        <w:rPr/>
      </w:r>
    </w:p>
    <w:tbl>
      <w:tblPr>
        <w:tblW w:w="6983" w:type="dxa"/>
        <w:jc w:val="left"/>
        <w:tblInd w:w="0" w:type="dxa"/>
        <w:tblLayout w:type="fixed"/>
        <w:tblCellMar>
          <w:top w:w="28" w:type="dxa"/>
          <w:left w:w="28" w:type="dxa"/>
          <w:bottom w:w="28" w:type="dxa"/>
          <w:right w:w="28" w:type="dxa"/>
        </w:tblCellMar>
      </w:tblPr>
      <w:tblGrid>
        <w:gridCol w:w="1199"/>
        <w:gridCol w:w="1054"/>
        <w:gridCol w:w="1062"/>
        <w:gridCol w:w="750"/>
        <w:gridCol w:w="331"/>
        <w:gridCol w:w="278"/>
        <w:gridCol w:w="278"/>
        <w:gridCol w:w="278"/>
        <w:gridCol w:w="278"/>
        <w:gridCol w:w="750"/>
        <w:gridCol w:w="331"/>
        <w:gridCol w:w="394"/>
      </w:tblGrid>
      <w:tr>
        <w:trPr/>
        <w:tc>
          <w:tcPr>
            <w:tcW w:w="119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9,048,602 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6,987,945 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61,411,393 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7,326,654 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16,226,124 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16,950,606 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bidi w:val="0"/>
        <w:spacing w:lineRule="auto" w:line="288" w:before="160" w:after="283"/>
        <w:jc w:val="both"/>
        <w:rPr/>
      </w:pPr>
      <w:r>
        <w:rPr>
          <w:rFonts w:ascii="Times New Roman;sans-serif" w:hAnsi="Times New Roman;sans-serif"/>
          <w:b w:val="false"/>
          <w:color w:val="000000"/>
          <w:sz w:val="20"/>
        </w:rPr>
        <w:t xml:space="preserve">On April 22, 2024, the Company closed an agreement with Banyan Software, Inc. to accelerate its 2023 Production Tax Credit monetization. The Company received $2,303 in cash. This amount relates to a portion of the PTC grant receivable as of March 31, 2024, as discussed in Note 10, </w:t>
      </w:r>
      <w:r>
        <w:rPr>
          <w:rFonts w:ascii="Times New Roman;sans-serif" w:hAnsi="Times New Roman;sans-serif"/>
          <w:b w:val="false"/>
          <w:i/>
          <w:color w:val="000000"/>
          <w:sz w:val="20"/>
        </w:rPr>
        <w:t>Government Grants.</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the accompanying Unaudited Condensed Consolidated Financial Statements for the three months ended March 31, 2024 and 2023 and the Company’s Annual Report on Form 10-K for the year ended December 31, 2023, including the financial statements and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is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the Company’s Z3™ battery module is the core of its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w:t>
      </w:r>
    </w:p>
    <w:p>
      <w:pPr>
        <w:pStyle w:val="TextBody"/>
        <w:bidi w:val="0"/>
        <w:spacing w:lineRule="auto" w:line="288" w:before="160" w:after="1"/>
        <w:jc w:val="both"/>
        <w:rPr/>
      </w:pPr>
      <w:r>
        <w:rPr>
          <w:rFonts w:ascii="Times New Roman;sans-serif" w:hAnsi="Times New Roman;sans-serif"/>
          <w:b w:val="false"/>
          <w:color w:val="000000"/>
          <w:sz w:val="20"/>
        </w:rPr>
        <w:t>In addition to its BESS, the Company currently offers: (a) a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r>
        <w:rPr>
          <w:rFonts w:ascii="Times New Roman;sans-serif" w:hAnsi="Times New Roman;sans-serif"/>
          <w:b/>
          <w:color w:val="000000"/>
          <w:sz w:val="20"/>
        </w:rPr>
        <w: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invest in the refinement and production of its Z3 battery, which builds off the same electrochemistry that has not fundamentally changed for the better part of a decade. The next Z3 battery is designed to reduce cost and weight while improving manufacturability and system performance. The Eos Z3 battery is more cost-effective and has a simpler tub design with 50% fewer cells and 98% fewer welds per battery module than the Gen 2.3. The Company currently expects that the Z3 battery will give customers the benefit of two times the energy density per square foot with the same safety and reliability. The Z3 transition is fully underway and the first semi-automated battery manufacturing line is installed and has started commercial production. The Z3 batteries utilize the same chemistry, which has over 3 million cycles, and incorporate a new mechanical design aimed at improving performance, lowering cost and increasing manufacturability.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started delivery of its Z3 battery modules in the third quarter of 2023. The Z3 battery incorporates valuable lessons learned from the past 15 years into a new system design which the Company expects to result in efficiencies as it develops its new state-of-the-art manufacturing line.</w:t>
      </w:r>
    </w:p>
    <w:p>
      <w:pPr>
        <w:pStyle w:val="TextBody"/>
        <w:bidi w:val="0"/>
        <w:spacing w:lineRule="auto" w:line="288" w:before="160" w:after="283"/>
        <w:jc w:val="both"/>
        <w:rPr/>
      </w:pPr>
      <w:r>
        <w:rPr>
          <w:rFonts w:ascii="Times New Roman;sans-serif" w:hAnsi="Times New Roman;sans-serif"/>
          <w:b w:val="false"/>
          <w:color w:val="000000"/>
          <w:sz w:val="20"/>
        </w:rPr>
        <w:t xml:space="preserve">The Company believes the simplicity, flexibility and safety of our products are what the market desires. In addition, we believe that the Inflation Reduction Act gives us a competitive advantage by virtue of production tax credits (“PTC”) that can be claimed on battery components manufactured domestically, and tax credits for customers for projects that satisfy domestic content requirements. See </w:t>
      </w:r>
      <w:r>
        <w:rPr>
          <w:rFonts w:ascii="Times New Roman;sans-serif" w:hAnsi="Times New Roman;sans-serif"/>
          <w:b w:val="false"/>
          <w:i/>
          <w:color w:val="000000"/>
          <w:sz w:val="20"/>
        </w:rPr>
        <w:t xml:space="preserve">Regulatory Landscape </w:t>
      </w:r>
      <w:r>
        <w:rPr>
          <w:rFonts w:ascii="Times New Roman;sans-serif" w:hAnsi="Times New Roman;sans-serif"/>
          <w:b w:val="false"/>
          <w:color w:val="000000"/>
          <w:sz w:val="20"/>
        </w:rPr>
        <w:t>section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Company intends to engage with a consortium of community leaders, universities and supply chain partners in anticipation of pursuing grants made available under the Bipartisan Infrastructure Law of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Regulatory Landscape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 Department of Energy (“DOE”)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the DOE issued a Conditional Commitment Letter to the Company for a loan of an aggregate principal amount of up to $398.6 million through the DOE’s Clean Energy Financing Program. The Conditional Commitment Letter follows an extensive technical, financial and commercial due diligence process by the DOE. If finalized, the loan is expected to fund 80% of eligible costs of the Company’s planned manufacturing expansion in Turtle Creek, Pennsylvania.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Eligible costs include capital expenditures and other costs associated with ramping up the manufacturing lines and facility, for example start-up and shakedown costs, as well as certain material and labor costs before efficiencies are met. The Company is working to finalize the loan documents with the DOE and to fulfill certain conditions precedent. Eos is spending eligible costs now that would be reimbursable at first funding.</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 (“IRA”)</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IRA features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placing new energy storage facilities in service will be allowed to claim at least a thirty percent investment tax credit (“ITC”) under certain conditions. The IRA also offers an extra ten percent credit if the project is in an “energy community” and another ten percent credit if the project satisfies domestic content requirements, which will be set forth when the implementing regulations are finalized. The ten percent bonus for domestic content could represent a strategic advantage for the Company resulting from the Company’s near-sourcing and Made in America strategy, and we currently anticipate that projects utilizing Eos batteries will qualify for the bonus.</w:t>
      </w:r>
    </w:p>
    <w:p>
      <w:pPr>
        <w:pStyle w:val="TextBody"/>
        <w:bidi w:val="0"/>
        <w:spacing w:lineRule="auto" w:line="288" w:before="120" w:after="1"/>
        <w:jc w:val="both"/>
        <w:rPr/>
      </w:pPr>
      <w:r>
        <w:rPr>
          <w:rFonts w:ascii="Times New Roman;sans-serif" w:hAnsi="Times New Roman;sans-serif"/>
          <w:b w:val="false"/>
          <w:color w:val="000000"/>
          <w:sz w:val="20"/>
        </w:rPr>
        <w:t xml:space="preserve">As discussed in Note 10, </w:t>
      </w:r>
      <w:r>
        <w:rPr>
          <w:rFonts w:ascii="Times New Roman;sans-serif" w:hAnsi="Times New Roman;sans-serif"/>
          <w:b w:val="false"/>
          <w:i/>
          <w:color w:val="000000"/>
          <w:sz w:val="20"/>
        </w:rPr>
        <w:t>Government Grants</w:t>
      </w:r>
      <w:r>
        <w:rPr>
          <w:color w:val="000000"/>
        </w:rPr>
        <w:t xml:space="preserve"> </w:t>
      </w:r>
      <w:r>
        <w:rPr>
          <w:rFonts w:ascii="Times New Roman;sans-serif" w:hAnsi="Times New Roman;sans-serif"/>
          <w:b w:val="false"/>
          <w:color w:val="000000"/>
          <w:sz w:val="20"/>
        </w:rPr>
        <w:t xml:space="preserve">to our Unaudited Condensed Consolidated Financial Statements included elsewhere in this Quarterly Report, starting in 2023, there are Production Tax Credits under Internal Revenue Code 45X (“PTC”) that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These credits are expected to be a new source of cash flow for Eos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Company Highlights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In January 2024, the Company entered into a supply agreement with TETRA Technologies, Inc (“TETRA”) that further expanded this partnership. TETRA is a leading global energy services and solutions company. This supply agreement designates TETRA as the preferred strategic supplier of electrolyte products for the Company’s Eos Z3</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long duration energy storage cube.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In February 2024, the Company entered into a multiyear pricing agreement with SHPP US LLC, a Saudi Basic Industries Corporation (“SABIC”) affiliate, to supply conductive composite thermoplastic for the Eos Z3</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battery module. The Company and SABIC have worked collaboratively to develop a solution using one of SABIC’s new resin materials to replace the titanium used in prior Eos battery iterations.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In February 2024, the Company achieved “Power On” status of all motion systems on its first state-of-the-art manufacturing line. Reaching this milestone is a significant step in achieving the state-of-the-art manufacturing line being installed and commissioned in the Company’s Turtle Creek facility.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For the three months ended March 31, 2024, the Company recognized $1.5 million of grant income related to the IRA PTC.</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7240" w:type="dxa"/>
        <w:jc w:val="left"/>
        <w:tblInd w:w="0" w:type="dxa"/>
        <w:tblLayout w:type="fixed"/>
        <w:tblCellMar>
          <w:top w:w="28" w:type="dxa"/>
          <w:left w:w="28" w:type="dxa"/>
          <w:bottom w:w="28" w:type="dxa"/>
          <w:right w:w="28" w:type="dxa"/>
        </w:tblCellMar>
      </w:tblPr>
      <w:tblGrid>
        <w:gridCol w:w="515"/>
        <w:gridCol w:w="453"/>
        <w:gridCol w:w="456"/>
        <w:gridCol w:w="305"/>
        <w:gridCol w:w="891"/>
        <w:gridCol w:w="157"/>
        <w:gridCol w:w="157"/>
        <w:gridCol w:w="157"/>
        <w:gridCol w:w="157"/>
        <w:gridCol w:w="305"/>
        <w:gridCol w:w="891"/>
        <w:gridCol w:w="157"/>
        <w:gridCol w:w="109"/>
        <w:gridCol w:w="109"/>
        <w:gridCol w:w="109"/>
        <w:gridCol w:w="344"/>
        <w:gridCol w:w="346"/>
        <w:gridCol w:w="281"/>
        <w:gridCol w:w="109"/>
        <w:gridCol w:w="109"/>
        <w:gridCol w:w="109"/>
        <w:gridCol w:w="218"/>
        <w:gridCol w:w="218"/>
        <w:gridCol w:w="578"/>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revenues from the delivery of its battery energy storage systems (“BESS”) and service-related solutions. The Company expects revenues to increase as it scales production to meet customer demand. </w:t>
      </w:r>
    </w:p>
    <w:p>
      <w:pPr>
        <w:pStyle w:val="TextBody"/>
        <w:bidi w:val="0"/>
        <w:spacing w:lineRule="auto" w:line="288" w:before="160" w:after="283"/>
        <w:jc w:val="both"/>
        <w:rPr/>
      </w:pPr>
      <w:r>
        <w:rPr>
          <w:rFonts w:ascii="Times New Roman;sans-serif" w:hAnsi="Times New Roman;sans-serif"/>
          <w:b w:val="false"/>
          <w:color w:val="000000"/>
          <w:sz w:val="20"/>
        </w:rPr>
        <w:t>Revenue decreased by $2.2 million, or 25% from $8.8 million for the three months ended March 31, 2023 to $6.6 million for the three months ended March 31, 2024. The reduction in revenues for the three months ended March 31, 2024 was due to reduced production and deliveries in view of the Company’s shift to next generation Eos Z3</w:t>
      </w:r>
      <w:r>
        <w:rPr>
          <w:rFonts w:ascii="Times New Roman;sans-serif" w:hAnsi="Times New Roman;sans-serif"/>
          <w:b w:val="false"/>
          <w:color w:val="000000"/>
          <w:sz w:val="13"/>
        </w:rPr>
        <w:t xml:space="preserve">TM </w:t>
      </w:r>
      <w:r>
        <w:rPr>
          <w:rFonts w:ascii="Times New Roman;sans-serif" w:hAnsi="Times New Roman;sans-serif"/>
          <w:b w:val="false"/>
          <w:color w:val="000000"/>
          <w:sz w:val="20"/>
        </w:rPr>
        <w:t>technology.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tbl>
      <w:tblPr>
        <w:tblW w:w="7336" w:type="dxa"/>
        <w:jc w:val="left"/>
        <w:tblInd w:w="0" w:type="dxa"/>
        <w:tblLayout w:type="fixed"/>
        <w:tblCellMar>
          <w:top w:w="28" w:type="dxa"/>
          <w:left w:w="28" w:type="dxa"/>
          <w:bottom w:w="28" w:type="dxa"/>
          <w:right w:w="28" w:type="dxa"/>
        </w:tblCellMar>
      </w:tblPr>
      <w:tblGrid>
        <w:gridCol w:w="591"/>
        <w:gridCol w:w="520"/>
        <w:gridCol w:w="523"/>
        <w:gridCol w:w="278"/>
        <w:gridCol w:w="952"/>
        <w:gridCol w:w="143"/>
        <w:gridCol w:w="143"/>
        <w:gridCol w:w="143"/>
        <w:gridCol w:w="143"/>
        <w:gridCol w:w="278"/>
        <w:gridCol w:w="952"/>
        <w:gridCol w:w="143"/>
        <w:gridCol w:w="109"/>
        <w:gridCol w:w="109"/>
        <w:gridCol w:w="109"/>
        <w:gridCol w:w="308"/>
        <w:gridCol w:w="308"/>
        <w:gridCol w:w="281"/>
        <w:gridCol w:w="109"/>
        <w:gridCol w:w="109"/>
        <w:gridCol w:w="109"/>
        <w:gridCol w:w="199"/>
        <w:gridCol w:w="199"/>
        <w:gridCol w:w="57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primarily consists of direct costs relating to labor, material and overhead directly tied to product manufacturing, engineering, procurement and construction (“EPC”), project delivery, commissioning and start-up test procedures. Indirect costs included in cost of goods sold are manufacturing overhead such as manufacturing engineering, equipment maintenance, environmental health and safety, quality and production control procurement, transportation, logistics, depreciation and facility-related costs. As a nascent technology with a new manufacturing process that is early in its product lifecycle, the Company still faces significant costs associated with production start-up, commissioning of various components, modules and subsystems and other related costs. The Company expects its cost of goods sold to exceed revenues in the near term as it continues to scale production and prepares battery energy storage systems delivered to customers to go-live.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increased by $1.3 million, or 5% from $26.9 million for the three months ended March 31, 2023 to $28.2 million for the three months ended March 31, 2024. The increase was primarily due to higher volume of cubes produced and shipped during the three months ended March 31, 2024 compared to the three months ended March 31, 2023.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tbl>
      <w:tblPr>
        <w:tblW w:w="7072" w:type="dxa"/>
        <w:jc w:val="left"/>
        <w:tblInd w:w="0" w:type="dxa"/>
        <w:tblLayout w:type="fixed"/>
        <w:tblCellMar>
          <w:top w:w="28" w:type="dxa"/>
          <w:left w:w="28" w:type="dxa"/>
          <w:bottom w:w="28" w:type="dxa"/>
          <w:right w:w="28" w:type="dxa"/>
        </w:tblCellMar>
      </w:tblPr>
      <w:tblGrid>
        <w:gridCol w:w="515"/>
        <w:gridCol w:w="453"/>
        <w:gridCol w:w="456"/>
        <w:gridCol w:w="305"/>
        <w:gridCol w:w="891"/>
        <w:gridCol w:w="157"/>
        <w:gridCol w:w="157"/>
        <w:gridCol w:w="157"/>
        <w:gridCol w:w="157"/>
        <w:gridCol w:w="305"/>
        <w:gridCol w:w="891"/>
        <w:gridCol w:w="157"/>
        <w:gridCol w:w="109"/>
        <w:gridCol w:w="109"/>
        <w:gridCol w:w="109"/>
        <w:gridCol w:w="280"/>
        <w:gridCol w:w="280"/>
        <w:gridCol w:w="281"/>
        <w:gridCol w:w="109"/>
        <w:gridCol w:w="109"/>
        <w:gridCol w:w="109"/>
        <w:gridCol w:w="199"/>
        <w:gridCol w:w="199"/>
        <w:gridCol w:w="578"/>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salaries and other personnel-related costs, materials, third-party services, depreciation and amortization of intangible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decreased by $0.2 million or 4% from $5.4 million for the three months ended March 31, 2023 to $5.2 million for the three months ended March 31, 2024. The decrease was driven by lower spending on materials and supplies, partially offset by an increase in payroll and personnel costs and stock compensation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tbl>
      <w:tblPr>
        <w:tblW w:w="7070" w:type="dxa"/>
        <w:jc w:val="left"/>
        <w:tblInd w:w="0" w:type="dxa"/>
        <w:tblLayout w:type="fixed"/>
        <w:tblCellMar>
          <w:top w:w="28" w:type="dxa"/>
          <w:left w:w="28" w:type="dxa"/>
          <w:bottom w:w="28" w:type="dxa"/>
          <w:right w:w="28" w:type="dxa"/>
        </w:tblCellMar>
      </w:tblPr>
      <w:tblGrid>
        <w:gridCol w:w="515"/>
        <w:gridCol w:w="453"/>
        <w:gridCol w:w="456"/>
        <w:gridCol w:w="278"/>
        <w:gridCol w:w="952"/>
        <w:gridCol w:w="143"/>
        <w:gridCol w:w="143"/>
        <w:gridCol w:w="143"/>
        <w:gridCol w:w="143"/>
        <w:gridCol w:w="278"/>
        <w:gridCol w:w="952"/>
        <w:gridCol w:w="143"/>
        <w:gridCol w:w="109"/>
        <w:gridCol w:w="109"/>
        <w:gridCol w:w="109"/>
        <w:gridCol w:w="280"/>
        <w:gridCol w:w="280"/>
        <w:gridCol w:w="281"/>
        <w:gridCol w:w="109"/>
        <w:gridCol w:w="109"/>
        <w:gridCol w:w="109"/>
        <w:gridCol w:w="199"/>
        <w:gridCol w:w="199"/>
        <w:gridCol w:w="578"/>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primarily consist of payroll and personnel-related, outside professional services, facilities, depreciation, travel, marketing and public company costs.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by $0.3 million or 2% from $14.0 million for the three months ended March 31, 2023 to $14.2 million for the three months ended March 31, 2024. The slight increase was driven by increases in payroll, personnel costs and facility costs, partially offset by lower stock compensation costs.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from write-down of property, plant and equipment</w:t>
      </w:r>
    </w:p>
    <w:tbl>
      <w:tblPr>
        <w:tblW w:w="7814" w:type="dxa"/>
        <w:jc w:val="left"/>
        <w:tblInd w:w="0" w:type="dxa"/>
        <w:tblLayout w:type="fixed"/>
        <w:tblCellMar>
          <w:top w:w="28" w:type="dxa"/>
          <w:left w:w="28" w:type="dxa"/>
          <w:bottom w:w="28" w:type="dxa"/>
          <w:right w:w="28" w:type="dxa"/>
        </w:tblCellMar>
      </w:tblPr>
      <w:tblGrid>
        <w:gridCol w:w="1660"/>
        <w:gridCol w:w="1460"/>
        <w:gridCol w:w="1470"/>
        <w:gridCol w:w="370"/>
        <w:gridCol w:w="633"/>
        <w:gridCol w:w="191"/>
        <w:gridCol w:w="191"/>
        <w:gridCol w:w="191"/>
        <w:gridCol w:w="191"/>
        <w:gridCol w:w="370"/>
        <w:gridCol w:w="817"/>
        <w:gridCol w:w="270"/>
      </w:tblGrid>
      <w:tr>
        <w:trPr/>
        <w:tc>
          <w:tcPr>
            <w:tcW w:w="16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write-down of property, plant and equipment</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a loss of $0.1 million and $0.8 million from write-down of property, plant and equipment for the three months ended March 31, 2024 and 2023, respectively, due to write-offs for disposal of equipment and tooling that was used to manufacture the Gen 2.3 BESS, but cannot be repurposed for the next generation Eos Z3 battery.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net </w:t>
      </w:r>
    </w:p>
    <w:tbl>
      <w:tblPr>
        <w:tblW w:w="4991" w:type="dxa"/>
        <w:jc w:val="left"/>
        <w:tblInd w:w="0" w:type="dxa"/>
        <w:tblLayout w:type="fixed"/>
        <w:tblCellMar>
          <w:top w:w="28" w:type="dxa"/>
          <w:left w:w="28" w:type="dxa"/>
          <w:bottom w:w="28" w:type="dxa"/>
          <w:right w:w="28" w:type="dxa"/>
        </w:tblCellMar>
      </w:tblPr>
      <w:tblGrid>
        <w:gridCol w:w="640"/>
        <w:gridCol w:w="563"/>
        <w:gridCol w:w="567"/>
        <w:gridCol w:w="284"/>
        <w:gridCol w:w="931"/>
        <w:gridCol w:w="146"/>
        <w:gridCol w:w="146"/>
        <w:gridCol w:w="146"/>
        <w:gridCol w:w="146"/>
        <w:gridCol w:w="284"/>
        <w:gridCol w:w="931"/>
        <w:gridCol w:w="207"/>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20"/>
        </w:rPr>
        <w:t xml:space="preserve">Interest expense, net includes expenses for accrued interest, amortization of debt issuance costs and debt discounts, partially offset by capitalized interest costs on CIP assets (see Note 6, </w:t>
      </w:r>
      <w:r>
        <w:rPr>
          <w:rFonts w:ascii="Times New Roman;sans-serif" w:hAnsi="Times New Roman;sans-serif"/>
          <w:b w:val="false"/>
          <w:i/>
          <w:color w:val="000000"/>
          <w:sz w:val="20"/>
        </w:rPr>
        <w:t>Property, Plant and Equipment</w:t>
      </w:r>
      <w:r>
        <w:rPr>
          <w:color w:val="000000"/>
        </w:rPr>
        <w:t xml:space="preserve"> </w:t>
      </w:r>
      <w:r>
        <w:rPr>
          <w:rFonts w:ascii="Times New Roman;sans-serif" w:hAnsi="Times New Roman;sans-serif"/>
          <w:b w:val="false"/>
          <w:color w:val="000000"/>
          <w:sz w:val="20"/>
        </w:rPr>
        <w:t xml:space="preserve">for further discussion). Interest expense, net decreased slightly by $0.6 million for the three months ended March 31, 2024, primarily due to the capitalized interest on CIP assets recognized in 2024, offset by increased interest expense recognized from the Senior Secured Term Loan.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 related party</w:t>
      </w:r>
    </w:p>
    <w:tbl>
      <w:tblPr>
        <w:tblW w:w="7975" w:type="dxa"/>
        <w:jc w:val="left"/>
        <w:tblInd w:w="0" w:type="dxa"/>
        <w:tblLayout w:type="fixed"/>
        <w:tblCellMar>
          <w:top w:w="28" w:type="dxa"/>
          <w:left w:w="28" w:type="dxa"/>
          <w:bottom w:w="28" w:type="dxa"/>
          <w:right w:w="28" w:type="dxa"/>
        </w:tblCellMar>
      </w:tblPr>
      <w:tblGrid>
        <w:gridCol w:w="1720"/>
        <w:gridCol w:w="1512"/>
        <w:gridCol w:w="1522"/>
        <w:gridCol w:w="272"/>
        <w:gridCol w:w="892"/>
        <w:gridCol w:w="140"/>
        <w:gridCol w:w="140"/>
        <w:gridCol w:w="140"/>
        <w:gridCol w:w="140"/>
        <w:gridCol w:w="272"/>
        <w:gridCol w:w="1027"/>
        <w:gridCol w:w="198"/>
      </w:tblGrid>
      <w:tr>
        <w:trPr/>
        <w:tc>
          <w:tcPr>
            <w:tcW w:w="172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2021 Convertible Note Payable interest and amortization</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AFG Convertible Note interest and amortization</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AFG Convertible Note Day 1 loss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Yorkville Promissory Notes Day 1 losses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Interest expense, related party</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(13,755)</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20"/>
        </w:rPr>
        <w:t xml:space="preserve">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to our Unaudited Condensed Consolidated Financial Statements included elsewhere in this Quarterly Report for further discussion.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warrants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warrants is composed of the following:</w:t>
      </w:r>
    </w:p>
    <w:tbl>
      <w:tblPr>
        <w:tblW w:w="6223" w:type="dxa"/>
        <w:jc w:val="left"/>
        <w:tblInd w:w="0" w:type="dxa"/>
        <w:tblLayout w:type="fixed"/>
        <w:tblCellMar>
          <w:top w:w="28" w:type="dxa"/>
          <w:left w:w="28" w:type="dxa"/>
          <w:bottom w:w="28" w:type="dxa"/>
          <w:right w:w="28" w:type="dxa"/>
        </w:tblCellMar>
      </w:tblPr>
      <w:tblGrid>
        <w:gridCol w:w="1085"/>
        <w:gridCol w:w="953"/>
        <w:gridCol w:w="962"/>
        <w:gridCol w:w="313"/>
        <w:gridCol w:w="916"/>
        <w:gridCol w:w="162"/>
        <w:gridCol w:w="162"/>
        <w:gridCol w:w="162"/>
        <w:gridCol w:w="162"/>
        <w:gridCol w:w="313"/>
        <w:gridCol w:w="804"/>
        <w:gridCol w:w="229"/>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IPO warrants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2023 warrants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2023 warrants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2023 warrants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Change in fair value of warrants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derivatives - related parties</w:t>
      </w:r>
    </w:p>
    <w:tbl>
      <w:tblPr>
        <w:tblW w:w="7437" w:type="dxa"/>
        <w:jc w:val="left"/>
        <w:tblInd w:w="0" w:type="dxa"/>
        <w:tblLayout w:type="fixed"/>
        <w:tblCellMar>
          <w:top w:w="28" w:type="dxa"/>
          <w:left w:w="28" w:type="dxa"/>
          <w:bottom w:w="28" w:type="dxa"/>
          <w:right w:w="28" w:type="dxa"/>
        </w:tblCellMar>
      </w:tblPr>
      <w:tblGrid>
        <w:gridCol w:w="1524"/>
        <w:gridCol w:w="1341"/>
        <w:gridCol w:w="1350"/>
        <w:gridCol w:w="299"/>
        <w:gridCol w:w="661"/>
        <w:gridCol w:w="154"/>
        <w:gridCol w:w="154"/>
        <w:gridCol w:w="154"/>
        <w:gridCol w:w="154"/>
        <w:gridCol w:w="299"/>
        <w:gridCol w:w="1129"/>
        <w:gridCol w:w="218"/>
      </w:tblGrid>
      <w:tr>
        <w:trPr/>
        <w:tc>
          <w:tcPr>
            <w:tcW w:w="15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 related parties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(12,934)</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20"/>
        </w:rPr>
        <w:t>The change in the fair value of derivatives - related parties, is due to changes in fair value of the embedded derivatives in our convertible debt (See Note 12</w:t>
      </w:r>
      <w:r>
        <w:rPr>
          <w:rFonts w:ascii="Times New Roman;sans-serif" w:hAnsi="Times New Roman;sans-serif"/>
          <w:b w:val="false"/>
          <w:i/>
          <w:color w:val="000000"/>
          <w:sz w:val="20"/>
        </w:rPr>
        <w:t>, Borrowings</w:t>
      </w:r>
      <w:r>
        <w:rPr>
          <w:rFonts w:ascii="Times New Roman;sans-serif" w:hAnsi="Times New Roman;sans-serif"/>
          <w:b w:val="false"/>
          <w:color w:val="000000"/>
          <w:sz w:val="20"/>
        </w:rPr>
        <w:t>) for the three months ended March 31, 2024, compared to the three months ended March 31, 2023. The change was largely a result of the change in the Company's stock price.</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debt extinguishment</w:t>
      </w:r>
    </w:p>
    <w:tbl>
      <w:tblPr>
        <w:tblW w:w="5694" w:type="dxa"/>
        <w:jc w:val="left"/>
        <w:tblInd w:w="0" w:type="dxa"/>
        <w:tblLayout w:type="fixed"/>
        <w:tblCellMar>
          <w:top w:w="28" w:type="dxa"/>
          <w:left w:w="28" w:type="dxa"/>
          <w:bottom w:w="28" w:type="dxa"/>
          <w:right w:w="28" w:type="dxa"/>
        </w:tblCellMar>
      </w:tblPr>
      <w:tblGrid>
        <w:gridCol w:w="895"/>
        <w:gridCol w:w="787"/>
        <w:gridCol w:w="792"/>
        <w:gridCol w:w="322"/>
        <w:gridCol w:w="621"/>
        <w:gridCol w:w="166"/>
        <w:gridCol w:w="166"/>
        <w:gridCol w:w="166"/>
        <w:gridCol w:w="166"/>
        <w:gridCol w:w="322"/>
        <w:gridCol w:w="1056"/>
        <w:gridCol w:w="235"/>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a loss on debt extinguishment of $1.6 million for the three months ended March 31, 2023 from the issuance of common stock upon Yorkville's redemption of their Convertible Promissory Notes.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tbl>
      <w:tblPr>
        <w:tblW w:w="5260" w:type="dxa"/>
        <w:jc w:val="left"/>
        <w:tblInd w:w="0" w:type="dxa"/>
        <w:tblLayout w:type="fixed"/>
        <w:tblCellMar>
          <w:top w:w="28" w:type="dxa"/>
          <w:left w:w="28" w:type="dxa"/>
          <w:bottom w:w="28" w:type="dxa"/>
          <w:right w:w="28" w:type="dxa"/>
        </w:tblCellMar>
      </w:tblPr>
      <w:tblGrid>
        <w:gridCol w:w="738"/>
        <w:gridCol w:w="649"/>
        <w:gridCol w:w="653"/>
        <w:gridCol w:w="355"/>
        <w:gridCol w:w="785"/>
        <w:gridCol w:w="183"/>
        <w:gridCol w:w="183"/>
        <w:gridCol w:w="183"/>
        <w:gridCol w:w="183"/>
        <w:gridCol w:w="355"/>
        <w:gridCol w:w="734"/>
        <w:gridCol w:w="259"/>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slightly increased by $0.2 million for the three months ended March 31, 2024, compared to the three months ended March 31, 2023. </w:t>
      </w:r>
    </w:p>
    <w:tbl>
      <w:tblPr>
        <w:tblW w:w="4945" w:type="dxa"/>
        <w:jc w:val="left"/>
        <w:tblInd w:w="0" w:type="dxa"/>
        <w:tblLayout w:type="fixed"/>
        <w:tblCellMar>
          <w:top w:w="28" w:type="dxa"/>
          <w:left w:w="28" w:type="dxa"/>
          <w:bottom w:w="28" w:type="dxa"/>
          <w:right w:w="28" w:type="dxa"/>
        </w:tblCellMar>
      </w:tblPr>
      <w:tblGrid>
        <w:gridCol w:w="624"/>
        <w:gridCol w:w="549"/>
        <w:gridCol w:w="552"/>
        <w:gridCol w:w="392"/>
        <w:gridCol w:w="671"/>
        <w:gridCol w:w="202"/>
        <w:gridCol w:w="202"/>
        <w:gridCol w:w="202"/>
        <w:gridCol w:w="202"/>
        <w:gridCol w:w="392"/>
        <w:gridCol w:w="671"/>
        <w:gridCol w:w="286"/>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income tax expense for the three months ended March 31, 2024 and 2023 in relation to the pre-tax income from the Company’s international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and Going Concern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execute its development strategy, the Company has historically relied on outside capital through the issuance of equity, debt and borrowings under financing arrangements (collectively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the accompanying Condensed Consolidated Financial Statements were issued (the “issuance date”), management evaluated the significance of the following negative financial conditions in accordance with Accounting Standard Codification 205-40, Going Concern: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Since its inception, the Company has incurred significant losses and negative cash from operations in order to fund its development. During the three months ended March 31, 2024, the Company incurred a net loss of $46.7 million, incurred negative cash flows from operations of $40.5 million and had an accumulated deficit of $922.6 million as of March 31, 2024.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As of March 31, 2024, the Company had $31.8 million of unrestricted cash and cash equivalents available to fund the Company’s operations</w:t>
      </w:r>
      <w:r>
        <w:rPr>
          <w:color w:val="000000"/>
        </w:rPr>
        <w:t xml:space="preserve"> </w:t>
      </w:r>
      <w:r>
        <w:rPr>
          <w:rFonts w:ascii="Times New Roman;sans-serif" w:hAnsi="Times New Roman;sans-serif"/>
          <w:b w:val="false"/>
          <w:color w:val="000000"/>
          <w:sz w:val="20"/>
        </w:rPr>
        <w:t xml:space="preserve">and working capital of $22.1 million, inclusive of $3.5 million of outstanding debt that is currently scheduled to mature within the next twelve months. Additionally, the Company has no additional borrowings available under pre-existing financing arrangements to fund its operations (see Note 12, </w:t>
      </w:r>
      <w:r>
        <w:rPr>
          <w:rFonts w:ascii="Times New Roman;sans-serif" w:hAnsi="Times New Roman;sans-serif"/>
          <w:b w:val="false"/>
          <w:i/>
          <w:color w:val="000000"/>
          <w:sz w:val="20"/>
        </w:rPr>
        <w:t>Borrowings</w:t>
      </w:r>
      <w:r>
        <w:rPr>
          <w:rFonts w:ascii="Times New Roman;sans-serif" w:hAnsi="Times New Roman;sans-serif"/>
          <w:b w:val="false"/>
          <w:color w:val="000000"/>
          <w:sz w:val="20"/>
        </w:rPr>
        <w:t>).</w:t>
      </w:r>
      <w:r>
        <w:rPr>
          <w:color w:val="000000"/>
        </w:rPr>
        <w:t xml:space="preserv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Company has available capacity under its ATM offering program to issue shares of the Company’s common stock, (see also Note 18, </w:t>
      </w:r>
      <w:r>
        <w:rPr>
          <w:rFonts w:ascii="Times New Roman;sans-serif" w:hAnsi="Times New Roman;sans-serif"/>
          <w:b w:val="false"/>
          <w:i/>
          <w:color w:val="000000"/>
          <w:sz w:val="20"/>
        </w:rPr>
        <w:t>Shareholders’ Deficit</w:t>
      </w:r>
      <w:r>
        <w:rPr>
          <w:rFonts w:ascii="Times New Roman;sans-serif" w:hAnsi="Times New Roman;sans-serif"/>
          <w:b w:val="false"/>
          <w:color w:val="000000"/>
          <w:sz w:val="20"/>
        </w:rPr>
        <w:t>) to aid in funding the Company’s operations. However, the Company’s ability to secure such funding is dependent upon certain conditions, such as investors’ willingness to purchase the Company’s common stock and at a price that is acceptable to the Company. Accordingly, as of the issuance date, there is no assurance the Company will be able to secure funding under these pre-existing arrangements or on terms that are acceptable to the Company.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Similarly, while the Company has historically been successful in raising additional outside capital to fund the Company’s operations, as of the issuance date no assurance can be provided the Company will be successful in obtaining additional outside capital or on terms that are acceptable to the Company. In this regard, the Company continues to progress through the Department of Energy (“DOE”) Loan Programs Office’s (“LPO”) process for its Title XVII loan. In August 2023, the DOE issued a conditional commitment letter to the Company for a loan of an aggregate principal amount of up to $398.6 million through the DOE’s Clean Energy Financing Program. Certain technical, legal and financial conditions must be met and due diligence to the satisfaction of the DOE must be completed before the DOE enters into definitive financing documents with the Company and funds the loan. There can be no assurance that the Company will be able to secure such a loan or on terms that are acceptable to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 is required to remain in compliance with a quarterly minimum financial liquidity covenant under its Senior Secured Term Loan Credit Agreement (“Senior Secured Term Loan”). While the Company was in compliance with this covenant as of March 31, 2024, the Company expects it may be unable to remain in compliance with this covenant beginning on June 30, 2024 and thereafter absent the Company’s ability to secure a waiver or raise additional outside capital. In the event the Company is unable to remain in compliance with the minimum financial liquidity covenant and the other nonfinancial covenants required by the Senior Secured Term Loan and the Company is further unable to cure such noncompliance or secure a waiver, Lender - Atlas Credit Partners (ACP) Post Oak Credit I LLC (“Atlas”)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Absent an ability to secure additional outside capital in the near term, the Company will be unable to meet its obligations as they become due over the next twelve months beyond the issuance date.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the event the Company’s ongoing efforts to raise additional outside capital prove unsuccessful,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Arrangements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relied on outside capital to fund its cost structure and expects this reliance to continue for the foreseeable future until the Company reaches profitability through its planned revenue generating activities. During the three months ended March 31, 2024, the Company closed on the following capital transactions:</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Under the ATM offering program, for the three months ended March 31, 2024, the Company sold 7,239,982 shares raising proceeds of $7.2 million, net of fees paid to Cowen, at an average selling price of $1.03 per share, included in the Condensed Consolidated Statement of Shareholders' Deficit.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60" w:after="283"/>
        <w:jc w:val="both"/>
        <w:rPr/>
      </w:pPr>
      <w:r>
        <w:rPr>
          <w:rFonts w:ascii="Times New Roman;sans-serif" w:hAnsi="Times New Roman;sans-serif"/>
          <w:b w:val="false"/>
          <w:color w:val="000000"/>
          <w:sz w:val="20"/>
        </w:rPr>
        <w:t>The Company expects capital expenditures and working capital requirements to increase as it executes its growth strategy. Total capital expenditures for the three months ended March 31, 2024 and March 31, 2023 were $4.0 million and $2.9 million, respectively. The increase in capital expenditures in 2024 was primarily driven by costs incurred for development and construction of a fully automated manufacturing line that will be used for the Z3</w:t>
      </w:r>
      <w:r>
        <w:rPr>
          <w:color w:val="000000"/>
        </w:rPr>
        <w:t xml:space="preserve">™ </w:t>
      </w:r>
      <w:r>
        <w:rPr>
          <w:rFonts w:ascii="Times New Roman;sans-serif" w:hAnsi="Times New Roman;sans-serif"/>
          <w:b w:val="false"/>
          <w:color w:val="000000"/>
          <w:sz w:val="20"/>
        </w:rPr>
        <w:t>battery in 2024 and years thereafter. These costs are classified as Construction in Progress (see Note 6,</w:t>
      </w:r>
      <w:r>
        <w:rPr>
          <w:color w:val="000000"/>
        </w:rPr>
        <w:t xml:space="preserve"> </w:t>
      </w:r>
      <w:r>
        <w:rPr>
          <w:rFonts w:ascii="Times New Roman;sans-serif" w:hAnsi="Times New Roman;sans-serif"/>
          <w:b w:val="false"/>
          <w:i/>
          <w:color w:val="000000"/>
          <w:sz w:val="20"/>
        </w:rPr>
        <w:t>Property, Plant and Equipment</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Discussion and Analysis of Cash Flows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relies heavily on private placement of convertible notes, term loans, equipment financing and issuance of common stock and warrants.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cash flows from operating, investing and financing activities for the periods presented.</w:t>
      </w:r>
    </w:p>
    <w:tbl>
      <w:tblPr>
        <w:tblW w:w="8249" w:type="dxa"/>
        <w:jc w:val="left"/>
        <w:tblInd w:w="0" w:type="dxa"/>
        <w:tblLayout w:type="fixed"/>
        <w:tblCellMar>
          <w:top w:w="28" w:type="dxa"/>
          <w:left w:w="28" w:type="dxa"/>
          <w:bottom w:w="28" w:type="dxa"/>
          <w:right w:w="28" w:type="dxa"/>
        </w:tblCellMar>
      </w:tblPr>
      <w:tblGrid>
        <w:gridCol w:w="1253"/>
        <w:gridCol w:w="1102"/>
        <w:gridCol w:w="1110"/>
        <w:gridCol w:w="272"/>
        <w:gridCol w:w="1026"/>
        <w:gridCol w:w="140"/>
        <w:gridCol w:w="140"/>
        <w:gridCol w:w="140"/>
        <w:gridCol w:w="140"/>
        <w:gridCol w:w="272"/>
        <w:gridCol w:w="1026"/>
        <w:gridCol w:w="140"/>
        <w:gridCol w:w="109"/>
        <w:gridCol w:w="109"/>
        <w:gridCol w:w="109"/>
        <w:gridCol w:w="211"/>
        <w:gridCol w:w="79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6" w:type="dxa"/>
            <w:gridSpan w:val="9"/>
            <w:tcBorders/>
            <w:tcMar>
              <w:top w:w="0" w:type="dxa"/>
              <w:left w:w="0" w:type="dxa"/>
              <w:bottom w:w="0" w:type="dxa"/>
              <w:right w:w="0" w:type="dxa"/>
            </w:tcMar>
            <w:vAlign w:val="center"/>
          </w:tcPr>
          <w:p>
            <w:pPr>
              <w:pStyle w:val="TableContents"/>
              <w:bidi w:val="0"/>
              <w:spacing w:lineRule="auto" w:line="240" w:before="200" w:after="283"/>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used in operating activities primarily comprise of costs related to research and development, manufacturing of products, project commissioning and other general and administrative activities.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$40.5 million for the three months ended March 31, 2024 was primarily driven by a net loss of $46.7 million, adjusted for non-cash items of $3.5 million, primarily related to stock compensation expense, depreciation and amortization, non-cash interest expense and changes in fair value of warrants and derivatives. The net cash inflows from changes in operating assets and liabilities was $2.7 million, primarily driven by increase in accrued expenses of $6.2 million, increase in interest payable of $2.9 million, decrease in inventory of $2.7 million, partially offset by increase in contract assets of $4.6 million, decrease in accounts payable of $2.6 million and increase in grant receivable of $1.5 million.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$30.5 million for the three months ended March 31, 2023, primarily driven by a net loss of $71.6 million, adjusted for non-cash items of $34.0 million, primarily related to stock compensation expense, depreciation and amortization, non-cash interest expense, changes in fair value of warrants and derivatives and loss from the write-down of property, plant and equipment. The net cash inflows from changes in operating assets and liabilities was $7.1 million, primarily driven by a decrease in inventory of $9.2 million, increase in accounts payable and accrued expenses of $4.8 million and increase in interest payable of $2.4 million, offset by decrease in contract liabilities of $3.5 million, increase in accounts receivable of $2.0 million and increase in contract assets of $1.9 million.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for the three months ended March 31, 2024 were composed of payments made for purchases of property, plant and equipment of $4.0 million.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for the three months ended March 31, 2023 were primarily composed of payments made for purchases of property, plant and equipment of $2.9 million.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$6.1 million for the three months ended March 31, 2024, primarily due to the issuance of common stock of $7.2 million. The proceeds were partially offset by payments on the equipment financing facility of $0.8 million and share repurchases from employees for tax withholding purposes of $0.3 million.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$32.5 million for the three months ended March 31, 2023, primarily due to the net proceeds received from the Yorkville Convertible Promissory Notes and AFG Convertible Notes of $33.4 million and the issuance of common stock of $1.3 million. The proceeds were partially offset by debt issuance costs related to the Yorkville Convertible Promissory Notes and AFG Convertible Notes of $1.1 million, payments on the equipment financing facility of $0.7 million and share repurchases from employees for tax withholding purposes of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certain obligations and commitments to make future payments under contracts. As of March 31, 2024, this is composed of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Future lease payments, including interest, under non-cancellable operating and financing leases of $5.6 million. The leases expire at various dates prior to 2028. See Note 15,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Unaudited Condensed Consolidated Financial Statements included elsewhere in this Quarterly Report.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Principal and Interest payments related to the following debt obligations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to our Unaudited Condensed Consolidated Financial Statements included elsewhere in this Quarterly Report):</w:t>
      </w:r>
    </w:p>
    <w:tbl>
      <w:tblPr>
        <w:tblW w:w="7019" w:type="dxa"/>
        <w:jc w:val="left"/>
        <w:tblInd w:w="0" w:type="dxa"/>
        <w:tblLayout w:type="fixed"/>
        <w:tblCellMar>
          <w:top w:w="28" w:type="dxa"/>
          <w:left w:w="28" w:type="dxa"/>
          <w:bottom w:w="28" w:type="dxa"/>
          <w:right w:w="28" w:type="dxa"/>
        </w:tblCellMar>
      </w:tblPr>
      <w:tblGrid>
        <w:gridCol w:w="1854"/>
        <w:gridCol w:w="1631"/>
        <w:gridCol w:w="1644"/>
        <w:gridCol w:w="335"/>
        <w:gridCol w:w="1311"/>
        <w:gridCol w:w="244"/>
      </w:tblGrid>
      <w:tr>
        <w:trPr/>
        <w:tc>
          <w:tcPr>
            <w:tcW w:w="185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Future Debt Payments</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2021 Convertible Note Payable - due June 2026 </w:t>
            </w:r>
            <w:r>
              <w:rPr>
                <w:rFonts w:ascii="Times New Roman;sans-serif" w:hAnsi="Times New Roman;sans-serif"/>
                <w:b w:val="false"/>
                <w:color w:val="000000"/>
                <w:sz w:val="13"/>
              </w:rPr>
              <w:t>(1)</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pPr>
            <w:r>
              <w:rPr>
                <w:rFonts w:ascii="Times New Roman;sans-serif" w:hAnsi="Times New Roman;sans-serif"/>
                <w:b w:val="false"/>
                <w:color w:val="000000"/>
                <w:sz w:val="20"/>
              </w:rPr>
              <w:t xml:space="preserve">AFG Convertible Notes - due June 2026 </w:t>
            </w:r>
            <w:r>
              <w:rPr>
                <w:rFonts w:ascii="Times New Roman;sans-serif" w:hAnsi="Times New Roman;sans-serif"/>
                <w:b w:val="false"/>
                <w:color w:val="000000"/>
                <w:sz w:val="13"/>
              </w:rPr>
              <w:t>(1)</w:t>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32,468 </w:t>
            </w:r>
          </w:p>
        </w:tc>
        <w:tc>
          <w:tcPr>
            <w:tcW w:w="244"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 due March 2026</w:t>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 - due April 2025 and April 2026</w:t>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300,612 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As of March 31, 2024, the Company is obligated to repay future contractual interest payments for the 2021 Convertible Note and AFG Convertible Notes in-kind.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Unaudited Condensed Consolidated Financial Statements are prepared in conformity with U.S. generally accepted accounting principles (U.S. GAAP). In preparing the Company’s Unaudited Condensed Consolidated Financial Statements, management makes assumptions, judgments and estimates on historical experience and various other factors that management believes to be reasonable under the circumstances. Actual results could differ materially from these estimates under different assumptions or conditions. Management regularly reevaluates assumptions, judgments and estimates. The Company’s significant accounting policies are described in the Company’s Annual Report on Form 10-K for the year ended December 31,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critical accounting estimates for the three months ended March 31, 2024, as compared to those discussed in its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Company’s market risk exposures for the three months ended March 31, 2024, as compared to those discussed in its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under the supervision of the Chief Executive Officer (CEO) and the Chief Financial Officer (CFO), evaluated the effectiveness of the design and operation of the Company’s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the Company’s disclosure controls and procedures were not effective as of March 31, 2024 because of material weaknesses resulting from lack of a formalized internal control framework in accordance with the Committee of Sponsoring Organizations (COSO) Framework, inadequate segregation of duties in the financial reporting process, lack of review and approval of journal entries and a lack of management review controls.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the Company’s reports filed under the Exchange Act is accumulated and communicated to management, including its CEO and its CFO, to allow timely decisions regarding required disclosure.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material weaknesses, management performed additional analyses, reconciliations and other post-closing procedures to determine that the Company’s Unaudited Condensed Consolidated Financial Statements are prepared in accordance with U.S. GAAP. Based on this review, management concluded that the Unaudited Condensed Consolidated Financial Statements included in this report fairly present in all material respects the Company’s financial condition, results of operations and cash flows for the periods presented.</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Management’s Remediation Plan</w:t>
      </w:r>
    </w:p>
    <w:p>
      <w:pPr>
        <w:pStyle w:val="TextBody"/>
        <w:bidi w:val="0"/>
        <w:spacing w:lineRule="auto" w:line="288" w:before="120" w:after="283"/>
        <w:jc w:val="both"/>
        <w:rPr/>
      </w:pPr>
      <w:r>
        <w:rPr>
          <w:rFonts w:ascii="Times New Roman;sans-serif" w:hAnsi="Times New Roman;sans-serif"/>
          <w:b w:val="false"/>
          <w:color w:val="000000"/>
          <w:sz w:val="20"/>
        </w:rPr>
        <w:t>In response to the material weaknesses, management, with oversight from the Audit Committee has identified and begun to implement steps to remediate the material weaknesses. These remediation efforts are detailed in Item 9A,</w:t>
      </w:r>
      <w:r>
        <w:rPr>
          <w:color w:val="000000"/>
        </w:rPr>
        <w:t>“</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in the Company’s Annual Report on Form 10-K for the year ended December 31, 2023.</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actions taken as described in Management's Remediation Plan above to improve the Company’s internal control over financial reporting, there have been no changes in our internal control over financial reporting during the quarter ended March 31, 2024 that materially affected, or which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4"/>
        </w:rPr>
      </w:pPr>
      <w:r>
        <w:rPr>
          <w:rFonts w:ascii="Times New Roman;sans-serif" w:hAnsi="Times New Roman;sans-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pStyle w:val="TextBody"/>
        <w:bidi w:val="0"/>
        <w:spacing w:lineRule="auto" w:line="288" w:before="160" w:after="283"/>
        <w:jc w:val="both"/>
        <w:rPr/>
      </w:pPr>
      <w:r>
        <w:rPr>
          <w:rFonts w:ascii="Times New Roman;sans-serif" w:hAnsi="Times New Roman;sans-serif"/>
          <w:b w:val="false"/>
          <w:color w:val="000000"/>
          <w:sz w:val="20"/>
        </w:rPr>
        <w:t xml:space="preserve">The following is also disclosed in Note 15,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Unaudited Condensed Consolidated Financial Statements:</w:t>
      </w:r>
    </w:p>
    <w:p>
      <w:pPr>
        <w:pStyle w:val="TextBody"/>
        <w:bidi w:val="0"/>
        <w:spacing w:lineRule="auto" w:line="28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Class Action Complaints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2023, a class action lawsuit was filed in the Court of Chancery of the State of Delaware by plaintiff Richard Delman against certain defendants including the Company’s former directors (the “Delman Defendants”). Neither the Company nor Eos Energy Storage LLC were named as a defendant but each was identified in the Complaint as a relevant non-party and the Company has indemnification obligations relating to the lawsuit. On February 1, 2024, the parties agreed to a binding Settlement Term Sheet (the “Settlement”) whereby plaintiff agreed to resolve the lawsuit in exchange for a settlement payment of $8,500, consisting of cash payments previously made by the Company of approximately $1,000 and an additional cash payment of approximately $7,500 funded by the Company’s Directors and Officers (“D&amp;O”) liability insurance policies. The definitive settlement agreement is currently being negotiated between the parties. Once finalized, the settlement agreement will be submitted to the Court of Chancery for final approval.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2023, a class action lawsuit was filed in the United States District Court of New Jersey by plaintiff William Houck against the Company, the Company’s Chief Executive Officer, its former Chief Financial Officer and its current Chief Financial Officer (with the Company, the “Houck Defendants”). The Complaint alleges that the defendants violated federal securities laws by making knowingly false or misleading statements about the Company’s contractual relationship with a customer and about the size of the Company’s order backlog and commercial pipeline. Defendants deny the allegations and, on February 13, 2024, moved to dismiss the Complaint. On March 5, 2024, plaintiff filed an amended complaint that dropped the Company’s former Chief Financial Officer as a defendant. On April 4, 2024, defendants filed a renewed motion to dismiss the lawsuit. The Company intends to continue to vigorously defend against this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on Form 10-Q, there have been no additional material changes to the risk factors disclosed in our annual report on Form 10-K for the fiscal year ended December 31, 2023. We may disclose changes to such risk factors or disclose additional risk factors from time to time in our future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338"/>
        <w:gridCol w:w="297"/>
        <w:gridCol w:w="298"/>
        <w:gridCol w:w="109"/>
        <w:gridCol w:w="109"/>
        <w:gridCol w:w="109"/>
        <w:gridCol w:w="1404"/>
        <w:gridCol w:w="1159"/>
        <w:gridCol w:w="1162"/>
        <w:gridCol w:w="109"/>
        <w:gridCol w:w="109"/>
        <w:gridCol w:w="109"/>
        <w:gridCol w:w="334"/>
        <w:gridCol w:w="334"/>
        <w:gridCol w:w="335"/>
        <w:gridCol w:w="109"/>
        <w:gridCol w:w="109"/>
        <w:gridCol w:w="109"/>
        <w:gridCol w:w="319"/>
        <w:gridCol w:w="319"/>
        <w:gridCol w:w="320"/>
        <w:gridCol w:w="109"/>
        <w:gridCol w:w="109"/>
        <w:gridCol w:w="109"/>
        <w:gridCol w:w="270"/>
        <w:gridCol w:w="270"/>
        <w:gridCol w:w="271"/>
        <w:gridCol w:w="109"/>
        <w:gridCol w:w="109"/>
        <w:gridCol w:w="109"/>
        <w:gridCol w:w="453"/>
        <w:gridCol w:w="319"/>
        <w:gridCol w:w="368"/>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2023</w:t>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econdcertificateofamend.htm">
              <w:r>
                <w:rPr>
                  <w:rStyle w:val="InternetLink"/>
                  <w:rFonts w:ascii="Times New Roman;sans-serif" w:hAnsi="Times New Roman;sans-serif"/>
                  <w:b w:val="false"/>
                  <w:color w:val="0000FF"/>
                  <w:sz w:val="20"/>
                  <w:u w:val="single"/>
                </w:rPr>
                <w:t>Certificate of Amendment to the 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Bylaws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19, 2022</w:t>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Eos Energy Enterprises, Inc.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 2020</w:t>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Manufacturing Purchase and Supply Agreement dated January 8, 2024, by and between HI-POWER, LLC and TETRA Technologies,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9, 2024</w:t>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Pricing Agreement dated January 31, 2024, by and between HI-POWER, LLC and SHP US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2024</w:t>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80"/>
                  <w:sz w:val="20"/>
                  <w:u w:val="single"/>
                </w:rPr>
                <w:t>F</w:t>
              </w:r>
            </w:hyperlink>
            <w:hyperlink r:id="rId8">
              <w:r>
                <w:rPr>
                  <w:rStyle w:val="InternetLink"/>
                  <w:rFonts w:ascii="Times New Roman;sans-serif" w:hAnsi="Times New Roman;sans-serif"/>
                  <w:b w:val="false"/>
                  <w:color w:val="000080"/>
                  <w:sz w:val="20"/>
                  <w:u w:val="single"/>
                </w:rPr>
                <w:t>irst Amendment to the Amended and R</w:t>
              </w:r>
            </w:hyperlink>
            <w:hyperlink r:id="rId9">
              <w:r>
                <w:rPr>
                  <w:rStyle w:val="InternetLink"/>
                  <w:rFonts w:ascii="Times New Roman;sans-serif" w:hAnsi="Times New Roman;sans-serif"/>
                  <w:b w:val="false"/>
                  <w:color w:val="000080"/>
                  <w:sz w:val="20"/>
                  <w:u w:val="single"/>
                </w:rPr>
                <w:t>e</w:t>
              </w:r>
            </w:hyperlink>
            <w:hyperlink r:id="rId10">
              <w:r>
                <w:rPr>
                  <w:rStyle w:val="InternetLink"/>
                  <w:rFonts w:ascii="Times New Roman;sans-serif" w:hAnsi="Times New Roman;sans-serif"/>
                  <w:b w:val="false"/>
                  <w:color w:val="000080"/>
                  <w:sz w:val="20"/>
                  <w:u w:val="single"/>
                </w:rPr>
                <w:t>stated 2020 Inc</w:t>
              </w:r>
            </w:hyperlink>
            <w:hyperlink r:id="rId11">
              <w:r>
                <w:rPr>
                  <w:rStyle w:val="InternetLink"/>
                  <w:rFonts w:ascii="Times New Roman;sans-serif" w:hAnsi="Times New Roman;sans-serif"/>
                  <w:b w:val="false"/>
                  <w:color w:val="000080"/>
                  <w:sz w:val="20"/>
                  <w:u w:val="single"/>
                </w:rPr>
                <w:t>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17, 2022</w:t>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80"/>
                  <w:sz w:val="20"/>
                  <w:u w:val="single"/>
                </w:rPr>
                <w:t>Second</w:t>
              </w:r>
            </w:hyperlink>
            <w:hyperlink r:id="rId13">
              <w:r>
                <w:rPr>
                  <w:rStyle w:val="InternetLink"/>
                  <w:rFonts w:ascii="Times New Roman;sans-serif" w:hAnsi="Times New Roman;sans-serif"/>
                  <w:b w:val="false"/>
                  <w:color w:val="000080"/>
                  <w:sz w:val="20"/>
                  <w:u w:val="single"/>
                </w:rPr>
                <w:t xml:space="preserve"> Amendment to the Amended and Restated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S-8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23, 2023</w:t>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hirdamendmenttoamendeda.htm">
              <w:r>
                <w:rPr>
                  <w:rStyle w:val="InternetLink"/>
                  <w:rFonts w:ascii="Times New Roman;sans-serif" w:hAnsi="Times New Roman;sans-serif"/>
                  <w:b w:val="false"/>
                  <w:color w:val="000080"/>
                  <w:sz w:val="20"/>
                  <w:u w:val="single"/>
                </w:rPr>
                <w:t>Third</w:t>
              </w:r>
            </w:hyperlink>
            <w:hyperlink w:anchor="thirdamendmenttoamendeda.htm">
              <w:r>
                <w:rPr>
                  <w:rStyle w:val="InternetLink"/>
                  <w:rFonts w:ascii="Times New Roman;sans-serif" w:hAnsi="Times New Roman;sans-serif"/>
                  <w:b w:val="false"/>
                  <w:color w:val="000080"/>
                  <w:sz w:val="20"/>
                  <w:u w:val="single"/>
                </w:rPr>
                <w:t xml:space="preserve"> Amendment to the Amended and Restated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051424.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051424.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051424.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96"/>
        <w:gridCol w:w="347"/>
        <w:gridCol w:w="348"/>
        <w:gridCol w:w="109"/>
        <w:gridCol w:w="109"/>
        <w:gridCol w:w="109"/>
        <w:gridCol w:w="1258"/>
        <w:gridCol w:w="1241"/>
        <w:gridCol w:w="1245"/>
        <w:gridCol w:w="109"/>
        <w:gridCol w:w="109"/>
        <w:gridCol w:w="109"/>
        <w:gridCol w:w="371"/>
        <w:gridCol w:w="371"/>
        <w:gridCol w:w="372"/>
        <w:gridCol w:w="110"/>
        <w:gridCol w:w="110"/>
        <w:gridCol w:w="110"/>
        <w:gridCol w:w="316"/>
        <w:gridCol w:w="316"/>
        <w:gridCol w:w="318"/>
        <w:gridCol w:w="110"/>
        <w:gridCol w:w="110"/>
        <w:gridCol w:w="110"/>
        <w:gridCol w:w="270"/>
        <w:gridCol w:w="270"/>
        <w:gridCol w:w="271"/>
        <w:gridCol w:w="110"/>
        <w:gridCol w:w="110"/>
        <w:gridCol w:w="110"/>
        <w:gridCol w:w="246"/>
        <w:gridCol w:w="246"/>
        <w:gridCol w:w="359"/>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XBRL Taxonomy Extension Presentation Linkbase Document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18"/>
        </w:rPr>
        <w:t>Certain of the exhibits and schedules to this exhibit have been omitted in accordance with Regulation S-K Item 601(a)(5) and certain confidential portions of this exhibit have been redacted pursuant to Item 601(b)(10)(iv) of Regulation S-K. These redacted terms have been marked in this exhibit at the appropriate place with three asterisks. The Registrant agrees to furnish an unredacted copy and a copy of all omitted exhibits and schedules to the SEC upon its request.</w:t>
      </w:r>
    </w:p>
    <w:p>
      <w:pPr>
        <w:pStyle w:val="TextBody"/>
        <w:bidi w:val="0"/>
        <w:spacing w:lineRule="auto" w:line="288" w:before="10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9bf6f39fd2b48668219dedeb576350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395" w:type="dxa"/>
        <w:jc w:val="left"/>
        <w:tblInd w:w="0" w:type="dxa"/>
        <w:tblLayout w:type="fixed"/>
        <w:tblCellMar>
          <w:top w:w="28" w:type="dxa"/>
          <w:left w:w="28" w:type="dxa"/>
          <w:bottom w:w="28" w:type="dxa"/>
          <w:right w:w="28" w:type="dxa"/>
        </w:tblCellMar>
      </w:tblPr>
      <w:tblGrid>
        <w:gridCol w:w="629"/>
        <w:gridCol w:w="554"/>
        <w:gridCol w:w="557"/>
        <w:gridCol w:w="512"/>
        <w:gridCol w:w="512"/>
        <w:gridCol w:w="512"/>
        <w:gridCol w:w="914"/>
        <w:gridCol w:w="914"/>
        <w:gridCol w:w="129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14, 2024</w:t>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Mastrangelo</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br/>
              <w:t>(Principal Executive Officer)</w:t>
            </w:r>
          </w:p>
        </w:tc>
      </w:tr>
    </w:tbl>
    <w:tbl>
      <w:tblPr>
        <w:tblW w:w="4784" w:type="dxa"/>
        <w:jc w:val="left"/>
        <w:tblInd w:w="0" w:type="dxa"/>
        <w:tblLayout w:type="fixed"/>
        <w:tblCellMar>
          <w:top w:w="28" w:type="dxa"/>
          <w:left w:w="28" w:type="dxa"/>
          <w:bottom w:w="28" w:type="dxa"/>
          <w:right w:w="28" w:type="dxa"/>
        </w:tblCellMar>
      </w:tblPr>
      <w:tblGrid>
        <w:gridCol w:w="629"/>
        <w:gridCol w:w="554"/>
        <w:gridCol w:w="557"/>
        <w:gridCol w:w="208"/>
        <w:gridCol w:w="208"/>
        <w:gridCol w:w="213"/>
        <w:gridCol w:w="707"/>
        <w:gridCol w:w="707"/>
        <w:gridCol w:w="100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14,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Nathan Kroeker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Kroeker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200" w:after="283"/>
        <w:jc w:val="both"/>
        <w:rPr/>
      </w:pPr>
      <w:r>
        <w:rPr/>
      </w:r>
    </w:p>
    <w:p>
      <w:pPr>
        <w:pStyle w:val="TextBody"/>
        <w:bidi w:val="0"/>
        <w:spacing w:before="0" w:after="0"/>
        <w:jc w:val="center"/>
        <w:rPr/>
      </w:pPr>
      <w:bookmarkStart w:id="0" w:name="secondcertificateofamend.htm"/>
      <w:bookmarkStart w:id="1" w:name="kssecondcertificateofamend"/>
      <w:bookmarkEnd w:id="0"/>
      <w:bookmarkEnd w:id="1"/>
      <w:r>
        <w:rPr/>
        <w:drawing>
          <wp:inline distT="0" distB="0" distL="0" distR="0">
            <wp:extent cx="10048875" cy="13001625"/>
            <wp:effectExtent l="0" t="0" r="0" b="0"/>
            <wp:docPr id="4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jc w:val="center"/>
        <w:rPr>
          <w:color w:val="FFFFFF"/>
          <w:sz w:val="2"/>
        </w:rPr>
      </w:pPr>
      <w:r>
        <w:rPr>
          <w:color w:val="FFFFFF"/>
          <w:sz w:val="2"/>
        </w:rPr>
        <w:t xml:space="preserve">EOS ENERGY ENTERPRISES, INC. Second Certificate of Amendment to The Third Amended and Restated Certificate of Incorporation FIRST: The present name of the corporation is Eos Energy Enterprises, Inc., a Delaware corporation (the “Corporation”). The original certificate of incorporation of the Corporation was filed with the Secretary of State of the State of Delaware on June 3, 2019. An Amended and Restated Certificate of Incorporation was filed with the Secretary of State of the State of Delaware on February 4, 2020. A Second Amended and Restated Certificate of Incorporation was filed with the Secretary of State of the State of Delaware on May 19, 2020. A Third Amended and Restated Certificate of Incorporation (the “Third Amended and Restated Certificate”) was filed with the Secretary of State of the State of Delaware on November 16, 2020. A certificate of amendment to the Third Amended and Restated Certificate was filed with the Secretary of State of the State of Delaware on June 28, 2022. SECOND: Section 4.1(b) of Article IV of the Company’s Third Amended and Restated Certificate is hereby amended to read in its entirety as set forth below: (b) The total number of shares of all classes of capital stock, each with a par value of $0.0001 per share, which the Corporation is authorized to issue is 601,000,000 shares, consisting of (a) 600,000,000 shares of common stock (the “Common Stock”) and (b) 1,000,000 shares of preferred stock (the “Preferred Stock”). THIRD: The foregoing amendment has been duly proposed and declared advisable by the Corporation’s Board of Directors and adopted by the Corporation’s stockholders in accordance with the provisions of Sections 222 and 242 of the General Corporation Law of the State of Delaware. FOURTH: This Second Certificate of Amendment shall become effective as of upon the filing of this Second Certificate of Amendment with the Secretary of State of the State of Delaware. * * * * * IN WITNESS WHEREOF, the Corporation has caused this Second Certificate of Amendment to be signed by an authorized officer of the Corporation this 8th day of May, 2024. Eos Energy Enterprises, Inc. By: /s/Michael W. Silberman Michael Silberman General Counsel and Corporate Secretary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thirdamendmenttoamendeda.htm"/>
      <w:bookmarkStart w:id="3" w:name="ksthirdamendmenttoamendeda"/>
      <w:bookmarkEnd w:id="2"/>
      <w:bookmarkEnd w:id="3"/>
      <w:r>
        <w:rPr/>
        <w:drawing>
          <wp:inline distT="0" distB="0" distL="0" distR="0">
            <wp:extent cx="9182100" cy="13001625"/>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15"/>
                    <a:stretch>
                      <a:fillRect/>
                    </a:stretch>
                  </pic:blipFill>
                  <pic:spPr bwMode="auto">
                    <a:xfrm>
                      <a:off x="0" y="0"/>
                      <a:ext cx="918210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Third Amendment to the Eos Energy Enterprises, Inc. Amended and Restated 2020 Incentive Plan This Third Amendment (this “Amendment”) to the Eos Energy Enterprises, Inc. Amended and Restated 2020 Incentive Plan (as amended, restated, replaced, supplemented, or otherwise modified from time to time, the “Plan”) is approved and adopted to be effective as of May 1, 2024 (the “Effective Date”). Background A. The Plan was previously amended pursuant to the First Amendment to the Plan, dated as of May 17, 2022, and the Second Amendment to the Plan, dated as of May 16, 2023. B. On the Effective Date, the stockholders of Eos Energy Enterprises, Inc., a Delaware corporation (the “Company”) approved this Amendment. C. The Company now desires to amend the Plan in accordance with the terms and conditions of this Amendment. Terms and Conditions NOW THEREFORE, effective as of the Effective Date, the terms and conditions of the Plan are amended as follows: 1. Sections 5(b) of the Plan is hereby deleted in its entirety and replaced with the following: 5. Grant of Awards; Shares Subject to the Plan; Limitations. (b) Subject to Section 12 of the Plan and this Section 5, Awards granted under the Plan shall be subject to the following limitations: (i) the Committee is authorized to deliver under the Plan an aggregate of 23,935,317 Common Stock; provided, that the maximum number of Common Stock that may be granted under the Plan during any single fiscal year to any Participant who is a non-employee director, when taken together with any cash fees paid to such nonemployee director during such year in respect of his service as a non-employee director (including service as a member or chair of any committee of the Board), shall not exceed $500,000 in total value (calculating the value of any such Awards based on the Fair Market Value on the Date of Grant of such Awards for financial reporting purposes); provided that the non-employee directors who are considered independent (under the rules of The Nasdaq Capital Market or other securities exchange on which the Common Stock is traded) may make exceptions to this limit for a non-executive chair of the Board, if any, in which case the non-employee director receiving such additional compensation may not participate in the decision to award such compensation.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 descr=""/>
                    <pic:cNvPicPr>
                      <a:picLocks noChangeAspect="1" noChangeArrowheads="1"/>
                    </pic:cNvPicPr>
                  </pic:nvPicPr>
                  <pic:blipFill>
                    <a:blip r:embed="rId1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Amendment to the Eos Energy Enterprises, Inc. May 1, 2024 Amended and Restated 2020 Incentive Plan __________________________________________________________________________________ Page 2 2. Sections 7(a) of the Plan is hereby deleted in its entirety and replaced with the following: 7. Options. (a) Generally. Each Option granted under the Plan shall be evidenced by an Award Agreement (whether in paper or electronic medium (including email or the posting on a web site maintained by the Company or a third party under contract with the Company)).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Subject to Section 12, the maximum aggregate number of Common Stock that may be issued through the exercise of Incentive Stock Options granted under the Plan is 23,935,317 Common Stock.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the Plan has been approved by the stockholder of the Company in a manner intended to comply with the stockholder approval requirements of Section 422(b)(1) of the Code; provided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 3. Incorporation: This Amendment shall be deemed as amending and incorporated into the Plan. All of the terms, conditions, and provisions of the Plan shall continue unchanged and remain in full force and effect except as expressly amended by this Amendment. IN WITNESS WHEREOF, the Company hereby executes this Amendment as of the Effective Date. Eos Energy Enterprises, Inc. By: /s/Michael W. Silberman Michael Silberman General Counsel and Corporate Secretary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 AS ADOPTED PURSUANT TO SECTION 302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Joseph Mastrangelo, certify that: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(the “Report”) of Eos Energy Enterprises, Inc. (the “Registrant”);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220" w:type="dxa"/>
        <w:jc w:val="left"/>
        <w:tblInd w:w="0" w:type="dxa"/>
        <w:tblLayout w:type="fixed"/>
        <w:tblCellMar>
          <w:top w:w="28" w:type="dxa"/>
          <w:left w:w="28" w:type="dxa"/>
          <w:bottom w:w="28" w:type="dxa"/>
          <w:right w:w="28" w:type="dxa"/>
        </w:tblCellMar>
      </w:tblPr>
      <w:tblGrid>
        <w:gridCol w:w="216"/>
        <w:gridCol w:w="190"/>
        <w:gridCol w:w="190"/>
        <w:gridCol w:w="190"/>
        <w:gridCol w:w="190"/>
        <w:gridCol w:w="190"/>
        <w:gridCol w:w="190"/>
        <w:gridCol w:w="190"/>
        <w:gridCol w:w="190"/>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14, 2024</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Mastrangelo</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 AS ADOPTED PURSUANT TO SECTION 302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Nathan Kroeker, certify that: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(the “Report”) of Eos Energy Enterprises, Inc. (the Registrant”);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233" w:type="dxa"/>
        <w:jc w:val="left"/>
        <w:tblInd w:w="0" w:type="dxa"/>
        <w:tblLayout w:type="fixed"/>
        <w:tblCellMar>
          <w:top w:w="28" w:type="dxa"/>
          <w:left w:w="28" w:type="dxa"/>
          <w:bottom w:w="28" w:type="dxa"/>
          <w:right w:w="28" w:type="dxa"/>
        </w:tblCellMar>
      </w:tblPr>
      <w:tblGrid>
        <w:gridCol w:w="216"/>
        <w:gridCol w:w="190"/>
        <w:gridCol w:w="190"/>
        <w:gridCol w:w="190"/>
        <w:gridCol w:w="190"/>
        <w:gridCol w:w="190"/>
        <w:gridCol w:w="190"/>
        <w:gridCol w:w="190"/>
        <w:gridCol w:w="190"/>
        <w:gridCol w:w="109"/>
        <w:gridCol w:w="109"/>
        <w:gridCol w:w="109"/>
        <w:gridCol w:w="109"/>
        <w:gridCol w:w="109"/>
        <w:gridCol w:w="109"/>
        <w:gridCol w:w="109"/>
        <w:gridCol w:w="109"/>
        <w:gridCol w:w="109"/>
        <w:gridCol w:w="267"/>
        <w:gridCol w:w="267"/>
        <w:gridCol w:w="267"/>
        <w:gridCol w:w="267"/>
        <w:gridCol w:w="267"/>
        <w:gridCol w:w="267"/>
        <w:gridCol w:w="267"/>
        <w:gridCol w:w="267"/>
        <w:gridCol w:w="380"/>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14, 2024</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Nathan Kroeker</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Kroeker</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7"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Eos Energy Enterprises, Inc. (the “Registrant”), for the quarterly period ended March 31, 2024 as filed with the Securities and Exchange Commission on the date hereof (the “Report”), I, Joseph Mastrangelo, hereby certify, in the capacity and on the date indicated below, pursuant to 18 U.S.C. §1350, as adopted pursuant to Section 906 of the Sarbanes-Oxley Act of 2002, that, to my knowledge: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5220" w:type="dxa"/>
        <w:jc w:val="left"/>
        <w:tblInd w:w="0" w:type="dxa"/>
        <w:tblLayout w:type="fixed"/>
        <w:tblCellMar>
          <w:top w:w="28" w:type="dxa"/>
          <w:left w:w="28" w:type="dxa"/>
          <w:bottom w:w="28" w:type="dxa"/>
          <w:right w:w="28" w:type="dxa"/>
        </w:tblCellMar>
      </w:tblPr>
      <w:tblGrid>
        <w:gridCol w:w="216"/>
        <w:gridCol w:w="190"/>
        <w:gridCol w:w="190"/>
        <w:gridCol w:w="190"/>
        <w:gridCol w:w="190"/>
        <w:gridCol w:w="190"/>
        <w:gridCol w:w="190"/>
        <w:gridCol w:w="190"/>
        <w:gridCol w:w="190"/>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14, 2024</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Mastrangelo</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Eos Energy Enterprises, Inc. (the “Registrant”), for the quarterly period ended March 31, 2024 as filed with the Securities and Exchange Commission on the date hereof (the “Report”), I, Nathan Kroeker, hereby certify, in the capacity and on the date indicated below, pursuant to 18 U.S.C. §1350, as adopted pursuant to Section 906 of the Sarbanes-Oxley Act of 2002, that, to my knowledge: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5560" w:type="dxa"/>
        <w:jc w:val="left"/>
        <w:tblInd w:w="0" w:type="dxa"/>
        <w:tblLayout w:type="fixed"/>
        <w:tblCellMar>
          <w:top w:w="28" w:type="dxa"/>
          <w:left w:w="28" w:type="dxa"/>
          <w:bottom w:w="28" w:type="dxa"/>
          <w:right w:w="28" w:type="dxa"/>
        </w:tblCellMar>
      </w:tblPr>
      <w:tblGrid>
        <w:gridCol w:w="216"/>
        <w:gridCol w:w="190"/>
        <w:gridCol w:w="190"/>
        <w:gridCol w:w="190"/>
        <w:gridCol w:w="190"/>
        <w:gridCol w:w="190"/>
        <w:gridCol w:w="190"/>
        <w:gridCol w:w="190"/>
        <w:gridCol w:w="190"/>
        <w:gridCol w:w="109"/>
        <w:gridCol w:w="109"/>
        <w:gridCol w:w="109"/>
        <w:gridCol w:w="109"/>
        <w:gridCol w:w="109"/>
        <w:gridCol w:w="109"/>
        <w:gridCol w:w="109"/>
        <w:gridCol w:w="109"/>
        <w:gridCol w:w="109"/>
        <w:gridCol w:w="109"/>
        <w:gridCol w:w="109"/>
        <w:gridCol w:w="109"/>
        <w:gridCol w:w="267"/>
        <w:gridCol w:w="267"/>
        <w:gridCol w:w="267"/>
        <w:gridCol w:w="267"/>
        <w:gridCol w:w="267"/>
        <w:gridCol w:w="267"/>
        <w:gridCol w:w="267"/>
        <w:gridCol w:w="267"/>
        <w:gridCol w:w="380"/>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Nathan Kroeker</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Kroeker</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3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077/000162828023005647/ex31-thirdamendedandrestat.htm" TargetMode="External"/><Relationship Id="rId3" Type="http://schemas.openxmlformats.org/officeDocument/2006/relationships/hyperlink" Target="https://www.sec.gov/Archives/edgar/data/1805077/000162828022014885/secondamendedandrestatedby.htm" TargetMode="External"/><Relationship Id="rId4" Type="http://schemas.openxmlformats.org/officeDocument/2006/relationships/hyperlink" Target="https://www.sec.gov/Archives/edgar/data/1805077/000121390020038551/ea130208ex10-10_eosenergy.htm" TargetMode="External"/><Relationship Id="rId5" Type="http://schemas.openxmlformats.org/officeDocument/2006/relationships/hyperlink" Target="https://www.sec.gov/Archives/edgar/data/1805077/000180507724000002/ex101tetraagreement.htm" TargetMode="External"/><Relationship Id="rId6" Type="http://schemas.openxmlformats.org/officeDocument/2006/relationships/hyperlink" Target="https://www.sec.gov/Archives/edgar/data/1805077/000180507724000007/shpp_hi-powerpricingagmt.htm" TargetMode="External"/><Relationship Id="rId7" Type="http://schemas.openxmlformats.org/officeDocument/2006/relationships/hyperlink" Target="https://www.sec.gov/Archives/edgar/data/1805077/000162828022017471/firstamendmenttothe2020inc.htm" TargetMode="External"/><Relationship Id="rId8" Type="http://schemas.openxmlformats.org/officeDocument/2006/relationships/hyperlink" Target="https://www.sec.gov/Archives/edgar/data/1805077/000162828022017471/firstamendmenttothe2020inc.htm" TargetMode="External"/><Relationship Id="rId9" Type="http://schemas.openxmlformats.org/officeDocument/2006/relationships/hyperlink" Target="https://www.sec.gov/Archives/edgar/data/1805077/000162828022017471/firstamendmenttothe2020inc.htm" TargetMode="External"/><Relationship Id="rId10" Type="http://schemas.openxmlformats.org/officeDocument/2006/relationships/hyperlink" Target="https://www.sec.gov/Archives/edgar/data/1805077/000162828022017471/firstamendmenttothe2020inc.htm" TargetMode="External"/><Relationship Id="rId11" Type="http://schemas.openxmlformats.org/officeDocument/2006/relationships/hyperlink" Target="https://www.sec.gov/Archives/edgar/data/1805077/000162828022017471/firstamendmenttothe2020inc.htm" TargetMode="External"/><Relationship Id="rId12" Type="http://schemas.openxmlformats.org/officeDocument/2006/relationships/hyperlink" Target="https://www.sec.gov/Archives/edgar/data/1805077/000180507723000025/a2023secondamendmentto2020.htm" TargetMode="External"/><Relationship Id="rId13" Type="http://schemas.openxmlformats.org/officeDocument/2006/relationships/hyperlink" Target="https://www.sec.gov/Archives/edgar/data/1805077/000180507723000025/a2023secondamendmentto2020.ht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20009</Words>
  <Characters>110249</Characters>
  <CharactersWithSpaces>129007</CharactersWithSpaces>
  <Paragraphs>2128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thirdamendmenttoamendeda</dc:title>
</cp:coreProperties>
</file>