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0447.xml.htm"/>
      <w:bookmarkStart w:id="1" w:name="kswkform4_17895904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Mastrangelo Joe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07"/>
        <w:gridCol w:w="443"/>
        <w:gridCol w:w="705"/>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2,558,704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w:t>
            </w: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2,308,704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214"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276"/>
        <w:gridCol w:w="876"/>
        <w:gridCol w:w="906"/>
        <w:gridCol w:w="801"/>
        <w:gridCol w:w="891"/>
        <w:gridCol w:w="921"/>
        <w:gridCol w:w="801"/>
        <w:gridCol w:w="936"/>
        <w:gridCol w:w="831"/>
        <w:gridCol w:w="846"/>
      </w:tblGrid>
      <w:tr>
        <w:trPr>
          <w:tblHeader w:val="true"/>
        </w:trPr>
        <w:tc>
          <w:tcPr>
            <w:tcW w:w="132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Performance-Based 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500,000</w:t>
            </w:r>
            <w:r>
              <w:rPr>
                <w:rFonts w:ascii="Times;serif" w:hAnsi="Times;serif"/>
                <w:color w:val="008000"/>
                <w:position w:val="7"/>
                <w:sz w:val="16"/>
                <w:sz w:val="20"/>
                <w:shd w:fill="FFFFFF" w:val="clear"/>
              </w:rPr>
              <w:t>(4)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5, 2024, the Reporting Person was granted performance-based restricted stock units ("2024 PRSU Awards"). The 2024 PRSU Awards are eligible to vest in up to two installments based on the total shareholder return of the Issuer over two- and three-year performance periods, each commencing on July 5, 2024. On September 14, 2026, the Compensation Committee of the Issuer's Board of Directors certified the achievement of the first performance period, resulting in the vesting of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automatically pursuant to a Rule 10b5-1 trading plan adopted by the reporting person on September 15, 2025 to cover estimated tax withholding obligations in connection with the vesting of performance-based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$3.84 to $4.16,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outstanding awarded and vested units pursuant to the 2024 PRSU Awards dated July 25, 2024 related to the achievement of certain total shareholder return objectives.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 as attorney-in-fact for Joe Mastrangelo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309"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823</Words>
  <Characters>4481</Characters>
  <CharactersWithSpaces>5211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