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774769.xml.htm"/>
      <w:bookmarkStart w:id="1" w:name="kswkform4_178777476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Buczkowski Michelle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EOS ENERGY ENTERPRISES,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ALLEGHENY CENTER, NOVA TOWER 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Eos Energy Enterprises, Inc.</w:t>
              </w:r>
            </w:hyperlink>
            <w:r>
              <w:rPr/>
              <w:t xml:space="preserve"> [ </w:t>
            </w:r>
            <w:r>
              <w:rPr>
                <w:rFonts w:ascii="Times;serif" w:hAnsi="Times;serif"/>
                <w:color w:val="0000FF"/>
                <w:sz w:val="24"/>
                <w:shd w:fill="FFFFFF" w:val="clear"/>
              </w:rPr>
              <w:t>EOSE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195,130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195,130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195,130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received a grant of RSUs under the Issuer's 2020 Incentive Plan, which will vest in three installments on each of the first three anniversaries of the grant date, subject to continued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Sumeet Puri as attorney-in-fact for Michelle Buczkowski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6705" TargetMode="External"/><Relationship Id="rId5" Type="http://schemas.openxmlformats.org/officeDocument/2006/relationships/hyperlink" Target="http://www.sec.gov/cgi-bin/browse-edgar?action=getcompany&amp;CIK=00018050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641</Words>
  <Characters>3493</Characters>
  <CharactersWithSpaces>4059</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