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8-K/A</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(Amendment No. 1)</w:t>
      </w:r>
    </w:p>
    <w:p>
      <w:pPr>
        <w:pStyle w:val="TextBody"/>
        <w:bidi w:val="0"/>
        <w:spacing w:lineRule="auto" w:line="300" w:before="200" w:after="2"/>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56"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10,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001-39291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Two Allegheny Center</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Nova Tower 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Pittsburgh, Pennsylvania 15212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(732) 225-8400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200" w:after="2"/>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72"/>
        <w:gridCol w:w="1716"/>
        <w:gridCol w:w="1735"/>
        <w:gridCol w:w="109"/>
        <w:gridCol w:w="109"/>
        <w:gridCol w:w="109"/>
        <w:gridCol w:w="437"/>
        <w:gridCol w:w="437"/>
        <w:gridCol w:w="439"/>
        <w:gridCol w:w="109"/>
        <w:gridCol w:w="109"/>
        <w:gridCol w:w="109"/>
        <w:gridCol w:w="763"/>
        <w:gridCol w:w="763"/>
        <w:gridCol w:w="1089"/>
      </w:tblGrid>
      <w:tr>
        <w:trPr/>
        <w:tc>
          <w:tcPr>
            <w:tcW w:w="217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EFEFE"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6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Warrant, each whole warrant exercisable to purchase one share of Common Stock at an exercise price of $5.481</w:t>
            </w:r>
          </w:p>
          <w:p>
            <w:pPr>
              <w:pStyle w:val="TableContents"/>
              <w:bidi w:val="0"/>
              <w:spacing w:before="0" w:after="2"/>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EOSEW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both"/>
        <w:rPr/>
      </w:pPr>
      <w:r>
        <w:rPr/>
      </w:r>
    </w:p>
    <w:p>
      <w:pPr>
        <w:pStyle w:val="TextBody"/>
        <w:bidi w:val="0"/>
        <w:spacing w:before="0" w:after="2"/>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
        <w:jc w:val="left"/>
        <w:rPr/>
      </w:pPr>
      <w:r>
        <w:rPr/>
      </w:r>
    </w:p>
    <w:p>
      <w:pPr>
        <w:pStyle w:val="TextBody"/>
        <w:bidi w:val="0"/>
        <w:spacing w:lineRule="auto" w:line="276" w:before="16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8-K/A (this “Amendment”) amends the Current Report on Form 8-K of Eos Energy Enterprises, Inc. (the “Company”) filed with the Securities and Exchange Commission on August 25, 2026 (the “Initial Form 8-K”), to supplement the Company’s disclosure under Item 5.02 of the Initial Form 8-K. The Initial Form 8-K reported, among other things, that Nathan Kroeker, the Company’s then Chief Commercial Officer, will depart from the Company on October 20, 2026. This Amendment is being filed solely for the purpose of amending the disclosure in the Initial Form 8-K to include a description of Mr. Kroeker’s separation agreement. This Amendment does not otherwise modify or update any other disclosures in the Initial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6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transition of his role and pending separation, on September 10, 2026, the Company entered into a separation agreement with Mr. Kroeker (the “Separation Agreement”). Pursuant to the terms of the Separation Agreement, in exchange for his execution and non-revocation of a release of claims and continued compliance with the terms of his agreement (including his restrictive covenants), Mr. Kroeker will receive the following benefits in accordance with the terms of his current employment agreement and equity award agreements: (i) twelve-months of base salary continuation at his current annual base salary of $470,000; (ii) a pro-rated annual bonus for 2026, subject to the actual achievement of the applicable performance conditions and paid at the same time as the 2026 annual will be paid to other executives of the Company; (iii) acceleration of each of his outstanding and unvested restricted stock units; and (iv) pro-rata acceleration of each of his outstanding and unvested performance stock units, subject to actual achievement of the applicable performance conditions.</w:t>
      </w:r>
    </w:p>
    <w:p>
      <w:pPr>
        <w:pStyle w:val="TextBody"/>
        <w:bidi w:val="0"/>
        <w:spacing w:lineRule="auto" w:line="300" w:before="160" w:after="2"/>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Separation Agreement contained herein does not purport to be complete and is qualified in its entirety by reference to the complete text of his agreement, a copy of which will be filed as an exhibit to the Company’s Quarterly Report on Form 10-Q for the quarter ending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22" w:type="dxa"/>
        <w:jc w:val="left"/>
        <w:tblInd w:w="0" w:type="dxa"/>
        <w:tblLayout w:type="fixed"/>
        <w:tblCellMar>
          <w:top w:w="28" w:type="dxa"/>
          <w:left w:w="28" w:type="dxa"/>
          <w:bottom w:w="28" w:type="dxa"/>
          <w:right w:w="28" w:type="dxa"/>
        </w:tblCellMar>
      </w:tblPr>
      <w:tblGrid>
        <w:gridCol w:w="841"/>
        <w:gridCol w:w="738"/>
        <w:gridCol w:w="746"/>
        <w:gridCol w:w="348"/>
        <w:gridCol w:w="348"/>
        <w:gridCol w:w="348"/>
        <w:gridCol w:w="348"/>
        <w:gridCol w:w="348"/>
        <w:gridCol w:w="348"/>
        <w:gridCol w:w="586"/>
        <w:gridCol w:w="586"/>
        <w:gridCol w:w="837"/>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September 16, 2026</w:t>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Alessandro Lagi</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Alessandro Lagi</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4098</Characters>
  <CharactersWithSpaces>4781</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