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6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342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6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tc>
        <w:tc>
          <w:tcPr>
            <w:tcW w:w="3420" w:type="dxa"/>
            <w:vAlign w:val="bottom"/>
          </w:tcPr>
          <w:p>
            <w:pPr>
              <w:spacing w:after="0"/>
              <w:rPr>
                <w:sz w:val="15"/>
                <w:szCs w:val="15"/>
                <w:color w:val="auto"/>
              </w:rPr>
            </w:pPr>
          </w:p>
        </w:tc>
      </w:tr>
      <w:tr>
        <w:trPr>
          <w:trHeight w:val="190"/>
        </w:trPr>
        <w:tc>
          <w:tcPr>
            <w:tcW w:w="5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6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Washington, D.C. 20549</w:t>
            </w:r>
          </w:p>
        </w:tc>
        <w:tc>
          <w:tcPr>
            <w:tcW w:w="3420" w:type="dxa"/>
            <w:vAlign w:val="bottom"/>
          </w:tcPr>
          <w:p>
            <w:pPr>
              <w:spacing w:after="0"/>
              <w:rPr>
                <w:sz w:val="16"/>
                <w:szCs w:val="16"/>
                <w:color w:val="auto"/>
              </w:rPr>
            </w:pPr>
          </w:p>
        </w:tc>
      </w:tr>
      <w:tr>
        <w:trPr>
          <w:trHeight w:val="351"/>
        </w:trPr>
        <w:tc>
          <w:tcPr>
            <w:tcW w:w="5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FORM 10-K</w:t>
            </w:r>
          </w:p>
        </w:tc>
        <w:tc>
          <w:tcPr>
            <w:tcW w:w="3420" w:type="dxa"/>
            <w:vAlign w:val="bottom"/>
          </w:tcPr>
          <w:p>
            <w:pPr>
              <w:spacing w:after="0"/>
              <w:rPr>
                <w:sz w:val="24"/>
                <w:szCs w:val="24"/>
                <w:color w:val="auto"/>
              </w:rPr>
            </w:pPr>
          </w:p>
        </w:tc>
      </w:tr>
      <w:tr>
        <w:trPr>
          <w:trHeight w:val="244"/>
        </w:trPr>
        <w:tc>
          <w:tcPr>
            <w:tcW w:w="58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c>
          <w:tcPr>
            <w:tcW w:w="10660" w:type="dxa"/>
            <w:vAlign w:val="bottom"/>
            <w:gridSpan w:val="10"/>
          </w:tcPr>
          <w:p>
            <w:pPr>
              <w:ind w:left="1760"/>
              <w:spacing w:after="0"/>
              <w:rPr>
                <w:sz w:val="20"/>
                <w:szCs w:val="20"/>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tc>
      </w:tr>
      <w:tr>
        <w:trPr>
          <w:trHeight w:val="256"/>
        </w:trPr>
        <w:tc>
          <w:tcPr>
            <w:tcW w:w="58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6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2022</w:t>
            </w:r>
          </w:p>
        </w:tc>
        <w:tc>
          <w:tcPr>
            <w:tcW w:w="3420" w:type="dxa"/>
            <w:vAlign w:val="bottom"/>
          </w:tcPr>
          <w:p>
            <w:pPr>
              <w:spacing w:after="0"/>
              <w:rPr>
                <w:sz w:val="22"/>
                <w:szCs w:val="22"/>
                <w:color w:val="auto"/>
              </w:rPr>
            </w:pPr>
          </w:p>
        </w:tc>
      </w:tr>
      <w:tr>
        <w:trPr>
          <w:trHeight w:val="243"/>
        </w:trPr>
        <w:tc>
          <w:tcPr>
            <w:tcW w:w="5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10660" w:type="dxa"/>
            <w:vAlign w:val="bottom"/>
            <w:gridSpan w:val="10"/>
          </w:tcPr>
          <w:p>
            <w:pPr>
              <w:ind w:left="1520"/>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tc>
      </w:tr>
      <w:tr>
        <w:trPr>
          <w:trHeight w:val="283"/>
        </w:trPr>
        <w:tc>
          <w:tcPr>
            <w:tcW w:w="5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EOS ENERGY ENTERPRISES, INC.</w:t>
            </w:r>
          </w:p>
        </w:tc>
        <w:tc>
          <w:tcPr>
            <w:tcW w:w="3420" w:type="dxa"/>
            <w:vAlign w:val="bottom"/>
          </w:tcPr>
          <w:p>
            <w:pPr>
              <w:spacing w:after="0"/>
              <w:rPr>
                <w:sz w:val="24"/>
                <w:szCs w:val="24"/>
                <w:color w:val="auto"/>
              </w:rPr>
            </w:pPr>
          </w:p>
        </w:tc>
      </w:tr>
      <w:tr>
        <w:trPr>
          <w:trHeight w:val="229"/>
        </w:trPr>
        <w:tc>
          <w:tcPr>
            <w:tcW w:w="580" w:type="dxa"/>
            <w:vAlign w:val="bottom"/>
          </w:tcPr>
          <w:p>
            <w:pPr>
              <w:spacing w:after="0"/>
              <w:rPr>
                <w:sz w:val="19"/>
                <w:szCs w:val="19"/>
                <w:color w:val="auto"/>
              </w:rPr>
            </w:pPr>
          </w:p>
        </w:tc>
        <w:tc>
          <w:tcPr>
            <w:tcW w:w="306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001-39291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84-4290188</w:t>
            </w:r>
          </w:p>
        </w:tc>
      </w:tr>
      <w:tr>
        <w:trPr>
          <w:trHeight w:val="37"/>
        </w:trPr>
        <w:tc>
          <w:tcPr>
            <w:tcW w:w="58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tcPr>
          <w:p>
            <w:pPr>
              <w:spacing w:after="0"/>
              <w:rPr>
                <w:sz w:val="3"/>
                <w:szCs w:val="3"/>
                <w:color w:val="auto"/>
              </w:rPr>
            </w:pPr>
          </w:p>
        </w:tc>
      </w:tr>
      <w:tr>
        <w:trPr>
          <w:trHeight w:val="173"/>
        </w:trPr>
        <w:tc>
          <w:tcPr>
            <w:tcW w:w="580" w:type="dxa"/>
            <w:vAlign w:val="bottom"/>
          </w:tcPr>
          <w:p>
            <w:pPr>
              <w:spacing w:after="0"/>
              <w:rPr>
                <w:sz w:val="15"/>
                <w:szCs w:val="15"/>
                <w:color w:val="auto"/>
              </w:rPr>
            </w:pPr>
          </w:p>
        </w:tc>
        <w:tc>
          <w:tcPr>
            <w:tcW w:w="306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60" w:type="dxa"/>
            <w:vAlign w:val="bottom"/>
            <w:gridSpan w:val="4"/>
          </w:tcPr>
          <w:p>
            <w:pPr>
              <w:jc w:val="center"/>
              <w:ind w:right="960"/>
              <w:spacing w:after="0"/>
              <w:rPr>
                <w:sz w:val="20"/>
                <w:szCs w:val="20"/>
                <w:color w:val="auto"/>
              </w:rPr>
            </w:pPr>
            <w:r>
              <w:rPr>
                <w:rFonts w:ascii="Times New Roman" w:cs="Times New Roman" w:eastAsia="Times New Roman" w:hAnsi="Times New Roman"/>
                <w:sz w:val="14"/>
                <w:szCs w:val="14"/>
                <w:color w:val="auto"/>
              </w:rPr>
              <w:t>(Commission</w:t>
            </w:r>
          </w:p>
        </w:tc>
        <w:tc>
          <w:tcPr>
            <w:tcW w:w="3420" w:type="dxa"/>
            <w:vAlign w:val="bottom"/>
          </w:tcPr>
          <w:p>
            <w:pPr>
              <w:jc w:val="center"/>
              <w:ind w:right="34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580" w:type="dxa"/>
            <w:vAlign w:val="bottom"/>
          </w:tcPr>
          <w:p>
            <w:pPr>
              <w:spacing w:after="0"/>
              <w:rPr>
                <w:sz w:val="16"/>
                <w:szCs w:val="16"/>
                <w:color w:val="auto"/>
              </w:rPr>
            </w:pPr>
          </w:p>
        </w:tc>
        <w:tc>
          <w:tcPr>
            <w:tcW w:w="306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color w:val="auto"/>
              </w:rPr>
              <w:t>of incorporation)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60" w:type="dxa"/>
            <w:vAlign w:val="bottom"/>
            <w:gridSpan w:val="4"/>
          </w:tcPr>
          <w:p>
            <w:pPr>
              <w:jc w:val="center"/>
              <w:ind w:right="960"/>
              <w:spacing w:after="0"/>
              <w:rPr>
                <w:sz w:val="20"/>
                <w:szCs w:val="20"/>
                <w:color w:val="auto"/>
              </w:rPr>
            </w:pPr>
            <w:r>
              <w:rPr>
                <w:rFonts w:ascii="Times New Roman" w:cs="Times New Roman" w:eastAsia="Times New Roman" w:hAnsi="Times New Roman"/>
                <w:sz w:val="14"/>
                <w:szCs w:val="14"/>
                <w:color w:val="auto"/>
              </w:rPr>
              <w:t>File Number)</w:t>
            </w:r>
          </w:p>
        </w:tc>
        <w:tc>
          <w:tcPr>
            <w:tcW w:w="3420" w:type="dxa"/>
            <w:vAlign w:val="bottom"/>
          </w:tcPr>
          <w:p>
            <w:pPr>
              <w:jc w:val="center"/>
              <w:ind w:right="34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63"/>
        </w:trPr>
        <w:tc>
          <w:tcPr>
            <w:tcW w:w="5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3920 Park Avenue</w:t>
            </w:r>
          </w:p>
        </w:tc>
        <w:tc>
          <w:tcPr>
            <w:tcW w:w="3420" w:type="dxa"/>
            <w:vAlign w:val="bottom"/>
          </w:tcPr>
          <w:p>
            <w:pPr>
              <w:spacing w:after="0"/>
              <w:rPr>
                <w:sz w:val="24"/>
                <w:szCs w:val="24"/>
                <w:color w:val="auto"/>
              </w:rPr>
            </w:pPr>
          </w:p>
        </w:tc>
      </w:tr>
      <w:tr>
        <w:trPr>
          <w:trHeight w:val="178"/>
        </w:trPr>
        <w:tc>
          <w:tcPr>
            <w:tcW w:w="58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6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Edison, New Jersey 08820</w:t>
            </w:r>
          </w:p>
        </w:tc>
        <w:tc>
          <w:tcPr>
            <w:tcW w:w="3420" w:type="dxa"/>
            <w:vAlign w:val="bottom"/>
          </w:tcPr>
          <w:p>
            <w:pPr>
              <w:spacing w:after="0"/>
              <w:rPr>
                <w:sz w:val="15"/>
                <w:szCs w:val="15"/>
                <w:color w:val="auto"/>
              </w:rPr>
            </w:pPr>
          </w:p>
        </w:tc>
      </w:tr>
      <w:tr>
        <w:trPr>
          <w:trHeight w:val="160"/>
        </w:trPr>
        <w:tc>
          <w:tcPr>
            <w:tcW w:w="5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96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3420" w:type="dxa"/>
            <w:vAlign w:val="bottom"/>
          </w:tcPr>
          <w:p>
            <w:pPr>
              <w:spacing w:after="0"/>
              <w:rPr>
                <w:sz w:val="13"/>
                <w:szCs w:val="13"/>
                <w:color w:val="auto"/>
              </w:rPr>
            </w:pPr>
          </w:p>
        </w:tc>
      </w:tr>
      <w:tr>
        <w:trPr>
          <w:trHeight w:val="190"/>
        </w:trPr>
        <w:tc>
          <w:tcPr>
            <w:tcW w:w="5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18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(732) 225-8400</w:t>
            </w:r>
          </w:p>
        </w:tc>
        <w:tc>
          <w:tcPr>
            <w:tcW w:w="3420" w:type="dxa"/>
            <w:vAlign w:val="bottom"/>
          </w:tcPr>
          <w:p>
            <w:pPr>
              <w:spacing w:after="0"/>
              <w:rPr>
                <w:sz w:val="16"/>
                <w:szCs w:val="16"/>
                <w:color w:val="auto"/>
              </w:rPr>
            </w:pPr>
          </w:p>
        </w:tc>
      </w:tr>
      <w:tr>
        <w:trPr>
          <w:trHeight w:val="365"/>
        </w:trPr>
        <w:tc>
          <w:tcPr>
            <w:tcW w:w="5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60" w:type="dxa"/>
            <w:vAlign w:val="bottom"/>
            <w:gridSpan w:val="4"/>
          </w:tcPr>
          <w:p>
            <w:pPr>
              <w:ind w:left="34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420" w:type="dxa"/>
            <w:vAlign w:val="bottom"/>
          </w:tcPr>
          <w:p>
            <w:pPr>
              <w:spacing w:after="0"/>
              <w:rPr>
                <w:sz w:val="24"/>
                <w:szCs w:val="24"/>
                <w:color w:val="auto"/>
              </w:rPr>
            </w:pPr>
          </w:p>
        </w:tc>
      </w:tr>
      <w:tr>
        <w:trPr>
          <w:trHeight w:val="23"/>
        </w:trPr>
        <w:tc>
          <w:tcPr>
            <w:tcW w:w="580" w:type="dxa"/>
            <w:vAlign w:val="bottom"/>
          </w:tcPr>
          <w:p>
            <w:pPr>
              <w:spacing w:after="0"/>
              <w:rPr>
                <w:sz w:val="2"/>
                <w:szCs w:val="2"/>
                <w:color w:val="auto"/>
              </w:rPr>
            </w:pPr>
          </w:p>
        </w:tc>
        <w:tc>
          <w:tcPr>
            <w:tcW w:w="306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3420" w:type="dxa"/>
            <w:vAlign w:val="bottom"/>
          </w:tcPr>
          <w:p>
            <w:pPr>
              <w:spacing w:after="0"/>
              <w:rPr>
                <w:sz w:val="2"/>
                <w:szCs w:val="2"/>
                <w:color w:val="auto"/>
              </w:rPr>
            </w:pPr>
          </w:p>
        </w:tc>
      </w:tr>
      <w:tr>
        <w:trPr>
          <w:trHeight w:val="234"/>
        </w:trPr>
        <w:tc>
          <w:tcPr>
            <w:tcW w:w="580" w:type="dxa"/>
            <w:vAlign w:val="bottom"/>
            <w:tcBorders>
              <w:bottom w:val="single" w:sz="8" w:color="FEFEFE"/>
            </w:tcBorders>
            <w:shd w:val="clear" w:color="auto" w:fill="FEFEFE"/>
          </w:tcPr>
          <w:p>
            <w:pPr>
              <w:spacing w:after="0"/>
              <w:rPr>
                <w:sz w:val="19"/>
                <w:szCs w:val="19"/>
                <w:color w:val="auto"/>
              </w:rPr>
            </w:pPr>
          </w:p>
        </w:tc>
        <w:tc>
          <w:tcPr>
            <w:tcW w:w="3060" w:type="dxa"/>
            <w:vAlign w:val="bottom"/>
            <w:tcBorders>
              <w:bottom w:val="single" w:sz="8" w:color="FEFEFE"/>
            </w:tcBorders>
            <w:gridSpan w:val="3"/>
            <w:shd w:val="clear" w:color="auto" w:fill="FEFEFE"/>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0" w:type="dxa"/>
            <w:vAlign w:val="bottom"/>
            <w:tcBorders>
              <w:bottom w:val="single" w:sz="8" w:color="FEFEFE"/>
            </w:tcBorders>
            <w:shd w:val="clear" w:color="auto" w:fill="FEFEFE"/>
          </w:tcPr>
          <w:p>
            <w:pPr>
              <w:spacing w:after="0"/>
              <w:rPr>
                <w:sz w:val="19"/>
                <w:szCs w:val="19"/>
                <w:color w:val="auto"/>
              </w:rPr>
            </w:pPr>
          </w:p>
        </w:tc>
        <w:tc>
          <w:tcPr>
            <w:tcW w:w="100" w:type="dxa"/>
            <w:vAlign w:val="bottom"/>
            <w:tcBorders>
              <w:bottom w:val="single" w:sz="8" w:color="FEFEFE"/>
            </w:tcBorders>
            <w:shd w:val="clear" w:color="auto" w:fill="FEFEFE"/>
          </w:tcPr>
          <w:p>
            <w:pPr>
              <w:spacing w:after="0"/>
              <w:rPr>
                <w:sz w:val="19"/>
                <w:szCs w:val="19"/>
                <w:color w:val="auto"/>
              </w:rPr>
            </w:pPr>
          </w:p>
        </w:tc>
        <w:tc>
          <w:tcPr>
            <w:tcW w:w="3860" w:type="dxa"/>
            <w:vAlign w:val="bottom"/>
            <w:tcBorders>
              <w:bottom w:val="single" w:sz="8" w:color="FEFEFE"/>
            </w:tcBorders>
            <w:gridSpan w:val="4"/>
            <w:shd w:val="clear" w:color="auto" w:fill="FEFEFE"/>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20" w:type="dxa"/>
            <w:vAlign w:val="bottom"/>
            <w:tcBorders>
              <w:bottom w:val="single" w:sz="8" w:color="FEFEFE"/>
            </w:tcBorders>
            <w:shd w:val="clear" w:color="auto" w:fill="FEFEFE"/>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3"/>
        </w:trPr>
        <w:tc>
          <w:tcPr>
            <w:tcW w:w="580" w:type="dxa"/>
            <w:vAlign w:val="bottom"/>
            <w:tcBorders>
              <w:top w:val="single" w:sz="8" w:color="auto"/>
              <w:bottom w:val="single" w:sz="8" w:color="CCEEFF"/>
            </w:tcBorders>
            <w:shd w:val="clear" w:color="auto" w:fill="CCEEFF"/>
          </w:tcPr>
          <w:p>
            <w:pPr>
              <w:spacing w:after="0"/>
              <w:rPr>
                <w:sz w:val="17"/>
                <w:szCs w:val="17"/>
                <w:color w:val="auto"/>
              </w:rPr>
            </w:pPr>
          </w:p>
        </w:tc>
        <w:tc>
          <w:tcPr>
            <w:tcW w:w="3060" w:type="dxa"/>
            <w:vAlign w:val="bottom"/>
            <w:tcBorders>
              <w:top w:val="single" w:sz="8" w:color="auto"/>
              <w:bottom w:val="single" w:sz="8" w:color="CCEEFF"/>
            </w:tcBorders>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40" w:type="dxa"/>
            <w:vAlign w:val="bottom"/>
            <w:tcBorders>
              <w:top w:val="single" w:sz="8" w:color="auto"/>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EOSE</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spacing w:after="0"/>
              <w:rPr>
                <w:sz w:val="17"/>
                <w:szCs w:val="17"/>
                <w:color w:val="auto"/>
              </w:rPr>
            </w:pPr>
          </w:p>
        </w:tc>
        <w:tc>
          <w:tcPr>
            <w:tcW w:w="3420" w:type="dxa"/>
            <w:vAlign w:val="bottom"/>
            <w:tcBorders>
              <w:top w:val="single" w:sz="8" w:color="auto"/>
              <w:bottom w:val="single" w:sz="8" w:color="CCEEFF"/>
            </w:tcBorders>
            <w:shd w:val="clear" w:color="auto" w:fill="CCEEFF"/>
          </w:tcPr>
          <w:p>
            <w:pPr>
              <w:jc w:val="center"/>
              <w:ind w:right="248"/>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3"/>
        </w:trPr>
        <w:tc>
          <w:tcPr>
            <w:tcW w:w="3640" w:type="dxa"/>
            <w:vAlign w:val="bottom"/>
            <w:gridSpan w:val="4"/>
          </w:tcPr>
          <w:p>
            <w:pPr>
              <w:jc w:val="center"/>
              <w:ind w:left="168"/>
              <w:spacing w:after="0"/>
              <w:rPr>
                <w:sz w:val="20"/>
                <w:szCs w:val="20"/>
                <w:color w:val="auto"/>
              </w:rPr>
            </w:pPr>
            <w:r>
              <w:rPr>
                <w:rFonts w:ascii="Times New Roman" w:cs="Times New Roman" w:eastAsia="Times New Roman" w:hAnsi="Times New Roman"/>
                <w:sz w:val="14"/>
                <w:szCs w:val="14"/>
                <w:color w:val="auto"/>
              </w:rPr>
              <w:t>Warrants, each exercisable for one share of common stock</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color w:val="auto"/>
                <w:w w:val="99"/>
              </w:rPr>
              <w:t>EOSEW</w:t>
            </w:r>
          </w:p>
        </w:tc>
        <w:tc>
          <w:tcPr>
            <w:tcW w:w="3420" w:type="dxa"/>
            <w:vAlign w:val="bottom"/>
          </w:tcPr>
          <w:p>
            <w:pPr>
              <w:jc w:val="center"/>
              <w:ind w:right="248"/>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9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5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1" w:lineRule="exact"/>
        <w:rPr>
          <w:sz w:val="24"/>
          <w:szCs w:val="24"/>
          <w:color w:val="auto"/>
        </w:rPr>
      </w:pPr>
    </w:p>
    <w:p>
      <w:pPr>
        <w:ind w:right="22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17" w:lineRule="exact"/>
        <w:rPr>
          <w:sz w:val="24"/>
          <w:szCs w:val="24"/>
          <w:color w:val="auto"/>
        </w:rPr>
      </w:pPr>
    </w:p>
    <w:p>
      <w:pPr>
        <w:ind w:right="22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4" w:lineRule="exact"/>
        <w:rPr>
          <w:sz w:val="24"/>
          <w:szCs w:val="24"/>
          <w:color w:val="auto"/>
        </w:rPr>
      </w:pPr>
    </w:p>
    <w:p>
      <w:pPr>
        <w:ind w:right="50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the “large accelerated filer,” “accelerated filer,” “non-accelerated filer,” “smaller reporting company” and “emerging growth company” in Rule 12b-2 of the Exchange Act.</w:t>
      </w:r>
    </w:p>
    <w:p>
      <w:pPr>
        <w:spacing w:after="0" w:line="200" w:lineRule="exact"/>
        <w:rPr>
          <w:sz w:val="24"/>
          <w:szCs w:val="24"/>
          <w:color w:val="auto"/>
        </w:rPr>
      </w:pPr>
    </w:p>
    <w:p>
      <w:pPr>
        <w:spacing w:after="0" w:line="249"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120" w:type="dxa"/>
            <w:vAlign w:val="bottom"/>
          </w:tcPr>
          <w:p>
            <w:pPr>
              <w:ind w:left="180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Accelerated filer</w:t>
            </w:r>
          </w:p>
        </w:tc>
        <w:tc>
          <w:tcPr>
            <w:tcW w:w="2020" w:type="dxa"/>
            <w:vAlign w:val="bottom"/>
          </w:tcPr>
          <w:p>
            <w:pPr>
              <w:ind w:left="18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120" w:type="dxa"/>
            <w:vAlign w:val="bottom"/>
          </w:tcPr>
          <w:p>
            <w:pPr>
              <w:ind w:left="180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020" w:type="dxa"/>
            <w:vAlign w:val="bottom"/>
          </w:tcPr>
          <w:p>
            <w:pPr>
              <w:ind w:left="18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459"/>
        </w:trPr>
        <w:tc>
          <w:tcPr>
            <w:tcW w:w="30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Emerging growth company</w:t>
            </w:r>
          </w:p>
        </w:tc>
        <w:tc>
          <w:tcPr>
            <w:tcW w:w="2020" w:type="dxa"/>
            <w:vAlign w:val="bottom"/>
          </w:tcPr>
          <w:p>
            <w:pPr>
              <w:ind w:left="18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24" w:lineRule="exact"/>
        <w:rPr>
          <w:sz w:val="24"/>
          <w:szCs w:val="24"/>
          <w:color w:val="auto"/>
        </w:rPr>
      </w:pPr>
    </w:p>
    <w:p>
      <w:pPr>
        <w:ind w:right="560"/>
        <w:spacing w:after="0" w:line="19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4" w:lineRule="exact"/>
        <w:rPr>
          <w:sz w:val="24"/>
          <w:szCs w:val="24"/>
          <w:color w:val="auto"/>
        </w:rPr>
      </w:pPr>
    </w:p>
    <w:p>
      <w:pPr>
        <w:ind w:right="6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17" w:lineRule="exact"/>
        <w:rPr>
          <w:sz w:val="24"/>
          <w:szCs w:val="24"/>
          <w:color w:val="auto"/>
        </w:rPr>
      </w:pPr>
    </w:p>
    <w:p>
      <w:pPr>
        <w:ind w:right="120"/>
        <w:spacing w:after="0" w:line="19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4" w:lineRule="exact"/>
        <w:rPr>
          <w:sz w:val="24"/>
          <w:szCs w:val="24"/>
          <w:color w:val="auto"/>
        </w:rPr>
      </w:pPr>
    </w:p>
    <w:p>
      <w:pPr>
        <w:ind w:right="28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67"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as of the last business day of the registrant’s most recently completed second fiscal quarter, June 30, 2022, was approximately $53.7 million based upon the closing sale price of our common stock of $1.21 on that date. As of February 22, 2023, there were 84,890,812 shares of the registrant’s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20" w:type="dxa"/>
            <w:vAlign w:val="bottom"/>
            <w:gridSpan w:val="8"/>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10580" w:type="dxa"/>
            <w:vAlign w:val="bottom"/>
            <w:gridSpan w:val="2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Part I</w:t>
            </w:r>
          </w:p>
        </w:tc>
        <w:tc>
          <w:tcPr>
            <w:tcW w:w="6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1</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6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auto"/>
              </w:rPr>
              <w:t>Item 1.Business</w:t>
            </w:r>
          </w:p>
        </w:tc>
        <w:tc>
          <w:tcPr>
            <w:tcW w:w="6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3</w:t>
            </w: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6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1A. Risk Factors</w:t>
            </w:r>
          </w:p>
        </w:tc>
        <w:tc>
          <w:tcPr>
            <w:tcW w:w="6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11</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6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auto"/>
              </w:rPr>
              <w:t>Item 1B. Unresolved Staff Comments</w:t>
            </w:r>
          </w:p>
        </w:tc>
        <w:tc>
          <w:tcPr>
            <w:tcW w:w="6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31</w:t>
            </w: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gridSpan w:val="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8"/>
              </w:rPr>
              <w:t>Item 2. Properties</w:t>
            </w:r>
          </w:p>
        </w:tc>
        <w:tc>
          <w:tcPr>
            <w:tcW w:w="9180" w:type="dxa"/>
            <w:vAlign w:val="bottom"/>
            <w:tcBorders>
              <w:bottom w:val="single" w:sz="8" w:color="CCEEFF"/>
            </w:tcBorders>
            <w:gridSpan w:val="20"/>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31</w:t>
            </w: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6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auto"/>
              </w:rPr>
              <w:t>Item 3. Legal Proceedings</w:t>
            </w:r>
          </w:p>
        </w:tc>
        <w:tc>
          <w:tcPr>
            <w:tcW w:w="6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32</w:t>
            </w: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auto"/>
            </w:tcBorders>
            <w:gridSpan w:val="1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8"/>
              </w:rPr>
              <w:t>Item 4. Mine Safety Disclosures</w:t>
            </w:r>
          </w:p>
        </w:tc>
        <w:tc>
          <w:tcPr>
            <w:tcW w:w="8140" w:type="dxa"/>
            <w:vAlign w:val="bottom"/>
            <w:tcBorders>
              <w:bottom w:val="single" w:sz="8" w:color="CCEEFF"/>
            </w:tcBorders>
            <w:gridSpan w:val="14"/>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32</w:t>
            </w:r>
          </w:p>
        </w:tc>
      </w:tr>
      <w:tr>
        <w:trPr>
          <w:trHeight w:val="203"/>
        </w:trPr>
        <w:tc>
          <w:tcPr>
            <w:tcW w:w="20" w:type="dxa"/>
            <w:vAlign w:val="bottom"/>
          </w:tcPr>
          <w:p>
            <w:pPr>
              <w:spacing w:after="0"/>
              <w:rPr>
                <w:sz w:val="17"/>
                <w:szCs w:val="17"/>
                <w:color w:val="auto"/>
              </w:rPr>
            </w:pPr>
          </w:p>
        </w:tc>
        <w:tc>
          <w:tcPr>
            <w:tcW w:w="10580" w:type="dxa"/>
            <w:vAlign w:val="bottom"/>
            <w:gridSpan w:val="27"/>
          </w:tcPr>
          <w:p>
            <w:pPr>
              <w:spacing w:after="0" w:line="202" w:lineRule="exact"/>
              <w:rPr>
                <w:sz w:val="20"/>
                <w:szCs w:val="20"/>
                <w:color w:val="auto"/>
              </w:rPr>
            </w:pPr>
            <w:r>
              <w:rPr>
                <w:rFonts w:ascii="Times New Roman" w:cs="Times New Roman" w:eastAsia="Times New Roman" w:hAnsi="Times New Roman"/>
                <w:sz w:val="18"/>
                <w:szCs w:val="18"/>
                <w:color w:val="auto"/>
              </w:rPr>
              <w:t>Part II</w:t>
            </w:r>
          </w:p>
        </w:tc>
        <w:tc>
          <w:tcPr>
            <w:tcW w:w="6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32</w:t>
            </w:r>
          </w:p>
        </w:tc>
      </w:tr>
      <w:tr>
        <w:trPr>
          <w:trHeight w:val="48"/>
        </w:trPr>
        <w:tc>
          <w:tcPr>
            <w:tcW w:w="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6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5. Market for Registrant's Common Equity, Related Stockholder Matters and Issuer Purchases of Equity Securities</w:t>
            </w:r>
          </w:p>
        </w:tc>
        <w:tc>
          <w:tcPr>
            <w:tcW w:w="6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32</w:t>
            </w:r>
          </w:p>
        </w:tc>
      </w:tr>
      <w:tr>
        <w:trPr>
          <w:trHeight w:val="203"/>
        </w:trPr>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600" w:type="dxa"/>
            <w:vAlign w:val="bottom"/>
            <w:tcBorders>
              <w:top w:val="single" w:sz="8" w:color="auto"/>
            </w:tcBorders>
            <w:gridSpan w:val="25"/>
          </w:tcPr>
          <w:p>
            <w:pPr>
              <w:spacing w:after="0" w:line="202" w:lineRule="exact"/>
              <w:rPr>
                <w:sz w:val="20"/>
                <w:szCs w:val="20"/>
                <w:color w:val="auto"/>
              </w:rPr>
            </w:pPr>
            <w:r>
              <w:rPr>
                <w:rFonts w:ascii="Times New Roman" w:cs="Times New Roman" w:eastAsia="Times New Roman" w:hAnsi="Times New Roman"/>
                <w:sz w:val="18"/>
                <w:szCs w:val="18"/>
                <w:color w:val="auto"/>
              </w:rPr>
              <w:t>Item 6. [Reserved]</w:t>
            </w:r>
          </w:p>
        </w:tc>
        <w:tc>
          <w:tcPr>
            <w:tcW w:w="186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32</w:t>
            </w: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6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7. Management's Discussion and Analysis of Financial Condition and Results of Operations</w:t>
            </w:r>
          </w:p>
        </w:tc>
        <w:tc>
          <w:tcPr>
            <w:tcW w:w="6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32</w:t>
            </w:r>
          </w:p>
        </w:tc>
      </w:tr>
      <w:tr>
        <w:trPr>
          <w:trHeight w:val="203"/>
        </w:trPr>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980" w:type="dxa"/>
            <w:vAlign w:val="bottom"/>
            <w:tcBorders>
              <w:top w:val="single" w:sz="8" w:color="auto"/>
            </w:tcBorders>
            <w:gridSpan w:val="22"/>
          </w:tcPr>
          <w:p>
            <w:pPr>
              <w:spacing w:after="0" w:line="202" w:lineRule="exact"/>
              <w:rPr>
                <w:sz w:val="20"/>
                <w:szCs w:val="20"/>
                <w:color w:val="auto"/>
              </w:rPr>
            </w:pPr>
            <w:r>
              <w:rPr>
                <w:rFonts w:ascii="Times New Roman" w:cs="Times New Roman" w:eastAsia="Times New Roman" w:hAnsi="Times New Roman"/>
                <w:sz w:val="18"/>
                <w:szCs w:val="18"/>
                <w:color w:val="auto"/>
              </w:rPr>
              <w:t>Item 7A.Quantitative and Qualitative Disclosure about Market Risk</w:t>
            </w:r>
          </w:p>
        </w:tc>
        <w:tc>
          <w:tcPr>
            <w:tcW w:w="3480" w:type="dxa"/>
            <w:vAlign w:val="bottom"/>
            <w:tcBorders>
              <w:top w:val="single" w:sz="8" w:color="CCEEFF"/>
            </w:tcBorders>
            <w:gridSpan w:val="4"/>
          </w:tcPr>
          <w:p>
            <w:pPr>
              <w:spacing w:after="0"/>
              <w:rPr>
                <w:sz w:val="17"/>
                <w:szCs w:val="17"/>
                <w:color w:val="auto"/>
              </w:rPr>
            </w:pPr>
          </w:p>
        </w:tc>
        <w:tc>
          <w:tcPr>
            <w:tcW w:w="64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46</w:t>
            </w: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auto"/>
            </w:tcBorders>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Item 8. Financial Statements and Supplementary Data</w:t>
            </w:r>
          </w:p>
        </w:tc>
        <w:tc>
          <w:tcPr>
            <w:tcW w:w="6580" w:type="dxa"/>
            <w:vAlign w:val="bottom"/>
            <w:tcBorders>
              <w:bottom w:val="single" w:sz="8" w:color="CCEEFF"/>
            </w:tcBorders>
            <w:gridSpan w:val="9"/>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47</w:t>
            </w: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6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auto"/>
              </w:rPr>
              <w:t>Item 9. Changes in and Disagreements with Accountants on Accounting and Financial Disclosures</w:t>
            </w:r>
          </w:p>
        </w:tc>
        <w:tc>
          <w:tcPr>
            <w:tcW w:w="6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47</w:t>
            </w: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6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9A. Controls and Procedures</w:t>
            </w:r>
          </w:p>
        </w:tc>
        <w:tc>
          <w:tcPr>
            <w:tcW w:w="6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47</w:t>
            </w:r>
          </w:p>
        </w:tc>
      </w:tr>
      <w:tr>
        <w:trPr>
          <w:trHeight w:val="203"/>
        </w:trPr>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40" w:type="dxa"/>
            <w:vAlign w:val="bottom"/>
            <w:tcBorders>
              <w:top w:val="single" w:sz="8" w:color="auto"/>
            </w:tcBorders>
            <w:gridSpan w:val="13"/>
          </w:tcPr>
          <w:p>
            <w:pPr>
              <w:spacing w:after="0" w:line="202" w:lineRule="exact"/>
              <w:rPr>
                <w:sz w:val="20"/>
                <w:szCs w:val="20"/>
                <w:color w:val="auto"/>
              </w:rPr>
            </w:pPr>
            <w:r>
              <w:rPr>
                <w:rFonts w:ascii="Times New Roman" w:cs="Times New Roman" w:eastAsia="Times New Roman" w:hAnsi="Times New Roman"/>
                <w:sz w:val="18"/>
                <w:szCs w:val="18"/>
                <w:color w:val="auto"/>
              </w:rPr>
              <w:t>Item 9B. Other Information</w:t>
            </w:r>
          </w:p>
        </w:tc>
        <w:tc>
          <w:tcPr>
            <w:tcW w:w="8020" w:type="dxa"/>
            <w:vAlign w:val="bottom"/>
            <w:tcBorders>
              <w:top w:val="single" w:sz="8" w:color="CCEEFF"/>
            </w:tcBorders>
            <w:gridSpan w:val="13"/>
          </w:tcPr>
          <w:p>
            <w:pPr>
              <w:spacing w:after="0"/>
              <w:rPr>
                <w:sz w:val="17"/>
                <w:szCs w:val="17"/>
                <w:color w:val="auto"/>
              </w:rPr>
            </w:pPr>
          </w:p>
        </w:tc>
        <w:tc>
          <w:tcPr>
            <w:tcW w:w="64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48</w:t>
            </w: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6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9C. Disclosure Regarding Foreign Jurisdictions that Prevent Inspections</w:t>
            </w:r>
          </w:p>
        </w:tc>
        <w:tc>
          <w:tcPr>
            <w:tcW w:w="6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49</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78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8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10580" w:type="dxa"/>
            <w:vAlign w:val="bottom"/>
            <w:gridSpan w:val="27"/>
          </w:tcPr>
          <w:p>
            <w:pPr>
              <w:spacing w:after="0" w:line="202" w:lineRule="exact"/>
              <w:rPr>
                <w:sz w:val="20"/>
                <w:szCs w:val="20"/>
                <w:color w:val="auto"/>
              </w:rPr>
            </w:pPr>
            <w:r>
              <w:rPr>
                <w:rFonts w:ascii="Times New Roman" w:cs="Times New Roman" w:eastAsia="Times New Roman" w:hAnsi="Times New Roman"/>
                <w:sz w:val="18"/>
                <w:szCs w:val="18"/>
                <w:color w:val="auto"/>
              </w:rPr>
              <w:t>Part III</w:t>
            </w:r>
          </w:p>
        </w:tc>
        <w:tc>
          <w:tcPr>
            <w:tcW w:w="6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50</w:t>
            </w:r>
          </w:p>
        </w:tc>
      </w:tr>
      <w:tr>
        <w:trPr>
          <w:trHeight w:val="48"/>
        </w:trPr>
        <w:tc>
          <w:tcPr>
            <w:tcW w:w="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auto"/>
            </w:tcBorders>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Item 10. Directors, Executive Officers and Corporate Governance</w:t>
            </w:r>
          </w:p>
        </w:tc>
        <w:tc>
          <w:tcPr>
            <w:tcW w:w="5720" w:type="dxa"/>
            <w:vAlign w:val="bottom"/>
            <w:tcBorders>
              <w:bottom w:val="single" w:sz="8" w:color="CCEEFF"/>
            </w:tcBorders>
            <w:gridSpan w:val="8"/>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50</w:t>
            </w: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6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auto"/>
              </w:rPr>
              <w:t>Item 11. Executive Compensation</w:t>
            </w:r>
          </w:p>
        </w:tc>
        <w:tc>
          <w:tcPr>
            <w:tcW w:w="6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50</w:t>
            </w: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60" w:type="dxa"/>
            <w:vAlign w:val="bottom"/>
            <w:tcBorders>
              <w:bottom w:val="single" w:sz="8" w:color="auto"/>
            </w:tcBorders>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Item 12. Security Ownership of Certain Beneficial Owner and Management and Related Stockholder Matters</w:t>
            </w:r>
          </w:p>
        </w:tc>
        <w:tc>
          <w:tcPr>
            <w:tcW w:w="2600" w:type="dxa"/>
            <w:vAlign w:val="bottom"/>
            <w:tcBorders>
              <w:bottom w:val="single" w:sz="8" w:color="CCEEFF"/>
            </w:tcBorders>
            <w:gridSpan w:val="2"/>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50</w:t>
            </w: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6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auto"/>
              </w:rPr>
              <w:t>Item 13. Certain Relationships and Related Transactions, and Director Independence</w:t>
            </w:r>
          </w:p>
        </w:tc>
        <w:tc>
          <w:tcPr>
            <w:tcW w:w="6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50</w:t>
            </w:r>
          </w:p>
        </w:tc>
      </w:tr>
      <w:tr>
        <w:trPr>
          <w:trHeight w:val="48"/>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60" w:type="dxa"/>
            <w:vAlign w:val="bottom"/>
            <w:gridSpan w:val="2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14. Principal Accounting Fees and Services</w:t>
            </w:r>
          </w:p>
        </w:tc>
        <w:tc>
          <w:tcPr>
            <w:tcW w:w="6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50</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78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0580" w:type="dxa"/>
            <w:vAlign w:val="bottom"/>
            <w:gridSpan w:val="27"/>
          </w:tcPr>
          <w:p>
            <w:pPr>
              <w:spacing w:after="0" w:line="202" w:lineRule="exact"/>
              <w:rPr>
                <w:sz w:val="20"/>
                <w:szCs w:val="20"/>
                <w:color w:val="auto"/>
              </w:rPr>
            </w:pPr>
            <w:r>
              <w:rPr>
                <w:rFonts w:ascii="Times New Roman" w:cs="Times New Roman" w:eastAsia="Times New Roman" w:hAnsi="Times New Roman"/>
                <w:sz w:val="18"/>
                <w:szCs w:val="18"/>
                <w:color w:val="auto"/>
              </w:rPr>
              <w:t>Part IV</w:t>
            </w:r>
          </w:p>
        </w:tc>
        <w:tc>
          <w:tcPr>
            <w:tcW w:w="6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50</w:t>
            </w:r>
          </w:p>
        </w:tc>
      </w:tr>
      <w:tr>
        <w:trPr>
          <w:trHeight w:val="48"/>
        </w:trPr>
        <w:tc>
          <w:tcPr>
            <w:tcW w:w="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auto"/>
            </w:tcBorders>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Item 15. Exhibits and Financial Statement Schedules</w:t>
            </w:r>
          </w:p>
        </w:tc>
        <w:tc>
          <w:tcPr>
            <w:tcW w:w="6660" w:type="dxa"/>
            <w:vAlign w:val="bottom"/>
            <w:tcBorders>
              <w:bottom w:val="single" w:sz="8" w:color="CCEEFF"/>
            </w:tcBorders>
            <w:gridSpan w:val="10"/>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50</w:t>
            </w:r>
          </w:p>
        </w:tc>
      </w:t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60" w:type="dxa"/>
            <w:vAlign w:val="bottom"/>
            <w:gridSpan w:val="26"/>
          </w:tcPr>
          <w:p>
            <w:pPr>
              <w:spacing w:after="0" w:line="202" w:lineRule="exact"/>
              <w:rPr>
                <w:sz w:val="20"/>
                <w:szCs w:val="20"/>
                <w:color w:val="auto"/>
              </w:rPr>
            </w:pPr>
            <w:r>
              <w:rPr>
                <w:rFonts w:ascii="Times New Roman" w:cs="Times New Roman" w:eastAsia="Times New Roman" w:hAnsi="Times New Roman"/>
                <w:sz w:val="18"/>
                <w:szCs w:val="18"/>
                <w:color w:val="auto"/>
              </w:rPr>
              <w:t>Item 16. Form 10-K Summary</w:t>
            </w:r>
          </w:p>
        </w:tc>
        <w:tc>
          <w:tcPr>
            <w:tcW w:w="6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117</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All statements included in this Annual Report on Form 10-K ("Annual Report"), other than statements or characterizations of historical fact, are forward-looking statements within the meaning of the Private Securities Litigation Reform Act of 1995. The words "anticipate," "believe," "continue," "could," "estimate," "expect," "intends," "may," "might," "plan," "possible," "potential," "predict," "project," "should," "would" and similar expressions, as they relate to us, are intended to identify forward-looking statements. These statements appear in a number of places in this Annual Report and include statements regarding the intent, belief or current expectations of Eos Energy Enterprises, Inc.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 Factors which may cause actual results to differ materially from current expectations include, but are not limited to:</w:t>
      </w:r>
    </w:p>
    <w:p>
      <w:pPr>
        <w:spacing w:after="0" w:line="23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adversely affecting the business in which we are engaged;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forecast trends accurately;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generate cash, service indebtedness and incur additional indebtedness;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2" w:name="page3"/>
    <w:bookmarkEnd w:id="2"/>
    <w:p>
      <w:pPr>
        <w:spacing w:after="0" w:line="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raise financing in the future;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amount of final tax credits available to our customers or to Eos Energy Enterprises, Inc. pursuant to the Inflation Reduction Act;</w:t>
      </w:r>
    </w:p>
    <w:p>
      <w:pPr>
        <w:spacing w:after="0" w:line="63" w:lineRule="exact"/>
        <w:rPr>
          <w:rFonts w:ascii="Times New Roman" w:cs="Times New Roman" w:eastAsia="Times New Roman" w:hAnsi="Times New Roman"/>
          <w:sz w:val="18"/>
          <w:szCs w:val="18"/>
          <w:color w:val="auto"/>
        </w:rPr>
      </w:pPr>
    </w:p>
    <w:p>
      <w:pPr>
        <w:ind w:left="660" w:right="60" w:hanging="328"/>
        <w:spacing w:after="0" w:line="313" w:lineRule="auto"/>
        <w:tabs>
          <w:tab w:leader="none" w:pos="65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uncertainties around our ability to secure conditional commitment in a timely manner or at all, or final approval of a loan from the Department of Energy, the Loan Programs Office, or the timing of funding and the final size of any loan if approved;</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possibility of a government shutdown while we remain in the due diligence phase with the U.S. Department of Energy Loan Programs Office;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develop efficient manufacturing processes to scale and to forecast related costs and efficiencies accurately;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our revenue and operating results;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competition from existing or new competitors;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failure to convert firm order backlog to revenue;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security breaches in our information technology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legal proceedings or claims;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evolving energy policies in the United States and other countries and the potential costs of regulatory compliance;</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changes to U.S. trade environment;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resulting from the impact of global pandemics, including the novel coronavirus, Covid-19;</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maintain the listing of our shares of common stock on NASDAQ;</w:t>
      </w:r>
    </w:p>
    <w:p>
      <w:pPr>
        <w:spacing w:after="0" w:line="63" w:lineRule="exact"/>
        <w:rPr>
          <w:rFonts w:ascii="Times New Roman" w:cs="Times New Roman" w:eastAsia="Times New Roman" w:hAnsi="Times New Roman"/>
          <w:sz w:val="18"/>
          <w:szCs w:val="18"/>
          <w:i w:val="1"/>
          <w:iCs w:val="1"/>
          <w:color w:val="auto"/>
        </w:rPr>
      </w:pPr>
    </w:p>
    <w:p>
      <w:pPr>
        <w:ind w:left="660" w:right="180" w:hanging="328"/>
        <w:spacing w:after="0" w:line="313" w:lineRule="auto"/>
        <w:tabs>
          <w:tab w:leader="none" w:pos="655"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grow our business and manage growth profitably, maintain relationships with customers and suppliers and retain our management and key employees;</w:t>
      </w:r>
    </w:p>
    <w:p>
      <w:pPr>
        <w:ind w:left="660" w:hanging="328"/>
        <w:spacing w:after="0"/>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adverse changes in general economic conditions, including inflationary pressures and increased interest rates;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 from supply chain disruptions and other impacts of geopolitical conflict;</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applicable laws or regulations;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factors detailed under the section entitled “Risk Factors” herein.</w:t>
      </w:r>
    </w:p>
    <w:p>
      <w:pPr>
        <w:spacing w:after="0" w:line="158"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i w:val="1"/>
          <w:iCs w:val="1"/>
          <w:color w:val="auto"/>
        </w:rPr>
        <w:t>More information on these important factors that could cause actual results to differ materially from those projected in the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we make in this Annual Report are set forth in Part I, Item 1A under “Risk Factors”. In addition, there may be other factors of which we are presently unaware or that we currently deem immaterial that could cause our actual results to be materially different from the results referenced in the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w:t>
      </w:r>
    </w:p>
    <w:p>
      <w:pPr>
        <w:spacing w:after="0" w:line="9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Eos Energy Enterprises, Inc. (the “Company,” “we,” “us,” “our,” and “Eos”), a Delaware corporation, was originally incorporated in Delaware on June 3, 2019, as a special purpose acquisition company under the name B. Riley Principal Merger Corp. II., in order to acquire a company or companies, through a merger, capital stock exchange, asset acquisition, stock purchase, reorganization or similar business combination. Upon the completion of a business combination on November 16, 2020 (the "Merger"), the Company changed its name to “Eos Energy Enterprises, Inc.” The Company’s common shares started trading under the ticker NASDAQ: EOSE on November 16, 2020.</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8, 2021, the Company entered into a unit purchase agreement (the “Purchase Agreement”) with Holtec Power, Inc. (“Holtec”), in accordance with the terms and conditions of which the Company purchased from Holtec the remaining 51% interest in HI-POWER, LLC (“Hi-Power”) that was not already owned by the Company. Hi-Power was incorporated as a joint venture between the Company and Holtec in 2019. In connection with the transaction, the Company also entered into a transition services agreement and a sublease with Holtec. The transaction closed on April 9, 2021. Following the consummation of the transactions set forth in the Purchase Agreement (the “Transactions”), Hi-Power became a 100% indirect, wholly-owned subsidiary of the Company and the obligations of the parties under the Hi-Power joint venture terminated.</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designs, develops, manufactures, and markets innovative zinc-based energy storage solutions for utility-scale, microgrid, and commercial &amp; industrial (“C&amp;I”) applications. We believe that our batteries have the potential to emerge as a leading alternative to Lithium-ion (“Li-ion”) batteries for such long-duration applications. The Company has developed a broad range of intellectual property with multiple patents covering unique battery chemistry, mechanical product design, energy block configuration and a software operating system (Battery Management System or "BMS"). The BMS software uses proprietary Eos-developed algorithms and includes ambient and battery temperature sensors, as well as voltage and electric current sensors for the electrical strings and the system. The Company focuses on designing, developing, producing and selling safe, reliable, long-lasting, low-cost turn-key alternating current (“AC”) integrated systems using Eos’ direct current (“DC”) Battery Energy Storage System (“BESS”). The Company’s primary applications focus on integrating battery storage solutions with: (1) renewable energy systems that are connected to the utility power grid; (2) renewable energy systems that are not connected to the utility power grid; (3) storage systems utilized to relieve congestion; and (4) storage systems to assist C&amp;I customers in reducing their peak energy usage or participating in the utilities ancillary and demand response markets. The Company has a manufacturing facility in Turtle Creek, Pennsylvania to produce DC energy blocks with an integrated BMS. The Company’s primary market is North America 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opportunistic growth opportunities in Europe, Oceania, Africa, and Asia. The Company has one operating and reportable segment.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Products and Services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offers an innovative Znyth™ technology BESS designed to provide the operating flexibility to manage increased grid complexity and price volatility resulting from an overall increase in renewable energy generation and a congested grid coming from an increase in electricity demand growth. The Company’s BESS is a validated chemistry with accessible non-precious earth components in a durable design that delivers results in even the most extreme temperatures and conditions. The system is safe, flexible, scalable, sustainable and manufactured in the United States, using raw materials primarily sourced in the United States. The Company’s BESS is the core of its innovative systems that today provide utilities, independent power producers, renewables developers, and C&amp;I customers with a validated, reliable energy storage alternative for 3- to 12-hour discharge durations. The Company’s innovative spirit extends to its manufacturing strategy, which includes proprietary equipment and processes that allow the Company to scale quickly and with a lower capital intensity than other similar technologies. The Company believes its technology will continue to reduce cost and improve the operating efficiency and competitiveness of its BESS.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 w:name="page5"/>
    <w:bookmarkEnd w:id="4"/>
    <w:p>
      <w:pPr>
        <w:spacing w:after="0" w:line="1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addition to the Company’s BESS, the Company currently offers: (a) a BMS which provides a remote asset monitoring capability and service to track the performance and health of the Company’s BESS and to proactively identify future system performance issues through predictive analytics; (b) project management services to ensure the process of implementing the Company’s BESS are coordinated in conjunction with the customer’s overall project plans;</w:t>
      </w:r>
    </w:p>
    <w:p>
      <w:pPr>
        <w:spacing w:after="0" w:line="1" w:lineRule="exact"/>
        <w:rPr>
          <w:sz w:val="20"/>
          <w:szCs w:val="20"/>
          <w:color w:val="auto"/>
        </w:rPr>
      </w:pPr>
    </w:p>
    <w:p>
      <w:pPr>
        <w:ind w:right="20" w:firstLine="8"/>
        <w:spacing w:after="0" w:line="260" w:lineRule="auto"/>
        <w:tabs>
          <w:tab w:leader="none" w:pos="2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commissioning services that ensure the customer’s installation of the BESS meets the performance expected by the customer; and (d) long-term maintenance plans to maintain optimal operating performance of the Company’s systems</w:t>
      </w:r>
      <w:r>
        <w:rPr>
          <w:rFonts w:ascii="Times New Roman" w:cs="Times New Roman" w:eastAsia="Times New Roman" w:hAnsi="Times New Roman"/>
          <w:sz w:val="18"/>
          <w:szCs w:val="18"/>
          <w:b w:val="1"/>
          <w:bCs w:val="1"/>
          <w:color w:val="auto"/>
        </w:rPr>
        <w: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Raw Materials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believe we have sufficient sources for the materials, components, services and supplies used in our manufacturing activities, we are highly dependent on the availability of essential materials, parts and subassemblies from our suppliers. The predominant raw materials required for our current generation product ("Gen 2.3") are zinc-bromide, titanium, felt, steel, and resin. The predominant raw materials that are required for our next generation Z3™ battery product ("Z3") are zinc halide salts, felt, resin, titanium, and conductive polymer.</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both domestic and international suppliers for our raw materials purchases. In 2022, approximately 80% of our raw materials were procured through domestic suppliers and approximately 20% were procured through international suppliers. We expect our raw materials purchases to shift to approximately 90% domestic suppliers and 10% international suppliers for the next generation Z3 battery, which is expected to launch in the second half of 2023.</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experienced some supply chain disruptions in 2022, primarily related to logistics, which impacted our results in 2022. We do not expect near term availability and concerns with respect to materials, components or supplies related to our Z3 production that would materially impact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believe that energy storage is on the verge of wide-scale global deployment, becoming a critical element of a low-carbon, flexible, resilient future electric grid. In the past several years, there has been a dramatic increase of variable renewable generation in the U.S. power sector, and we expect significant growth in the future. At the same time, there have been significant cost declines in energy storage technologies (particularly batteries) over the past few years, and cheaper energy storage technologies are under development. These converging factors have increased attention on the potential role of energy storage as a critical asset for decarbonization and reliable electricity for the evolving grid. Additionally, there are significant government incentives, such as the recently enacted Inflation Reduction Act of 2022 ("IRA"), that includes significant tax credits, that the Company could benefit from in the near future. See </w:t>
      </w:r>
      <w:r>
        <w:rPr>
          <w:rFonts w:ascii="Times New Roman" w:cs="Times New Roman" w:eastAsia="Times New Roman" w:hAnsi="Times New Roman"/>
          <w:sz w:val="18"/>
          <w:szCs w:val="18"/>
          <w:i w:val="1"/>
          <w:iCs w:val="1"/>
          <w:color w:val="auto"/>
        </w:rPr>
        <w:t>Regulations</w:t>
      </w:r>
      <w:r>
        <w:rPr>
          <w:rFonts w:ascii="Times New Roman" w:cs="Times New Roman" w:eastAsia="Times New Roman" w:hAnsi="Times New Roman"/>
          <w:sz w:val="18"/>
          <w:szCs w:val="18"/>
          <w:color w:val="auto"/>
        </w:rPr>
        <w:t xml:space="preserve"> section in Item 1 - Business.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batteries increasingly become economical on a levelized cost of storage basis, we believe that utility-scale battery technology will be increasingly beneficial for a variety of solutions, including solar-plus-storage, peaking capacity, grid congestion and wind-plus-storage. We anticipate rapid increases in utility scale, co-located renewable energy-plus-storage projects, especially in the United States, with most near and medium-term installations qualifying as utility scale. By combining a battery with an intermittent renewable energy source, such as wind or solar, the energy stored in the battery can be used when the intermittent source is not available, for example if the wind is not blowing or the sun is not shining.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continues to invest in the design and development of its next generation product, the Eos Z3™ battery, which builds off the same electrochemistry that has not fundamentally changed for the better part of a decade. The next generation Z3 battery is being designed to reduce cost and weight while improving manufacturability and system performance. The Z3 battery is cost-effective and has a simpler tub design with 50% fewer cells and 98% fewer welds per battery module. The Company expects the Z3 battery will give customers the benefit of two times energy density per square foot with the same safety and reliability as the previous generation battery.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to launch the Z3 battery in the second half of 2023. The Company expects to scale the Z3 battery production at a cost competitive position, with the opportunity for revenue growth.</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believes the simplicity, flexibility, and safety of our products are what the market desires. In addition, we understand that the Inflation Reduction Act will give us a competitive advantage with production tax credits (“PTC”) that can be claimed on battery components manufactured domestically, in addition to a tax credit for projects that satisfy domestic content requirements. See </w:t>
      </w:r>
      <w:r>
        <w:rPr>
          <w:rFonts w:ascii="Times New Roman" w:cs="Times New Roman" w:eastAsia="Times New Roman" w:hAnsi="Times New Roman"/>
          <w:sz w:val="18"/>
          <w:szCs w:val="18"/>
          <w:i w:val="1"/>
          <w:iCs w:val="1"/>
          <w:color w:val="auto"/>
        </w:rPr>
        <w:t>Regulations</w:t>
      </w:r>
      <w:r>
        <w:rPr>
          <w:rFonts w:ascii="Times New Roman" w:cs="Times New Roman" w:eastAsia="Times New Roman" w:hAnsi="Times New Roman"/>
          <w:sz w:val="18"/>
          <w:szCs w:val="18"/>
          <w:color w:val="auto"/>
        </w:rPr>
        <w:t xml:space="preserve"> section in Item 1 -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achieved third-party product safety certification from Underwriter Laboratories (“UL”) for the Company’s current energy storage system in August 2021. The Company is preparing to provide a Declaration of Conformity for the Company’s energy storage system for the European marketplace.</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continued production of its current generation product and enhanced its factory testing protocols during 2022, to ensure that its battery energy storage systems will operate at expected and optimized performance.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 and Opportunities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believes the world wants to generate energy with sustainable renewable energy sources, however this objective creates imbalances in the existing energy grid. Managing and mitigating those imbalances will require multiple energy storage technologies to provide safe and reliable power. Until now, most energy storage systems have been in short durations, meaning they have reliably provided power for less than four hours. The Company believes the future will require mid-duration (6-12 hour) BESS that provide the flexibility to match intermittency and congestion. The Gen 2.3 product and the next generation Z3 product are predominantly composed of five earth-abundant, readily available raw materials with mature supply chains that allow the Company to drive cost down as it scales up production.</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the Russian-Ukrainian war has added more urgency to global efforts for energy security as the reliance on Russian gas has led European policymakers to take action to accelerate the transition to alternative sources of power, including clean energy, and to increase stationary energy storage deployments. The Company also believes volatility in energy prices will be a catalyst for global efforts to decarbonize the grid, which is critical for meeting climate change goals.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Li-ion batteries are the prevailing form of stationary energy storage, the costs of Li-ion energy storage systems have increased significantly as final product availability remains extremely limited due to the lack of availability and significant increases in cost of Li-ion battery raw material components, including lithium carbonate, nickel, and cobalt as well as the high demand for Li-ion batteries, driven primarily by Electric Vehicles ("EV"). Lithium is one of the key components in EV batteries, but global supplies are under strain because of rising EV demand. According to the World Economic Forum report released July 20, 2022, the world could face lithium shortages by 2025, because demand could triple between 2020 and 2025, and supply is stretched. Lithium supply faces challenges not only from surging demand, but because resources are concentrated in a few places.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believes it is manufacturing at scale the first commercially available battery system that is not based on Li-ion chemistry. The Company anticipates that its BESS using Znyth™ battery technology will gradually take market share of the stationary storage market, given its 100% depth of discharge capability, flattened degradation curve and 3- to 12-hour duration, as well as other characteristics related to safety and the cost of operating and maintaining its BESS. The Company’s ability to successfully deploy its BESS technology and gain market share in the energy storage market will be important to the growth of the Company’s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success of our business depends, in part, on our ability to maintain and protect our proprietary technology, information, processes and know-how. We rely primarily on patent, trademark, copyright and trade secret laws in the United States and similar laws in other countries, confidentiality agreements and procedures and other contractual arrangements. These patents are subject to regulatory approval by the respective governing entity where the patent was filed. A majority of our patents relate to cell chemistry, architecture and battery mechanical design, system packaging and BMS. We continually assess opportunities to seek patent protection for those aspects of our technology, design, methodologies and processes that we believe provide significant competitive advantages.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periodically assesses its patent portfolio in relation to the patents’ utility and materiality to the current operation and future strategy of the business and abandons applications or ceases to maintain patents which are deemed immaterial to our current or future business operations. As of December 31, 2022, we have 22 patent families and 93 patents pending, issued, or published in 23 countries, protecting our technology and system architecture. The Company's key patents, related to its most recent generation product and future products, are not scheduled to expire until 2035 or later.</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Company relies on trade secret protection and confidentiality agreements to safeguard our interests with respect to proprietary know-how that is not patentable and processes for which patents are difficult to enforce. We believe that many key elements of our manufacturing processes involve proprietary know-how, technology or data that are not covered by patents or patent applications, including technical processes, test equipment designs, algorithms and procedures. All of our research and development personnel have entered into confidentiality and proprietary information agreements with us. These agreements address intellectual property protection issues and requires our employees to assign to us all of the inventions, designs and technologies that Company personnel develop during the course of their employment. We also require our customers and business partners to enter into confidentiality agreements before we disclose any sensitive aspects of our technology or business plans.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Programs and Incentives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Globally, both the operations of our business by us and the ownership of our products by our customers are impacted by various government programs, incentives and other arrangements.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Department of Energy’s Renewable Energy Projects and Efficient Energy Loan Program</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currently in the process of negotiating additional outside capital under the U.S. Department of Energy’s (“DOE”) Loan Guarantee Solicitation for Applications for Renewable Energy Projects and Efficient Energy Projects (the “DOE Loan Program”), and is in the due diligence phase of negotiations with the DOE. During this stage, the Company and the DOE Loan Programs Office will work to negotiate a term sheet setting out the principal terms and conditions of the loan. While there can be no assurance that the Company will be able to secure such loan from the DOE within the expected timeframe or on terms that are acceptable to the Company, we believe the Company is positioned well in this process because our products and technologies enable greenhouse gas emission reduction and decarbonization. In addition, we believe that the Company’s Made in America strategy and high-quality manufacturing jobs align with many of the policy objectives of the IRA. Refer to Part 1, Item 1A- Risk Factors section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Reduction Act of 2022 (“IRA”)</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IRA features significant economic incentives for both energy storage customers and manufacturers for projects placed in service after December 31, 2022. One of the most important features of the IRA legislation is that it offers a 10-year term tax credit, whereas historically similar industrial credits have been shorter in duration. Customers placing new energy storage facilities in service after this date will be allowed to claim at least a thirty percent investment tax credit (“ITC”) under certain conditions. The IRA also offers an extra ten percent credit if the project is in an “energy community” and another ten percent credit if the project satisfies domestic content requirements, which will be set forth when the implementing regulations are finalized. The ten percent bonus for domestic content could represent a strategic advantage for the Company resulting from the Company’s near-sourcing and Made in America strategy, and we currently anticipate that projects utilizing Eos batteries will qualify for the bonus.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Starting in 2023, there are also meaningful PTC that can be claimed on battery components manufactured in the US and sold to customers, which could apply to the Company, including credits for ten percent of the cost incurred to make electrode active materials, $35 per kWh of capacity of battery cells, and $10 per kWh of capacity of battery modules. These credits are cumulative, meaning the Company expects to be able to claim the tax credit amount for each component. The IRA directs the Internal Revenue Service to pay manufacturers the cash value, also known as direct pay, of PTCs for making battery components, and therefore, these credits may be a new source of cash flow for Eos. The direct pay option is valid for up to five tax years, after which any such tax credits can be sold to other companies for cash.</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Benefits for energy storage customers and manufacturers will begin in 2023. The Company has worked proactively and in partnership with its customers to push out orders originally scheduled to be produced and delivered in 2022 to 2023, so that both Eos and its customers can better realize the benefits offered by the PTC and ITC, respectively. See Part 1, Item 1A- Risk Factors section for further discussion.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 Programs and Incentives:</w:t>
      </w:r>
    </w:p>
    <w:p>
      <w:pPr>
        <w:spacing w:after="0" w:line="160" w:lineRule="exact"/>
        <w:rPr>
          <w:sz w:val="20"/>
          <w:szCs w:val="20"/>
          <w:color w:val="auto"/>
        </w:rPr>
      </w:pPr>
    </w:p>
    <w:p>
      <w:pPr>
        <w:jc w:val="both"/>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California - In 2022, California Energy Commission (“CEC”), Indian Energy, and the Company agreed to bring its innovative Made in America clean energy storage solution for Viejas Enterprise Microgrids project to the Viejas Band of Kumeyaay Indians. This includes an order for a 35 MWh energy storage system capable of 10-hour discharge duration. The order, worth approximately $13.5 million, is funded by a grant through the CEC’s Long-Duration Energy Storage (“LDES”) Program as part of a project being carried out by Indian Energy, a 100 percent Native American-owned business, to create a first-of-its-kind resilient clean energy microgrid;</w:t>
      </w:r>
    </w:p>
    <w:p>
      <w:pPr>
        <w:spacing w:after="0" w:line="102" w:lineRule="exact"/>
        <w:rPr>
          <w:rFonts w:ascii="Times New Roman" w:cs="Times New Roman" w:eastAsia="Times New Roman" w:hAnsi="Times New Roman"/>
          <w:sz w:val="18"/>
          <w:szCs w:val="18"/>
          <w:color w:val="auto"/>
        </w:rPr>
      </w:pPr>
    </w:p>
    <w:p>
      <w:pPr>
        <w:jc w:val="both"/>
        <w:ind w:left="660" w:hanging="328"/>
        <w:spacing w:after="0"/>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Pennsylvania - Under the State of Pennsylvania's Redevelopment Assistance Capital Program ("RACP"), the Company was selected to enter into a grant agreement and, subject to the Company’s successful completion of the related application process, may be eligible to receive up to $2 million in funding for its Turtle Creek project in Allegheny County, PA. RACP funding is intended to provide much needed economic stimulus to the Pennsylvania economy and it is intended to assist in the immediate creation of quality, family-sustaining jobs for Pennsylvanians;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Jersey plans to initiate an energy storage incentive program totaling $180 million over three years;</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Michigan created a roadmap for the future of storage in the state, including a proposed deployment target of 4 Gigawatts ("GW") of energy storage by 2040;</w:t>
      </w:r>
    </w:p>
    <w:p>
      <w:pPr>
        <w:spacing w:after="0" w:line="8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Northwest Power and Conservation Council’s six-year action plan called for 3.5 GW of new renewable sources by 2027, including a 4-hour standalone and paired battery storage systems; and</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doubled its energy storage target from 3 GW to 6 GW in the same 2030 timeframe. Previous studies indicated the state will need at least 15 GW of storage by 2040 to support zero-emission goals.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assurance that these programs and incentives will benefit the Company as expected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markets for our products are competitive, and we compete with manufacturers of traditional Li-ion and other battery storage systems. Factors affecting customers when choosing from different battery storage systems in the market include:</w:t>
      </w:r>
    </w:p>
    <w:p>
      <w:pPr>
        <w:spacing w:after="0" w:line="9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and features;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sustainability;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lifetime cost of ownership;</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product lifespan;</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and energy efficiency;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the battery's storage;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and support;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U.S.-based manufacturing and sourced materials.</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Znyth</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battery system competes with products from traditional Li-ion battery manufacturers and solution providers such as Samsung Electronics Co., Ltd, LG Chem, Ltd., Tesla, BYD, Sungrow, and Contemporary Amperex Technology Co. Limited. Our longer duration competitors include ESS Inc. and Lockheed Martin. We believe that our current and next generation battery system offers significant technology, safety and cost advantages that reflect a competitive differentiation over Li-ion storage technologies.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Strengths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following strengths of our business distinguish us from our competitors and position us to capitalize on the expected continued growth in the energy storage market:</w:t>
      </w:r>
    </w:p>
    <w:p>
      <w:pPr>
        <w:spacing w:after="0" w:line="92" w:lineRule="exact"/>
        <w:rPr>
          <w:sz w:val="20"/>
          <w:szCs w:val="20"/>
          <w:color w:val="auto"/>
        </w:rPr>
      </w:pPr>
    </w:p>
    <w:p>
      <w:pPr>
        <w:jc w:val="both"/>
        <w:ind w:left="660" w:hanging="328"/>
        <w:spacing w:after="0" w:line="25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Differentiated Product- </w:t>
      </w:r>
      <w:r>
        <w:rPr>
          <w:rFonts w:ascii="Times New Roman" w:cs="Times New Roman" w:eastAsia="Times New Roman" w:hAnsi="Times New Roman"/>
          <w:sz w:val="18"/>
          <w:szCs w:val="18"/>
          <w:color w:val="auto"/>
        </w:rPr>
        <w:t>Lithium cells must be kept within a narrow temperature range (25 °C +/- 5 °C), otherwise they are at risk of thermal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runaway, potentially leading to fire or explosion. The Znyth™ BESS has a significantly wider thermal operating range (-20°C to 50°C), which eliminates the need for costly thermal management measures such as HVAC and fire suppression systems. Additionally, the product is a static modular battery design, which eliminates the need for pumps or compressors, both maintenance prone equipment required for flow batteries. Our battery system can charge and discharge at different durations, covering a wide range of use cases. The charge and discharge rates are fixed for Li-ion, and the life of a Li-ion battery can degrade if it is not charged or discharged at the rate for which it was designed, while the Eos Znyth technology BESS is not subject to the same degradation.</w:t>
      </w:r>
    </w:p>
    <w:p>
      <w:pPr>
        <w:spacing w:after="0" w:line="101"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Minimal Supply Chain Constraints- </w:t>
      </w:r>
      <w:r>
        <w:rPr>
          <w:rFonts w:ascii="Times New Roman" w:cs="Times New Roman" w:eastAsia="Times New Roman" w:hAnsi="Times New Roman"/>
          <w:sz w:val="18"/>
          <w:szCs w:val="18"/>
          <w:color w:val="auto"/>
        </w:rPr>
        <w:t>All materials for producing our Gen 2.3 and next generation Z3 battery products are widely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commodities with fewer supply chain constraints and minimal competition from electric vehicles. Additionally, the majority of the materials are recyclable at end of product life, helping preserve the environment.</w:t>
      </w:r>
    </w:p>
    <w:p>
      <w:pPr>
        <w:spacing w:after="0" w:line="10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Proven Technology Solution in the Growing and Evolving Energy Storage Market</w:t>
      </w:r>
      <w:r>
        <w:rPr>
          <w:rFonts w:ascii="Times New Roman" w:cs="Times New Roman" w:eastAsia="Times New Roman" w:hAnsi="Times New Roman"/>
          <w:sz w:val="18"/>
          <w:szCs w:val="18"/>
          <w:color w:val="auto"/>
        </w:rPr>
        <w:t>- As we launch the Z3™ battery and ramp up manufacturing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gigawatt-hours (“GWh”) scale, we believe that we will benefit from the overall growth of the energy storage market, which is expected to reach 1,095 GWh by 2040, as projected by BNEF. From an application perspective, the market is evolving to a LDES market. Our technology is tailored to address such a need. While Li-ion has been optimized for shorter duration, the performance of our batteries improves as it moves towards longer duration, making us the prime technology for the long-duration storage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spacing w:after="0" w:line="124" w:lineRule="exact"/>
        <w:rPr>
          <w:sz w:val="20"/>
          <w:szCs w:val="20"/>
          <w:color w:val="auto"/>
        </w:rPr>
      </w:pPr>
    </w:p>
    <w:p>
      <w:pPr>
        <w:jc w:val="both"/>
        <w:ind w:left="660" w:hanging="328"/>
        <w:spacing w:after="0" w:line="25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Experienced Technology Team Focused on Continuous Innovation- </w:t>
      </w:r>
      <w:r>
        <w:rPr>
          <w:rFonts w:ascii="Times New Roman" w:cs="Times New Roman" w:eastAsia="Times New Roman" w:hAnsi="Times New Roman"/>
          <w:sz w:val="18"/>
          <w:szCs w:val="18"/>
          <w:color w:val="auto"/>
        </w:rPr>
        <w:t>Our research and development team is responsible for growing and advancing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intellectual property portfolio, protecting our technology and system architecture. We believe that our continued investment in research and development will enable us to improve efficiency, energy density, functionality, and reliability while reducing the cost of our battery solution. We are also focused on leveraging our technology know-how to improve our BMS, expanding the operation of our batteries and increasing our overall performance. This same leverage would allow us to optimize our energy management solution to contextualize the operation of the battery based on the application, expanding our customer's ability to use our Znyth™ BESS in a wider set of use-cases.</w:t>
      </w:r>
    </w:p>
    <w:p>
      <w:pPr>
        <w:spacing w:after="0" w:line="101"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Established Global Sales Channels Anchored with Top-Tier Customers- </w:t>
      </w:r>
      <w:r>
        <w:rPr>
          <w:rFonts w:ascii="Times New Roman" w:cs="Times New Roman" w:eastAsia="Times New Roman" w:hAnsi="Times New Roman"/>
          <w:sz w:val="18"/>
          <w:szCs w:val="18"/>
          <w:color w:val="auto"/>
        </w:rPr>
        <w:t>We sell products directly to the electric utility industry and through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channels to the commercial and industrial market. We continue to build relationships with new customers and enter into agreements to provide battery solutions to new customers.</w:t>
      </w:r>
    </w:p>
    <w:p>
      <w:pPr>
        <w:spacing w:after="0" w:line="10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Strong management team- </w:t>
      </w:r>
      <w:r>
        <w:rPr>
          <w:rFonts w:ascii="Times New Roman" w:cs="Times New Roman" w:eastAsia="Times New Roman" w:hAnsi="Times New Roman"/>
          <w:sz w:val="18"/>
          <w:szCs w:val="18"/>
          <w:color w:val="auto"/>
        </w:rPr>
        <w:t>We have assembled an executive team focused on accelerating the commercialization of the next-generation Z3 battery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With decades of combined, diverse experience in the energy industry and deep expertise in manufacturing, battery storage and executing complex power and energy projects around the world, our management team is able to develop, manufacture and deliver systems at scale to meet the growing demands of the global storage market.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customers include the following:</w:t>
      </w:r>
    </w:p>
    <w:p>
      <w:pPr>
        <w:spacing w:after="0" w:line="117" w:lineRule="exact"/>
        <w:rPr>
          <w:sz w:val="20"/>
          <w:szCs w:val="20"/>
          <w:color w:val="auto"/>
        </w:rPr>
      </w:pPr>
    </w:p>
    <w:p>
      <w:pPr>
        <w:ind w:left="660" w:hanging="328"/>
        <w:spacing w:after="0" w:line="242" w:lineRule="auto"/>
        <w:tabs>
          <w:tab w:leader="none" w:pos="6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Renewable power producers and developers, including EnerSmart Storage LLC, Renew Akshay Urja Limited, Carson Hybrid Energy Storage, LLC, Blue Ridge Power, LLC, Ameresco Canada Inc., and Webcor Construction, LP.</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Industrial companies, including Motor Oil Corinth Refineries S.A.</w:t>
      </w:r>
    </w:p>
    <w:p>
      <w:pPr>
        <w:spacing w:after="0" w:line="11"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Utility companies, including San Diego Gas &amp; Electric Company, BA Power LLC, and Coop Power, Inc.</w:t>
      </w:r>
    </w:p>
    <w:p>
      <w:pPr>
        <w:spacing w:after="0" w:line="13" w:lineRule="exact"/>
        <w:rPr>
          <w:rFonts w:ascii="Times New Roman" w:cs="Times New Roman" w:eastAsia="Times New Roman" w:hAnsi="Times New Roman"/>
          <w:sz w:val="22"/>
          <w:szCs w:val="22"/>
          <w:color w:val="auto"/>
        </w:rPr>
      </w:pPr>
    </w:p>
    <w:p>
      <w:pPr>
        <w:ind w:left="660" w:hanging="328"/>
        <w:spacing w:after="0" w:line="231" w:lineRule="auto"/>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Microgrid developers, including Verdant Microgrid LLC, Bloom Energy, Consolidated Energy Design Inc., and Charge Bliss, Inc.</w:t>
      </w:r>
    </w:p>
    <w:p>
      <w:pPr>
        <w:spacing w:after="0" w:line="1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fiscal year 2022, one customer accounted for 81% of our revenue. None of our other customers accounted for more than ten percent of our revenues for the year ended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("ESG")</w:t>
      </w:r>
    </w:p>
    <w:p>
      <w:pPr>
        <w:spacing w:after="0" w:line="1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Since our founding, the Company has been on a mission to accelerate the shift to clean energy by transforming how the world stores power in a safe, scalable, efficient, and sustainable way. We are committed to advancing global sustainable development through our products, working to systematically grow our business to meet the challenges of the global energy transition and combat the global climate crisis. Additionally, the Company has not incurred significant costs to remain in compliance with environmental laws.</w:t>
      </w:r>
    </w:p>
    <w:p>
      <w:pPr>
        <w:spacing w:after="0" w:line="1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approach to ESG is intrinsically united to our four product themes: safety, scalability, sustainability, and efficiency. As we continue to scale, we remain committed to driving progress across these themes.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represents our 2022 employees by gender</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and ethnicity as a percentage of total headcount across non-exempt and exempt positions: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By Gender</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By Ethnicity</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2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8"/>
        </w:trPr>
        <w:tc>
          <w:tcPr>
            <w:tcW w:w="2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African</w:t>
            </w:r>
          </w:p>
        </w:tc>
        <w:tc>
          <w:tcPr>
            <w:tcW w:w="1140" w:type="dxa"/>
            <w:vAlign w:val="bottom"/>
          </w:tcPr>
          <w:p>
            <w:pPr>
              <w:spacing w:after="0"/>
              <w:rPr>
                <w:sz w:val="18"/>
                <w:szCs w:val="18"/>
                <w:color w:val="auto"/>
              </w:rPr>
            </w:pPr>
          </w:p>
        </w:tc>
        <w:tc>
          <w:tcPr>
            <w:tcW w:w="10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Hispanic or</w:t>
            </w:r>
          </w:p>
        </w:tc>
        <w:tc>
          <w:tcPr>
            <w:tcW w:w="280" w:type="dxa"/>
            <w:vAlign w:val="bottom"/>
          </w:tcPr>
          <w:p>
            <w:pPr>
              <w:spacing w:after="0"/>
              <w:rPr>
                <w:sz w:val="18"/>
                <w:szCs w:val="18"/>
                <w:color w:val="auto"/>
              </w:rPr>
            </w:pP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Two or more</w:t>
            </w:r>
          </w:p>
        </w:tc>
        <w:tc>
          <w:tcPr>
            <w:tcW w:w="1100" w:type="dxa"/>
            <w:vAlign w:val="bottom"/>
          </w:tcPr>
          <w:p>
            <w:pPr>
              <w:spacing w:after="0"/>
              <w:rPr>
                <w:sz w:val="18"/>
                <w:szCs w:val="18"/>
                <w:color w:val="auto"/>
              </w:rPr>
            </w:pPr>
          </w:p>
        </w:tc>
      </w:tr>
      <w:tr>
        <w:trPr>
          <w:trHeight w:val="234"/>
        </w:trPr>
        <w:tc>
          <w:tcPr>
            <w:tcW w:w="2100" w:type="dxa"/>
            <w:vAlign w:val="bottom"/>
          </w:tcPr>
          <w:p>
            <w:pPr>
              <w:spacing w:after="0"/>
              <w:rPr>
                <w:sz w:val="20"/>
                <w:szCs w:val="20"/>
                <w:color w:val="auto"/>
              </w:rPr>
            </w:pPr>
          </w:p>
        </w:tc>
        <w:tc>
          <w:tcPr>
            <w:tcW w:w="17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Female</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Male</w:t>
            </w:r>
          </w:p>
        </w:tc>
        <w:tc>
          <w:tcPr>
            <w:tcW w:w="15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American</w:t>
            </w:r>
          </w:p>
        </w:tc>
        <w:tc>
          <w:tcPr>
            <w:tcW w:w="11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Asian</w:t>
            </w:r>
          </w:p>
        </w:tc>
        <w:tc>
          <w:tcPr>
            <w:tcW w:w="10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Latino</w:t>
            </w:r>
          </w:p>
        </w:tc>
        <w:tc>
          <w:tcPr>
            <w:tcW w:w="28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races</w:t>
            </w:r>
          </w:p>
        </w:tc>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White</w:t>
            </w:r>
          </w:p>
        </w:tc>
      </w:tr>
      <w:tr>
        <w:trPr>
          <w:trHeight w:val="27"/>
        </w:trPr>
        <w:tc>
          <w:tcPr>
            <w:tcW w:w="2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Non-exempt</w:t>
            </w:r>
          </w:p>
        </w:tc>
        <w:tc>
          <w:tcPr>
            <w:tcW w:w="170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7 %</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24 %</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3 %</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Exempt</w:t>
            </w:r>
          </w:p>
        </w:tc>
        <w:tc>
          <w:tcPr>
            <w:tcW w:w="17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14 %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80" w:type="dxa"/>
            <w:vAlign w:val="bottom"/>
          </w:tcPr>
          <w:p>
            <w:pPr>
              <w:spacing w:after="0"/>
              <w:rPr>
                <w:sz w:val="21"/>
                <w:szCs w:val="21"/>
                <w:color w:val="auto"/>
              </w:rPr>
            </w:pPr>
          </w:p>
        </w:tc>
        <w:tc>
          <w:tcPr>
            <w:tcW w:w="1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5 %</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7"/>
        </w:trPr>
        <w:tc>
          <w:tcPr>
            <w:tcW w:w="2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2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21 %</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79 %</w:t>
            </w:r>
          </w:p>
        </w:tc>
        <w:tc>
          <w:tcPr>
            <w:tcW w:w="8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29 %</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9 %</w:t>
            </w:r>
          </w:p>
        </w:tc>
        <w:tc>
          <w:tcPr>
            <w:tcW w:w="136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6 %</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4 %</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52 %</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While we present male and female, we acknowledge this is not fully encompassing of all gender identities.</w:t>
      </w:r>
    </w:p>
    <w:p>
      <w:pPr>
        <w:spacing w:after="0" w:line="14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2022, we had 333 total employees, all of which are full-time employees. None of our employees are represented by a labor union. We have not experienced any employment-related work stoppages, and we consider relations with our employees to be good.</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is based on the focused passion and dedication of our personnel. We are committed to providing a positive and engaging work environment for our employees and taking an active role in the betterment of the communities in which our employees live and work. Our full-time employees are provided a competitive benefits program, including comprehensive healthcare benefits, a 3% non-elective employer contribution 401(k) plan, equity awards, discretionary bonus and incentive pay opportunities, paid time-off benefits, paid parental leave, wellness programs, and periodic surveys.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Annual Report on Form 10-K, Quarterly Reports on Form 10-Q, Current Reports on Form 8-K and all amendments to these reports filed or furnished pursuant to Section 13(a) or 15(d) of the Securities Exchange Act of 1934 (the "Exchange Act") are available free of charge on our investor website, located at https://investors.eose.com/, as soon as reasonably practicable after they are filed with or furnished to the Securities and Exchange Commission. Our reports are also available on the Securities and Exchange Commission's website at https://www.sec.gov/. The information on our website is not, and shall not be deemed to be, a part hereof or incorporated into this or any of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factors discussed elsewhere in this Report, the following risks and uncertainties could materially and adversely affect the Company’s business, financial condition, results of operations, and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31" w:lineRule="exact"/>
        <w:rPr>
          <w:sz w:val="20"/>
          <w:szCs w:val="20"/>
          <w:color w:val="auto"/>
        </w:rPr>
      </w:pPr>
    </w:p>
    <w:p>
      <w:pPr>
        <w:jc w:val="both"/>
        <w:ind w:left="660" w:hanging="328"/>
        <w:spacing w:after="0"/>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that casts substantial doubt as to our ability to continue as a going concern. We must deliver on our potential for significant business growth and improved manufacturing processes to achieve sustained, long-term profitability and long-term commercial success.</w:t>
      </w:r>
    </w:p>
    <w:p>
      <w:pPr>
        <w:jc w:val="both"/>
        <w:ind w:left="660" w:hanging="328"/>
        <w:spacing w:after="0" w:line="239"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identified material weaknesses in our internal controls over financial reporting at December 31, 2022 and 2021, and we may identify additional material weaknesses in the future that may cause us to fail to meet our reporting obligations or result in material misstatements of our financial statements. If we fail to remediate these material weaknesses or if we otherwise fail to establish and maintain effective control over financial reporting, our ability to accurately and timely report our financial results could be adversely affected.</w:t>
      </w:r>
    </w:p>
    <w:p>
      <w:pPr>
        <w:ind w:left="660" w:hanging="328"/>
        <w:spacing w:after="0" w:line="23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relatively recent commercialization of our products makes it difficult to evaluate our prospects.</w:t>
      </w:r>
    </w:p>
    <w:p>
      <w:pPr>
        <w:ind w:left="660" w:hanging="328"/>
        <w:spacing w:after="0" w:line="24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demand for energy storage solutions does not continue to grow or grows at a slower rate than we anticipate, our business and results of operations may be impacted.</w:t>
      </w:r>
    </w:p>
    <w:p>
      <w:pPr>
        <w:spacing w:after="0" w:line="1" w:lineRule="exact"/>
        <w:rPr>
          <w:rFonts w:ascii="Times New Roman" w:cs="Times New Roman" w:eastAsia="Times New Roman" w:hAnsi="Times New Roman"/>
          <w:sz w:val="18"/>
          <w:szCs w:val="18"/>
          <w:color w:val="auto"/>
        </w:rPr>
      </w:pPr>
    </w:p>
    <w:p>
      <w:pPr>
        <w:ind w:left="660" w:hanging="328"/>
        <w:spacing w:after="0" w:line="24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the benefits offered by our technologies, or the emergence of improvements to competing technologies, could reduce demand for our products and harm our business.</w:t>
      </w:r>
    </w:p>
    <w:p>
      <w:pPr>
        <w:spacing w:after="0" w:line="1" w:lineRule="exact"/>
        <w:rPr>
          <w:rFonts w:ascii="Times New Roman" w:cs="Times New Roman" w:eastAsia="Times New Roman" w:hAnsi="Times New Roman"/>
          <w:sz w:val="18"/>
          <w:szCs w:val="18"/>
          <w:color w:val="auto"/>
        </w:rPr>
      </w:pPr>
    </w:p>
    <w:p>
      <w:pPr>
        <w:ind w:left="660" w:hanging="328"/>
        <w:spacing w:after="0" w:line="235"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we endeavor to expand our business, we will incur significant costs and expenses, which could outpace our cash reserves. Unfavorable conditions or disruptions in the capital and credit markets may adversely impact business conditions and the availability of credit.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breach of our IT systems could affect our sales and operations.</w:t>
      </w:r>
    </w:p>
    <w:p>
      <w:pPr>
        <w:spacing w:after="0" w:line="7" w:lineRule="exact"/>
        <w:rPr>
          <w:rFonts w:ascii="Times New Roman" w:cs="Times New Roman" w:eastAsia="Times New Roman" w:hAnsi="Times New Roman"/>
          <w:sz w:val="18"/>
          <w:szCs w:val="18"/>
          <w:color w:val="auto"/>
        </w:rPr>
      </w:pPr>
    </w:p>
    <w:p>
      <w:pPr>
        <w:ind w:left="660" w:hanging="328"/>
        <w:spacing w:after="0" w:line="245"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business exposes us to potential claims, and we are subject to legal proceedings and legal compliance risks that could harm our business.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Products and Manufacturing</w:t>
      </w:r>
    </w:p>
    <w:p>
      <w:pPr>
        <w:spacing w:after="0" w:line="2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obtain Underwriters Laboratories ("UL") and other related certifications for our future generations of our products.</w:t>
      </w:r>
    </w:p>
    <w:p>
      <w:pPr>
        <w:jc w:val="both"/>
        <w:ind w:left="660" w:hanging="328"/>
        <w:spacing w:after="0"/>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manufacturing experience and could experience difficulty producing commercial volumes of the battery storage system, establishing manufacturing capacity to scale and in meeting potential cost savings and efficiencies from anticipated improvements to our manufacturing capabilities.</w:t>
      </w:r>
    </w:p>
    <w:p>
      <w:pPr>
        <w:ind w:left="660" w:hanging="328"/>
        <w:spacing w:after="0" w:line="234" w:lineRule="auto"/>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may experience delays, disruptions, or quality control problems in our manufacturing operations.</w:t>
      </w:r>
    </w:p>
    <w:p>
      <w:pPr>
        <w:ind w:left="660" w:right="20" w:hanging="328"/>
        <w:spacing w:after="0" w:line="24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or performance problems in our products could result in loss of customers, and decreased revenue, as well as warranty, indemnity, and product liability claims.</w:t>
      </w:r>
    </w:p>
    <w:p>
      <w:pPr>
        <w:spacing w:after="0" w:line="1" w:lineRule="exact"/>
        <w:rPr>
          <w:rFonts w:ascii="Times New Roman" w:cs="Times New Roman" w:eastAsia="Times New Roman" w:hAnsi="Times New Roman"/>
          <w:sz w:val="18"/>
          <w:szCs w:val="18"/>
          <w:color w:val="auto"/>
        </w:rPr>
      </w:pPr>
    </w:p>
    <w:p>
      <w:pPr>
        <w:ind w:left="660" w:hanging="328"/>
        <w:spacing w:after="0" w:line="24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heavily dependent on third-party suppliers and contractors. Supply chain issues and constraints, including those attributable to the Covid-19 pandemic, could adversely affect our operations and financial results, including our ability to deliver products to customers on time.</w:t>
      </w:r>
    </w:p>
    <w:p>
      <w:pPr>
        <w:spacing w:after="0" w:line="1" w:lineRule="exact"/>
        <w:rPr>
          <w:rFonts w:ascii="Times New Roman" w:cs="Times New Roman" w:eastAsia="Times New Roman" w:hAnsi="Times New Roman"/>
          <w:sz w:val="18"/>
          <w:szCs w:val="18"/>
          <w:color w:val="auto"/>
        </w:rPr>
      </w:pPr>
    </w:p>
    <w:p>
      <w:pPr>
        <w:ind w:left="660" w:hanging="328"/>
        <w:spacing w:after="0" w:line="235"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elect to expand our production capacity by constructing one or more new manufacturing facilities, we may encounter challenges relating to the construction, management and operation of such facilities.</w:t>
      </w:r>
    </w:p>
    <w:p>
      <w:pPr>
        <w:spacing w:after="0" w:line="1"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scrutiny from stakeholders and regulators regarding ESG practices and disclosures, including those related to sustainability and related disclosures could result in additional costs and adversely impact our business and reputation.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Future Growth</w:t>
      </w:r>
    </w:p>
    <w:p>
      <w:pPr>
        <w:spacing w:after="0" w:line="20" w:lineRule="exact"/>
        <w:rPr>
          <w:sz w:val="20"/>
          <w:szCs w:val="20"/>
          <w:color w:val="auto"/>
        </w:rPr>
      </w:pPr>
    </w:p>
    <w:p>
      <w:pPr>
        <w:ind w:left="660" w:right="20" w:hanging="328"/>
        <w:spacing w:after="0" w:line="24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recent and future growth effectively, we may be unable to execute our business plan, maintain high levels of customer service, or adequately address competitive challenges.</w:t>
      </w:r>
    </w:p>
    <w:p>
      <w:pPr>
        <w:spacing w:after="0" w:line="1" w:lineRule="exact"/>
        <w:rPr>
          <w:rFonts w:ascii="Times New Roman" w:cs="Times New Roman" w:eastAsia="Times New Roman" w:hAnsi="Times New Roman"/>
          <w:sz w:val="18"/>
          <w:szCs w:val="18"/>
          <w:color w:val="auto"/>
        </w:rPr>
      </w:pPr>
    </w:p>
    <w:p>
      <w:pPr>
        <w:ind w:left="660" w:hanging="328"/>
        <w:spacing w:after="0" w:line="243"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financing to achieve our long-term goals and a failure to obtain this capital on acceptable terms, or at all, may adversely impact our ability to support our business growth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p>
      <w:pPr>
        <w:ind w:left="660" w:hanging="328"/>
        <w:spacing w:after="0" w:line="25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expansion into new geographic markets or new product lines or services could subject us to additional business, financial, and competitive risks.</w:t>
      </w:r>
    </w:p>
    <w:p>
      <w:pPr>
        <w:ind w:left="660" w:hanging="328"/>
        <w:spacing w:after="0" w:line="235"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may fluctuate from quarter to quarter, which could make our future performance difficult to predict and could cause our results of operations for a particular period to fall below expectations, resulting in a decline in the price of our common stock.</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Forecasts of market growth in this Form 10-K may not be accurate.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United States and Foreign Operations</w:t>
      </w:r>
    </w:p>
    <w:p>
      <w:pPr>
        <w:spacing w:after="0" w:line="20" w:lineRule="exact"/>
        <w:rPr>
          <w:sz w:val="20"/>
          <w:szCs w:val="20"/>
          <w:color w:val="auto"/>
        </w:rPr>
      </w:pPr>
    </w:p>
    <w:p>
      <w:pPr>
        <w:ind w:left="660" w:hanging="328"/>
        <w:spacing w:after="0" w:line="24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elimination or expiration of government subsidies and economic incentives related to renewable energy solutions could reduce demand for our technologies and harm our business.</w:t>
      </w:r>
    </w:p>
    <w:p>
      <w:pPr>
        <w:spacing w:after="0" w:line="1" w:lineRule="exact"/>
        <w:rPr>
          <w:rFonts w:ascii="Times New Roman" w:cs="Times New Roman" w:eastAsia="Times New Roman" w:hAnsi="Times New Roman"/>
          <w:sz w:val="18"/>
          <w:szCs w:val="18"/>
          <w:color w:val="auto"/>
        </w:rPr>
      </w:pPr>
    </w:p>
    <w:p>
      <w:pPr>
        <w:ind w:left="660" w:hanging="328"/>
        <w:spacing w:after="0" w:line="23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trade environment, including the imposition of import tariffs, could adversely affect the amount or timing of our revenues, results of operations or cash flows.</w:t>
      </w:r>
    </w:p>
    <w:p>
      <w:pPr>
        <w:spacing w:after="0" w:line="1" w:lineRule="exact"/>
        <w:rPr>
          <w:rFonts w:ascii="Times New Roman" w:cs="Times New Roman" w:eastAsia="Times New Roman" w:hAnsi="Times New Roman"/>
          <w:sz w:val="18"/>
          <w:szCs w:val="18"/>
          <w:color w:val="auto"/>
        </w:rPr>
      </w:pPr>
    </w:p>
    <w:p>
      <w:pPr>
        <w:ind w:left="660" w:hanging="328"/>
        <w:spacing w:after="0" w:line="24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regulations or requirements, or our material failure to comply with any of them, can increase our costs and have other negative impacts on our business.</w:t>
      </w:r>
    </w:p>
    <w:p>
      <w:pPr>
        <w:spacing w:after="0" w:line="1" w:lineRule="exact"/>
        <w:rPr>
          <w:rFonts w:ascii="Times New Roman" w:cs="Times New Roman" w:eastAsia="Times New Roman" w:hAnsi="Times New Roman"/>
          <w:sz w:val="18"/>
          <w:szCs w:val="18"/>
          <w:color w:val="auto"/>
        </w:rPr>
      </w:pPr>
    </w:p>
    <w:p>
      <w:pPr>
        <w:ind w:left="660" w:hanging="328"/>
        <w:spacing w:after="0" w:line="243"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adversely affected by any violations of the FCPA, the U.K. Bribery Act, and other foreign anti-bribery laws, as well as violations against export controls and economic embargo regulations.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0" w:lineRule="exact"/>
        <w:rPr>
          <w:sz w:val="20"/>
          <w:szCs w:val="20"/>
          <w:color w:val="auto"/>
        </w:rPr>
      </w:pPr>
    </w:p>
    <w:p>
      <w:pPr>
        <w:ind w:left="660" w:hanging="328"/>
        <w:spacing w:after="0" w:line="24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protect, or incur significant costs in defending, our intellectual property and other proprietary rights, then our business and results of operations could be materially harmed.</w:t>
      </w:r>
    </w:p>
    <w:p>
      <w:pPr>
        <w:spacing w:after="0" w:line="1" w:lineRule="exact"/>
        <w:rPr>
          <w:rFonts w:ascii="Times New Roman" w:cs="Times New Roman" w:eastAsia="Times New Roman" w:hAnsi="Times New Roman"/>
          <w:sz w:val="18"/>
          <w:szCs w:val="18"/>
          <w:color w:val="auto"/>
        </w:rPr>
      </w:pPr>
    </w:p>
    <w:p>
      <w:pPr>
        <w:ind w:left="660" w:hanging="328"/>
        <w:spacing w:after="0" w:line="245"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Related to Our Securities</w:t>
      </w:r>
    </w:p>
    <w:p>
      <w:pPr>
        <w:spacing w:after="0" w:line="20" w:lineRule="exact"/>
        <w:rPr>
          <w:sz w:val="20"/>
          <w:szCs w:val="20"/>
          <w:color w:val="auto"/>
        </w:rPr>
      </w:pPr>
    </w:p>
    <w:p>
      <w:pPr>
        <w:ind w:left="660" w:right="40" w:hanging="328"/>
        <w:spacing w:after="0" w:line="233"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third amended and restated certificate of incorporation of the Company (the “Charter”) may inhibit a takeover of us, which could limit the price investors might be willing to pay in the future for our common stock and could entrench management.</w:t>
      </w:r>
    </w:p>
    <w:p>
      <w:pPr>
        <w:spacing w:after="0" w:line="1" w:lineRule="exact"/>
        <w:rPr>
          <w:rFonts w:ascii="Times New Roman" w:cs="Times New Roman" w:eastAsia="Times New Roman" w:hAnsi="Times New Roman"/>
          <w:sz w:val="18"/>
          <w:szCs w:val="18"/>
          <w:color w:val="auto"/>
        </w:rPr>
      </w:pPr>
    </w:p>
    <w:p>
      <w:pPr>
        <w:ind w:left="660" w:hanging="328"/>
        <w:spacing w:after="0" w:line="243"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redeem the public warrants prior to their exercise at a time that is disadvantageous to such warrant holders, thereby making your public warrants worthless.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be volatile and may decline regardless of our operating performance.</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the warrants will be in the money at the time they become exercisable, and they may expire worthless.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our common stock will be able to comply with the continued listing standards of Nasdaq.</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carefully consider the risks described below before making an investment decision. Our business, prospects, financial condition, or operating results could be harmed by any of these risks, as well as other risks not known to us or that we consider immaterial as of the date of this Form 10-K. The trading price of our securities could decline due to any of these risks, and, as a result, you may lose all or part of your investment.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that casts substantial doubt as to our ability to continue as a going concern. We must deliver on our potential for significant business growth and improved manufacturing processes to achieve sustained, long-term profitability and long-term commercial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18"/>
          <w:szCs w:val="18"/>
          <w:color w:val="auto"/>
        </w:rPr>
        <w:t>We have had net losses and negative operating cash flows each fiscal quarter since inception of our business. For the years ended December 31, 2022 and 2021, we had $229.8 million and $124.2 million in net losses, respectively. We expect to continue to incur losses and experience negative operating cash flows for the foreseeable future, as we anticipate continued investment in the development and launch of product with outside capital at the expense of short-term profitability. For the fiscal year ended December 31, 2022, the Company concluded that there was substantial doubt about its ability to continue to operate as a going concern for the 12 months following the issuance of these consolidated financial statements.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our available capital has increased substantially since our Merger through the issuance of convertible notes and other financing, we continue to have limited resources relative to certain of our competitors, especially certain Li-ion manufacturers that have a longer history, are part of large multinational corporations and are already operating at a profit. To achieve profitability as well as long-term commercial success, we must continue to execute our plan to expand our business, which will require us to deliver on our existing global sales pipeline in a timely manner, increase our production capacity, improve our cost profile, grow demand for our products, and seize new market opportunities by leveraging our proprietary technology and its manufacturing processes for novel solutions. Failure to do one or more of these things could prevent us from achieving sustained, long-term commercial success.</w:t>
      </w:r>
    </w:p>
    <w:p>
      <w:pPr>
        <w:spacing w:after="0" w:line="1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a growth company in the early commercialization stage of its lifecycle, Eos is subject to inherent risks and uncertainties associated with the development of an enterprise. Our revenues may not grow as expected for a number of reasons, many of which are outside of our control, including a decline in global demand for battery storage products, increased competition, or our failure to continue to capitalize on growth opportunities. In addition, although we have achieved sales of our products to potential customers, it is not clear to what extent, if any, the products will be profitable and when. The costs of goods associated with production of our battery storage system are significant. While we are working to optimize our supply chain, improve the speed and efficiency of our manufacturing processes, and lower the cost of other input costs such as raw material and conversion costs, there can be no assurance that we will be successful in these efforts. If we are not able to sustain revenue growth, reduce cost and continue to raise the capital necessary to support operations, our failure to achieve or maintain profitability could negatively impact the value of our common stock. Even if we do achieve profitability when expected, we may be unable to sustain or increase our profitability in the future.</w:t>
      </w:r>
    </w:p>
    <w:p>
      <w:pPr>
        <w:spacing w:after="0" w:line="13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order to execute our development strategy, we have historically relied on outside capital through the issuance of equity, debt, and borrowings under financing arrangements (collectively “outside capital”) to fund our cost structure and expect to continue to rely on outside capital for the foreseeable future. While we believe we will eventually reach a scale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spacing w:after="0" w:line="2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identified material weaknesses in our internal controls over financial reporting and we may identify additional material weaknesses in the future that may cause us to fail to meet our reporting obligations or result in material misstatements of our financial statements. If we do not effectively remediate these material weaknesses or if we otherwise fail to maintain effective internal controls over financial reporting, we may not be able to accurately and timely report our financial results.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controls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controls over financial reporting, such that there is a reasonable possibility that a material misstatement of our annual or interim financial statements will not be prevented or detected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identified material weaknesses in our internal controls over financial reporting as of December 31, 2022 and 2021. See Item 9A, “Controls and Procedures,” in this Annual Report for information regarding the identified material weaknesses and our actions to date to remediate the material weaknesses. As a result of these material weaknesses, our management has concluded that our internal controls over financial reporting were not effective as of December 31, 2022.</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taking steps to remediate these material weaknesses, which include hiring personnel with the depth of knowledge and experience to join our accounting and finance organization, and designing and implementing improved processes and internal controls. However, our efforts to remediate these material weaknesses may not be effective in preventing a future material weakness or significant deficiency in our internal controls over financial reporting. If we do not effectively remediate these material weaknesses or if we otherwise fail to maintain effective internal controls over financial reporting, we may not be able to accurately and timely report our financial results, which could cause our reported financial results to be materially misstated, result in the loss of investor confidence and cause the market price of our common stock to decline.</w:t>
      </w:r>
    </w:p>
    <w:p>
      <w:pPr>
        <w:spacing w:after="0" w:line="1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can give no assurance that the measures we have taken or plans to take in the future will remediate the material weaknesses identified or that any additional material weaknesses or restatements of financial results will not arise in the future due to a failure to implement and maintain adequate internal controls over financial reporting or circumvention of these controls.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financial results have and may continue to be adversely affected by the effects of sustained inflation and increased interest rates.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Inflation has the potential to adversely affect our liquidity, business, financial condition and results of operations by increasing our overall cost structure, particularly if we are unable to achieve commensurate increases in the prices that we charge our customers. The existence of sustained inflation in the economy has resulted in, and may continue to result in, higher interest rates and capital costs, increased shipping costs, supply shortages, increased costs of labor, weakening exchange rates and other similar effects. As interest rates rise to address inflation or otherwise, we may experience further increases in capital and other costs. Further, changes in monetary or other policies here and abroad to combat inflation may lead to an economic downturn in some of our markets. Although we may take measures to mitigate the impact of this inflation, if these measures are not effective, our business, financial condition, results of operations and liquidity could be materially adversely affected. Even if such measures are effective, the benefits of such measures may not be realized until after the costs of inflation have been incurred.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market conditions and recessionary pressures in one or more of our markets could impact our ability to grow our business.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 the last few years in the U.S. and globally, market and economic conditions have been challenging, particularly in light of the COVID-19 pandemic. Any negative impact on economic conditions and international markets, continued volatility or deterioration in the debt and equity capital markets, inflation, deflation or other adverse economic conditions may adversely affect our liquidity and financial condition. It may limit our ability to access the capital markets to meet liquidity and/or capital needs, which could have a material adverse effect on our financial condition and results of operations. Ongoing uncertain economic and financial market conditions may also adversely affect the financial condition of our customers, suppliers and other business partners. When our customers’ financial conditions are adversely affected, it could materially and adversely affect our sales and financial results, which could have a material adverse effect on our business, financial condition, cash flows and results of operations and could cause the market value of our common shares to decline. Our global business may be negatively affected by local economic conditions, including inflation, increasing labor costs, potential recession, and currency exchange rate fluctuations, which could adversely affect our cost to manufacture and provide our products and services and revenues generated through sales of such products and services. There is no guarantee that we will be able to fully absorb any such additional costs or revenue declines in the prices for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relatively recent commercialization of our products makes it difficult to evaluate our future prospects.</w:t>
      </w:r>
    </w:p>
    <w:p>
      <w:pPr>
        <w:spacing w:after="0" w:line="1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Since our inception, we have sold a limited quantity of Eos Znyth</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DC battery systems to our customers. We began commercializing our products in mid-2018, and while our research and development activities successfully established the efficiency of our chemistry, we struggled to incorporate our proven technologies into an effective manufacturing design prior to 2018.</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invest in the design and development of the next generation product, the Z3™ battery which builds off the same electrochemistry that has not fundamentally changed for the better part of a decade. The Z3™ battery is designed to reduce cost and weight and improve manufacturability and system performance. The Z3™ product is currently in the testing phase and is expected to launch in the second half of 2023.</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will depend on our ability to manufacture products at scale and low cost while timely meeting customers’ demands and overcome any negative perception in the market related to our historical manufacturing challenges, and we may not be able to generate sufficient customer confidence in our latest designs and ongoing product improvements and lower the cost due to economies of scale. Our inability to predict the extent of customer adoption of our proprietary technologies in the already-established traditional energy storage market makes it difficult to evaluate our profitability and future prospects.</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demand for energy storage solutions does not continue to grow or grows at a slower rate than we anticipate, our business and results of operations may be impacted.</w:t>
      </w:r>
    </w:p>
    <w:p>
      <w:pPr>
        <w:spacing w:after="0" w:line="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flagship product, the Eos Znyth</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system, is a Znyth</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battery that can be used as an alternative to Li-ion batteries. Our products have been piloted by eight blue chip utilities and C&amp;I end users. The pilots involved several use cases including solar shifting, peak shaving, price arbitrage, utility ancillary services and microgrids.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viability and demand for our products, may be affected by many factors outside of our control, including:</w:t>
      </w:r>
    </w:p>
    <w:p>
      <w:pPr>
        <w:spacing w:after="0" w:line="50"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competitiveness, reliability and performance of our products compared to Li-ion products;</w:t>
      </w:r>
    </w:p>
    <w:p>
      <w:pPr>
        <w:spacing w:after="0" w:line="49"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investment by end users of energy storage products, which may decrease when economic growth or energy demand slows resulting in a reduction in battery purchases generally;</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electricity use across the global economy, including growth of the electric vehicle market. If electric vehicles sales slow, thus diminishing the demand for Li-ion, then Li-ion competitors could move capacity to the stationary battery storage market to avoid shutting factories, which could put pressures on pricing in the market;</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the renewable energy industry and associated integration opportunities for our products;</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regulatory landscape, including full adoption by the states in the United States of FERC Order 841, which mandates that battery storage can participate in the demand response and ancillary markets; incentives for the implementation of battery storage by state regulators; and adoption by Congress of an ITC for standalone battery storage; and</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continuance or success of other alternative energy storage technologies and products.</w:t>
      </w:r>
    </w:p>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do not manage these risks and overcome these potential difficulties outside of our control successfully, our business and results of operations may suffer.</w:t>
      </w:r>
    </w:p>
    <w:p>
      <w:pPr>
        <w:spacing w:after="0" w:line="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deliver the benefits offered by our technologies, or the emergence of improvements to competing technologies, could reduce demand for our products and harm our business.</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compared to Li-ion batteries, our energy storage solutions offer significant benefits, including the use of widely-available and low-cost materials with no rare earth or toxic components, recyclability at end-of-life, an over twenty (20) year product life requiring minimal maintenance, and a wide thermal operating range that eliminates the need for fire suppression and HVAC, which would otherwise be required for use with Li-ion batteries.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if our manufacturing costs do not decrease to the extent we intend, or if our expectations regarding the operation, performance, maintenance and disposal of our products are not realized, we could have difficulty marketing our products as a superior alternative to already-established technologies and impact the market reputation and adaptability of our products. In addition, developments of existing and new technologies could improve their cost and usability profile, reducing any relative benefits currently offered by our products which would negatively impact the likelihood of our products gaining market acceptance.</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endeavor to expand our business, we will incur significant costs and expenses, which could outpace our cash reserves. Unfavorable conditions or disruptions in the capital and credit markets may adversely impact business conditions and the availability of credit.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incur additional costs and expenses in the future related to the continued development and expansion of our business, including in connection with expanding our manufacturing capabilities to significantly increase production capacity, developing our products, maintaining and enhancing our research and development operations, expanding our sales, marketing, and business development activities in the United States and internationally, and growing our project management, field services and overall operational capabilities for delivering projects. We do not know whether we will be able to reduce our manufacturing cost and grow our revenue rapidly enough to absorb these costs or the extent of these expenses or their impact on our results of operations.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Disruptions in the global capital and credit markets as a result of an economic downturn, economic uncertainty, changing or increased regulation, or failures of significant financial institutions could adversely affect our customers’ ability to access capital and could adversely affect our access to liquidity needed for business in the future. Our business could be hurt if we are unable to obtain additional capital as required, resulting in a decrease in our revenues and profitability.</w:t>
      </w:r>
    </w:p>
    <w:p>
      <w:pPr>
        <w:spacing w:after="0" w:line="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the continuing contributions of our key personnel, and the loss of services of any principal member of our management team could adversely affect our business.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heavily on the services of our key executive officers. We are investing significant resources in developing new members of management as we complete our restructuring and strategic transformation, and the loss of services of any principal member of our management team could adversely affect our business. The competition for qualified personnel is intense in our industry, and we may not be successful in attracting and retaining enough qualified personnel to support our anticipated growth. We also cannot guarantee that any employee will remain employed with us for any definite period since all of our employees, including our key executive officers, serve at-will and may terminate their employment at any time for any reason.</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Compensation Committee of the Board of Directors is committed to working with the management to design compensation plans that attract, retain and motivate the Company’s executives and support business objectives that create shareholder value. In addition, the Board of Directors has implemented procedures to plan for the effective succession of senior management and key personnel. However, we still depend on the experience of our senior management team, including our chief executive officer, chief financial officer and chief accounting officer, and other key personnel, each of whom would be difficult to replace in the event of an unforeseen departure from the Company. Despite successfully managing recent turnover, the loss of any such personnel could have a material adverse effect on our business and our ability to implement our business strategy. All of our employees, including our senior management, are free to terminate their employment relationships with us at any time. We do not maintain key-person insurance for any of our employees, including senior management. In addition, changes and replacement, as well as transition in senior executive leadership could adversely affect our relationships with clients, customers, and employees. We must successfully integrate new key personnel whom we hire within our organization in order to achieve our operating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our ability to attract qualified personnel, including senior management and key technical personnel, is critical to the execution of our growth strategy. Competition for qualified senior management personnel and highly skilled individuals with technical expertise is extremely intense. We face and are likely to continue to face challenges identifying, hiring, and retaining qualified personnel in all areas of our business. In addition, integrating new employees into our team could prove disruptive to our operations, require substantial resources and management attention, and ultimately prove unsuccessful. Our failure to attract and retain qualified senior management and other key technical personnel could limit or delay our strategic efforts, which could have a material adverse effect on our business, financial condition, results of operations, and prospects.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might attempt to gain unauthorized access to our network or seek to compromise our products and services.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may face attempts by others to gain unauthorized access through various forms of the Internet or try to introduce malicious software to our IT systems, including our BMS. We or our products may be a target of computer hackers, organizations or malicious attackers who attempt to:</w:t>
      </w:r>
    </w:p>
    <w:p>
      <w:pPr>
        <w:spacing w:after="0" w:line="9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access to our network or data centers or those of our customers;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steal proprietary information related to our business, products, employees, and customers; or</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interrupt our infrastructure or those of our customers.</w:t>
      </w:r>
    </w:p>
    <w:p>
      <w:pPr>
        <w:spacing w:after="0" w:line="15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To date, no attempts have resulted in any material adverse impact to our business or operations; however, there can be no guarantee that such intrusions will not be material in the future. While we seek to detect and investigate all unauthorized attempts and attacks against our network and products, and to prevent their recurrence where practicable through changes to our internal processes and tools and/or changes to our products, we remain potentially vulnerable to additional known or unknown threats. In addition to intentional third-party cybersecurity breaches, the integrity and confidentiality of company and customer data may be compromised as a result of human error, product defects, or technological failures. Cybersecurity breaches, whether successful or unsuccessful, and other IT system interruptions, including those resulting from human error and technological failures, could result in us incurring significant costs related to, for example, rebuilding internal systems, reduced inventory value, providing modifications to our products and services, defending against litigation, responding to regulatory inquiries or actions, paying damages, or taking other remedial steps with respect to third parties.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or breach of our IT systems could affect our sales and operations.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IT infrastructure is currently managed by a third party Managed Services Provider ("MSP"). While we regularly review the cybersecurity tools and other security protection provided by this MSP, this MSP regularly runs intrusion and other security tests on services provided to us, there can be no guarantee that a failure or breach of such systems will not occur. We operate a few IT systems throughout our business that could fail for a variety of reasons, including the threats of unauthorized intrusions and attackers. If such failures were to occur, we may not be able to sufficiently recover to avoid the loss of data or any adverse impact on our operations that are dependent on such IT systems. This could result in lost sales as we may not be able to meet the demands for our product.</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because our IT systems are essential for the exchange of information both internally and in communicating with third parties, including our suppliers and manufacturers, cybersecurity breaches could potentially lead to the unauthorized release of sensitive, confidential or personal data or information, improper use of our systems, or, unauthorized access, use, disclosure, modification or destruction of information or defective products. If these cybersecurity breaches continue, our operations and ability to communicate both internally and with third parties may be negatively impacted. Additionally, if we try to remediate our cybersecurity problems, we could face significant unplanned costs or capital investments and any damage or interruption could have a material adverse effect on our reputation,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nature of our business exposes us to potential legal proceedings or claims that could adversely affect our operating results. These claims could conceivably exceed the level of our liability insurance coverage.</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 party to lawsuits in the normal course of our business. Litigation can be expensive, lengthy and disruptive to normal business operations. Moreover, the results of complex legal proceedings are difficult to predict. Responding to lawsuits brought against us, or legal actions that we may initiate, can be expensive and time-consuming. Unfavorable outcomes from these claims and/or lawsuits could adversely affect our business, results of operations, or financial condition and cash flows, and we could incur substantial monetary liability and/or be required to change our business practices. See Part I, Item 3, “Legal Proceedings.”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may expose us to claims for personal injury, death or property damage resulting from the use of our products or from employee related matters. Additionally, we could be subject to potential litigation associated with compliance with various laws and governmental regulations at the federal, state or local levels, such as those relating to the protection of persons with disabilities, employment, health, safety, security and other regulations under which we operate.</w:t>
      </w:r>
    </w:p>
    <w:p>
      <w:pPr>
        <w:spacing w:after="0" w:line="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carry comprehensive insurance, subject to deductibles, at levels we believe are sufficient to cover existing and future claims made during the respective policy periods. However, we may be exposed to multiple claims, and, as a result, could incur significant out-of-pocket costs before reaching the deductible amount, which could adversely affect our financial condition and results of operations. In addition, the cost of such insurance policies may increase significantly upon renewal of those policies as a result of general rate increases for the type of insurance we carry as well as our historical experience and experience in our industry. Although we have not experienced any material losses that were not covered by insurance, our existing or future claims may exceed the coverage level of our insurance, and such insurance may not continue to be available on economically reasonable terms, or at all. If we are required to pay significantly higher premiums for insurance, are not able to maintain insurance coverage at affordable rates or must pay amounts in excess of claims covered by our insurance, then we could experience higher costs that could adversely affect our financial condition and results of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disputes could disrupt our ability to serve our customers and/or lead to higher labor costs.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2022, we had 333 full-time employees, none of whom are represented by unions or covered by collective bargaining agreements. If a union sought to organize any of our employees, such organizing efforts or collective bargaining negotiations could potentially lead to work stoppages and/or slowdowns or strikes by certain of our employees, which could adversely affect our ability to serve our customers. Further, settlement of actual or threatened labor disputes or an increase in the number of our employees covered by collective bargaining agreements can have unknown effects on our labor costs, productivity and flexibility.</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Products and Manufacturing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obtain Underwriters Laboratories ("UL") and other related certifications for our future generations of product.</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existing generation of battery systems has received Underwriters Laboratories ("UL") 1973 certification and has been tested for UL 9540A. Based on these North American certifications, we also intend to expand our current generation of battery systems product certification to other national standards such as European Conformity (“CE”) marking in the European Union and the international certification of the International Electrotechnical Commission (“IEC”). We also intend to obtain the UL certification and all applicable safety standards for our future products. Failure to obtain UL, IEC or CE certification would have a significant impact on our revenues, as such certifications are required by most of our customers. As Battery Storage is a relatively new market segment, additional rules will be introduced and regulation changes will occur. We must continue to adapt and ensure conformity to new standards and regulations introduced in the market.</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Compared to traditional Li-ion energy storage technologies, our cells and modules have less power density and round trip efficiency and may be considered inferior to competitors’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 w:name="page20"/>
    <w:bookmarkEnd w:id="19"/>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the energy density of the Eos Z3 battery enclosure product is significantly improved compared to the Eos Gen 2.3 enclosure product, and we believe that for certain installation sites the Eos Z3 systems may now equal Li-ion energy density per acre of land, traditional Li-ion cells and modules continue to offer higher power density and a lower self-discharge rate than Eos cells and modules. The differences in power density and energy efficiency become lower when comparing full size Li-ion systems to Eos Z3 systems due to the differences in auxiliary loads required by Li-ion systems and safety spacing between enclosures required by Li-ion, however, if customers were to place greater value on power density and efficient power delivery on a cell and module basis, then we could have difficulty positioning our batteries as a viable or compelling alternative to traditional Li-ion batteries and our business would suffer.</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manufacturing experience and could experience difficulty in producing commercial volumes of the battery storage system, establishing manufacturing capacity to scale and in meeting potential cost savings and efficiencies from anticipated improvements to our manufacturing capabilities.</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limited experience in commercial manufacturing of the battery storage system. On August 21, 2019, we entered into a joint venture agreement with Holtec and formed Hi-Power, which was owned 51% by Holtec and 49% by us. We acquired the 51% equity interest owned by Holtec in April 2021. Because we have limited prior commercial manufacturing experience, we may incur manufacturing inefficiencies, delays or interruptions. Our current manufacturing and testing processes do not require significant technological or production process expertise. However,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and/or expand our capacity. In addition, our failure to maintain appropriate quality assurance processes could result in increased product failures, loss of customers, increased warranty reserve, decreased production, and logistical costs and delays. Any of these developments could have a material adverse effect on our business, financial condition, and results of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date, we have only manufactured batteries in limited quantities for commercial customers. The output achieved to date is a fraction of what the Company expects will be necessary for full commercialization and to meet the demand we see in the market for our product. The manufacturing process for commercial scale is being refined and improved. There are risks associated with scaling up manufacturing to commercial volumes including, among others, technical or other problems with process scale-up, process reproducibility, stability issues, quality consistency, timely availability of raw materials and cost overruns. There is no assurance that we will be successful in establishing a larger-scale commercial manufacturing process that achieves our objectives for manufacturing capacity and cost per battery, in a timely manner or at all. If we are unable to produce sufficient quantities of product for commercialization on a timely basis and in a cost-effective manner, the Company's commercialization efforts would be impaired which could materially affect our business, financial condition, results of operations and growth prospects.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delays, disruptions, or quality control problems in our manufacturing operations.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require significant amounts of certain components and raw materials. We deploy a continuous, company wide process to source the components and raw materials from a few suppliers. If we are unable to source these components or raw materials, our operations may be disrupted, or we could experience a delay or halt in certain of our manufacturing operations. We believe that our supply management and production practices are based on an appropriate balancing of the foreseeable risks and the costs of alternative practices. Nonetheless, reduced availability or interruption in supplies, whether resulting from more stringent regulatory requirements, supplier financial condition, increases in duties and tariff costs, disruptions in transportation, an outbreak of a severe public health pandemic, such as the COVID-19 pandemic, including resurgences and the emergence of new variants, severe weather, the occurrence or threat of wars, including the ongoing Russia-Ukraine war, inflation, or increased interest rates could have an adverse effect on our financial condition, results of operations and cash flows. For example, we have experienced supply chain issues related to the COVID-19 pandemic, including but not limited to suppliers utilizing force majeure provisions under existing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1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Furthermore, the ongoing global economic recovery from the COVID-19 pandemic has caused challenges for global supply chains resulting in inflationary cost pressures, component shortages, and transportation delays. In recent periods, we have seen an increase in costs for a wide range of materials and components and logistics, and such increases may continue, particularly if the high rates of inflation seen in 2022 persist. We expect prices for these materials to continue to increase in the near term and then to fluctuate over time. Available supply for these materials may also be unstable, depending on market conditions and global demand for these materials. We have also experienced increased prices and/or inconsistent quality and supply of the components. Any reduced availability of these materials may impact our access and any further increases in their prices may reduce our profitability if we cannot recoup the increased costs through increased prices for our products. Moreover, any such attempts to increase product prices may be difficult to achieve and even if achieved, may harm our brand, prospects and operating results.</w:t>
      </w:r>
    </w:p>
    <w:p>
      <w:pPr>
        <w:spacing w:after="0" w:line="1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Some of our customers may experience project delays as a result of delays in site selection and preparation, procedures of obtaining necessary permissions and establishing grid connections. These delays have impacted, and may, from time to time, continue to impact the timing of our product deliveries and our results of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insurance coverage to cover business continuity.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a single manufacturing site in Turtle Creek, Pennsylvania to manufacture the products to our customers. As a result, a sustained or repeated interruption in the manufacturing of our products due to labor shortage, fire, flood, war, pandemic, or natural disasters may interfere with our ability to manufacture our products and fulfill customers’ demands in a timely manner. Failure to manufacture our products and meet customer demands would impair our ability to generate revenues which would adversely affect our financial results.</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Defects or performance problems in our products could result in loss of customers, reputational damage, and decreased revenue, facing warranty, indemnity, and product liability claims that may arise from defective products.</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inception, our business objectives have been focused on producing a safe, low-cost grid-scale energy storage solution to meet the increasing demand for and adoption of renewable energy generation assets. Our Gen 2.3 battery design has, after years of research and prototype development, resulted in robust control of cell-to-cell spacing using a method which can easily be scaled for mass manufacturing production.</w:t>
      </w:r>
    </w:p>
    <w:p>
      <w:pPr>
        <w:spacing w:after="0" w:line="9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Although our products meet our stringent quality requirements, they may contain undetected errors or defects, especially when first introduced or when new generations of products are released. Errors, defects, or poor performance can arise due to design flaws, defects in raw materials or components or manufacturing difficulties, which can affect the quality of our products. In addition, our BMS software may contain errors, bugs, vulnerabilities (including to cyber attacks), design defects or technical limitations. Some errors, bugs or vulnerabilities inherently may be difficult to detect. Any actual or perceived errors, bugs, vulnerabilities, defects, or poor performance in our products could result in the replacement or recall of our products, shipment delays, rejection of our products, damage to our reputation, legal claims, lost revenue, diversion of our engineering personnel from our product development efforts, and increases in customer service and support costs, all of which could have a material adverse effect on our business, financial condition, and results of operations.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defective components may give rise to warranty, indemnity, or product liability claims against us that exceed any revenue or profit we receive from the affected products. Generally, our product comes with an initial two (2) year manufacturing warranty. We also offer customers an extended performance warranty of up to twenty (20) years at an additional cost to the customer. The price charged for any such extended warranty is based on the use case of the customer and the additional performance that such customer desires. For extended warranties, this may require system augmentation or battery replacements, which would be provided at no additional charge beyond the price of the extended warranty paid by such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accrued reserves for warranty claims, our estimated warranty costs for previously sold products may change to the extent future products are not compatible with earlier generation products under warranty. Our warranty accruals are based on various assumptions, which are based on a short operating history. As a result, these assumptions could prove to be materially different from the actual performance of our systems, causing us to incur substantial unanticipated expense to repair or replace defective products in the future or to compensate customers for defective products. Our failure to accurately predict future claims could result in unexpected volatility in, and have a material adverse effect on, our financial condition.</w:t>
      </w:r>
    </w:p>
    <w:p>
      <w:pPr>
        <w:spacing w:after="0" w:line="1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one of our products were to cause injury to someone or cause property damage, due to a result of product malfunctions, defects, or improper installation, we could be exposed to product liability claims. We could incur significant costs and liabilities if we are sued and if damages are awarded against us. Further, any product liability claim we face could be expensive to defend and could divert management’s attention. The successful assertion of a product liability claim against us could result in potentially significant monetary damages, penalties or fines, subject us to adverse publicity, damage our reputation and competitive position, and adversely affect sales of our products. In addition, product liability claims, injuries, defects, or other problems experienced by other companies in the battery industry could lead to unfavorable market conditions for the industry as a whole and may have an adverse effect on our ability to attract new customers, thus harming our growth and financial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heavily dependent on third-party suppliers and contractors. Supply chain issues could adversely affect our operations and financial results.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heavily dependent on third-party suppliers and contractors and their ability to deliver sufficient quantities of key components, products and services at reasonable prices and in time for us to meet schedules for the delivery of our products and services. In addition, our operations depend on our ability to anticipate and our suppliers’ ability to fulfill, our needs for sufficient quantities of key components and products. Given the diverse distribution of our suppliers and contract manufacturers, and the long lead times required to manufacture, assemble and deliver our products, problems could arise in production, planning and inventory management, and regulatory compliance that could seriously harm our business. Third-party suppliers may have limited financial resources to withstand challenging business conditions, such as the adverse impact from Covid-19. Suppliers are facing global supply chain challenges, such as truck shortages, container delays, raw materials, etc. While we have taken several initiatives to mitigate the effects of such disruptions and disruptions caused by Covid-19, our business could be negatively impacted if key suppliers are forced to cease or limit their operations.</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elect to expand our production capacity by constructing one or more new manufacturing facilities, we may encounter challenges relating to the construction, management and operation of such facilities.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operate our manufacturing facility located in Pennsylvania. We may, however, seek to construct one or more manufacturing facilities designed to meet our product supply needs in the future. Although we currently believe that we can expand our Turtle Creek facility to a 1.2 gigawatt-hour (“GWh”) manufacturing facility, we cannot provide any assurances that we would be able to successfully establish or operate a new manufacturing facility in a timely or profitable manner, or at all, or within any budget that might be forecasted for such a project. The construction of any such facility would require significant capital expenditures and result in significantly increased fixed costs. If we are unable to transition manufacturing operations to any such new facilities in a cost-efficient and timely manner, then we may experience disruptions in operations, which could negatively impact our business and financial results. Further, if the demand for our products decreases or if we do not produce the expected output after any such new facility is operational, we may not be able to spread a significant amount of our fixed costs over the production volume, thereby increasing our product unit fixed cost, which would have a negative impact on our financial condition and 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expand our manufacturing capacity would also greatly depend on our ability to hire, train and retain an adequate number of manufacturing employees, in particular employees with the appropriate level of knowledge, background and skills. Should we be unable to hire such employees, our business and financial results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incur substantial costs as a result of violations of, or liabilities under, environmental laws.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properties, operations and the products we manufacture are subject to a number of environmental, health and safety laws and regulations in each of the jurisdictions in which we operate. These laws and regulations govern, among other things, air emissions, water discharges, handling and disposal of solid and hazardous substances and wastes, soil and groundwater contamination, employee health and safety and the content of products. Under certain of these laws and regulations, we may be subject to joint and several liability for environmental investigations and remediation, including sites at which waste we</w:t>
      </w:r>
    </w:p>
    <w:p>
      <w:pPr>
        <w:spacing w:after="0" w:line="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generated was disposed, even if the contamination was not caused by us or was lawful at the time it occurred. Our failure to comply with these environmental, health and safety laws and regulations, including failing to obtain any necessary permits, could cause us to incur substantial civil or criminal fines or penalties or enforcement actions, including regulatory or judicial orders enjoining or curtailing our operations or requiring us to conduct or fund remedial or corrective measures, install pollution control equipment or perform other actions. The future identification of presently unidentified environmental conditions, more vigorous enforcement by regulatory agencies, enactment of more stringent laws, regulations or permit requirements, including relating to climate change, or other unanticipated events may arise in the future and give rise to environmental liabilities, which could adversely affect our business, financial condition and results of operations.</w:t>
      </w:r>
    </w:p>
    <w:p>
      <w:pPr>
        <w:spacing w:after="0" w:line="2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from stakeholders and regulators regarding environmental, social and governance ("ESG") practices and disclosures, including those related to climate change and sustainability, could result in additional costs and risks.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Companies across many industries are facing increasing scrutiny relating to their environmental, social and governance practices and disclosures. Our failure to satisfy evolving stakeholder expectations for ESG practices and reporting may potentially harm our reputation and impact employee retention, customer relationships and access to capital and financial markets. We have established goals related to ESG matters. These goals reflect our current plans and aspirations and are not guarantees that we will be able to achieve them. Our efforts to accomplish and accurately report on these goals and objectives present numerous operational, reputational, financial, legal and other risks, any of which could have a material negative impact, including on our reputation and the market price of our common stock.</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certain institutional investors, investor advocacy groups, investment funds, creditors, influential financial markets participants and other stakeholders have become increasingly focused on companies' ESG issues in evaluating their investments and business relationships. Certain organizations also provide ESG ratings, scores and benchmarking studies that assess companies’ ESG practices. Although there are no universally accepted standards for such ratings, scores or benchmarking studies, they are used by some investors to inform their investment and voting decisions. It is possible that our future shareholders or organizations that report on, rate or score ESG practices will not be satisfied with our ESG performance. Unfavorable press about or ratings or assessments of our ESG practices, regardless of whether or not we comply with applicable legal requirements, may lead to negative investor sentiment toward us, which could have a negative impact on our share price and our access to and cost of capital.</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adoption of new ESG-related regulations applicable to our business, or pressure from key stakeholders to comply with additional voluntary ESG-related initiatives or frameworks, could require us to make substantial investments in ESG matters, which could impact the results of our operations. Decisions or related investments in this regard could affect consumer perceptions as to our brand. Furthermore, if our competitors’ corporate responsibility or ESG performance is perceived to be better than ours, potential or current investors may elect to invest with our competitors instead. We could also fail, or be perceived to fail, in our achievement of any announced ESG initiatives, goals or objectives, or we could be criticized for the scope of such initiatives, goals or objectives. If we fail to satisfy the expectations of investors and other key stakeholders or our initiatives, goals or objectives are not executed as planned, our reputation, financial results and market price of our common stock and access to and cost of capital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Risks Related to Our Future Growth</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recent and future growth effectively, we may be unable to execute our business plan, maintain high levels of customer service, or adequately address competitive challenges.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experienced significant growth in recent periods and intend to continue to expand our business significantly within existing and new markets. This growth has placed, and any future growth may place, a significant strain on our management, operational, and financial infrastructure. We will be required to expand, train, and manage our growing employee base and scale and otherwise improve our information technology (“IT”) infrastructure in tandem with that headcount growth. Our management will also be required to maintain and expand our relationships with customers, suppliers, and other third parties and attract new customers and suppliers, as well as manage multiple geographic locations.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current and planned operations, personnel, customer support, IT, information systems, and other systems and procedures might be inadequate to support future growth and may require us to make additional unanticipated investments in its infrastructure. Our success and ability to further scale our business will depend, in part, on our ability to manage these changes in a cost-effective and efficient manner. If we cannot manage our growth, we may be unable to take advantage of market opportunities, execute our business strategies, or respond to competitive pressures. This could also result in declines in quality or customer satisfaction, increased costs, difficulties in introducing new offerings, or other operational difficulties. Any failure to effectively manage growth could adversely impact our business and reputation.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prospects depend on our ability to capitalize on market opportunities.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several market opportunities could help fuel our growth prospects, including the following:</w:t>
      </w:r>
    </w:p>
    <w:p>
      <w:pPr>
        <w:spacing w:after="0" w:line="27" w:lineRule="exact"/>
        <w:rPr>
          <w:sz w:val="20"/>
          <w:szCs w:val="20"/>
          <w:color w:val="auto"/>
        </w:rPr>
      </w:pPr>
    </w:p>
    <w:p>
      <w:pPr>
        <w:ind w:left="340" w:hanging="332"/>
        <w:spacing w:after="0" w:line="235"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pervasiveness of electric grid congestion, creating an opportunity to deploy batteries to reduce the peak energy usage of a customer in specific locations where infrastructure constraints create a need for transmission and/or distribution upgrades;</w:t>
      </w:r>
    </w:p>
    <w:p>
      <w:pPr>
        <w:spacing w:after="0" w:line="1" w:lineRule="exact"/>
        <w:rPr>
          <w:rFonts w:ascii="Times New Roman" w:cs="Times New Roman" w:eastAsia="Times New Roman" w:hAnsi="Times New Roman"/>
          <w:sz w:val="18"/>
          <w:szCs w:val="18"/>
          <w:color w:val="auto"/>
        </w:rPr>
      </w:pPr>
    </w:p>
    <w:p>
      <w:pPr>
        <w:ind w:left="340" w:hanging="332"/>
        <w:spacing w:after="0" w:line="242"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co-location of battery assets on solar or wind farms to store off-peak intermittent renewable energy production and provide on-peak energy at the higher price of alternative energy;</w:t>
      </w:r>
    </w:p>
    <w:p>
      <w:pPr>
        <w:spacing w:after="0" w:line="1" w:lineRule="exact"/>
        <w:rPr>
          <w:rFonts w:ascii="Times New Roman" w:cs="Times New Roman" w:eastAsia="Times New Roman" w:hAnsi="Times New Roman"/>
          <w:sz w:val="18"/>
          <w:szCs w:val="18"/>
          <w:color w:val="auto"/>
        </w:rPr>
      </w:pPr>
    </w:p>
    <w:p>
      <w:pPr>
        <w:ind w:left="320" w:hanging="312"/>
        <w:spacing w:after="0" w:line="234" w:lineRule="auto"/>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C&amp;I end users’ adoption of alternative energy generation technologies to supplement or replace on-the-grid energy usage; and</w:t>
      </w:r>
    </w:p>
    <w:p>
      <w:pPr>
        <w:ind w:left="340" w:hanging="332"/>
        <w:spacing w:after="0" w:line="258"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carbon reduction targets and lower prices from renewables may be forcing earlier retirement of conventional energy sources and drive demand for energy storage.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these expected market opportunities do not materialize, or if we fail to capitalize on them, then we may not be able to meet our growth projections.</w:t>
      </w:r>
    </w:p>
    <w:p>
      <w:pPr>
        <w:spacing w:after="0" w:line="1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financing to achieve our long-term goals and a failure to obtain this capital on acceptable terms may adversely impact our ability to support our business growth strategy.</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and will require significant additional funds. In particular, we will require additional funds to enhance existing products and develop new products, expand our operations domestically and internationally, including our sales and marketing organizations and our presence outside of the United States, improve our infrastructure or acquire complementary businesses, technologies, products and other assets. Accordingly, we anticipate that equity or debt financings to secure additional funds will be necessary to support our business strategy. If we raise additional funds through future issuances of equity or convertible debt securities, our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may not be able to obtain additional financing on terms favorable to us, if at all. If we are unable to obtain adequate financing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meet the covenants in our Senior Secured Term Loan Credit Agreement, we may be subject to default on the loan, which could have a material adverse effect on our business.</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Senior Secured Term Loan contains customary affirmative and negative covenants, which limit the Company’s and its subsidiaries’ ability to incur indebtedness, make restricted payments, including cash dividends on its common stock, make certain investments, loans and advances, enter into mergers and acquisitions, sell, assign, transfer or otherwise dispose of its assets, enter into transactions with its affiliates and engage in sale and leaseback transactions, among other restrictions. The Senior Secured Term Loan also includes a minimum financial liquidity covenant. The minimum financial liquidity covenant requires that the Company have enough available liquidity as of the last day of each fiscal quarter to meet the Interest Escrow Required Amount (as defined in the Senior Secured Term Loan), which is calculated as the aggregate amount of the four immediately following interest payments on loans under the Senior Secured Term Loan. While the Company was in compliance with this covenant as of December 31, 2022, and expects to remain in compliance as of March 31, 2023, absent the Company’s ability to secure additional outside capital, the Company may be unable to remain in compliance with this covenant beginning on June 30, 2023, and thereafter. There can be no assurance that the Company will be able to secure additional outside capital in order to satisfy the minimum financial liquidity covenant on terms acceptable to the Company, on a timely basis, or at all. In the event the Company is unable to remain in compliance with the minimum financial liquidity covenant and the other covenants under the Senior Secured Term Loan, and the Company is further unable to cure such noncompliance or secure a waiver, Atlas may, at its discretion, exercise any and all of its existing rights and remedies, which may include, among other things, entering into a forbearance agreement with the Company and/or asserting its rights in the Company’s assets securing the Senior Secured Term Loan. Moreover, the Company’s other lenders may exercise similar rights and remedies under the cross-default provisions of their respective borrowing arrangements with the Company. See Note 13,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to our consolidated financial statements included elsewhere in this Annual Report.</w:t>
      </w:r>
    </w:p>
    <w:p>
      <w:pPr>
        <w:spacing w:after="0" w:line="2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planned expansion into new geographic markets or new product lines or services could subject us to additional business, financial, and competitive risks.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2022 and 2021, we sold our products in a number of different countries, including the United States, India, Greece, and Nigeria. We have in the past, and may in the future, evaluate opportunities to expand into new geographic markets and introduce new product offerings and services that are a natural extension of our existing business. We also may from time to time engage in acquisitions of businesses or product lines with the potential to strengthen our market position, enable us to enter attractive markets, expand our technological capabilities, or provide synergy opportunities.</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success operating in these new geographic or product markets, or in operating any acquired business, will depend on a number of factors, including our ability to develop solutions to address the requirements of the electric utility industry and C&amp;I end users, our timely qualification and certification of new products, our ability to manage increased manufacturing capacity and production, and our ability to identify and integrate any acquired businesses.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any additional markets that we may enter could have different characteristics from the markets in which we currently sell products, and our success will depend on our ability to adapt properly to these differences. These differences may include regulatory requirements, including tax laws, trade laws, labor regulations, tariffs, export quotas, customs duties, or other trade restrictions, limited or unfavorable intellectual property protection, international, political or economic conditions, restrictions on the repatriation of earnings, longer sales cycles, warranty expectations, product return policies and cost, performance and compatibility requirements. In addition, expanding into new geographic markets will increase our exposure to presently existing and new risks, such as fluctuations in the value of foreign currencies and difficulties and increased expenses in complying with United States and foreign laws, regulations, and trade standards, including the Foreign Corrupt Practices Act of 1977, as amended (the “FCPA”).</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Failure to develop and introduce these new products successfully into the market, to successfully integrate acquired businesses or to otherwise manage the risks and challenges associated with our potential expansion into new product and geographic markets, could adversely affect our revenues and our ability to sustain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fluctuate from quarter to quarter, which could make our future performance difficult to predict and could cause our results of operations for a particular period to fall below expectations, resulting in a decline in the price of our common stock.</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our battery sales is primarily recorded upon transfer of ownership of the product to the customer. Under our customer contracts, this transfer typically takes place upon shipment of the battery from our manufacturing facility but, in some instances, occurs upon delivery to a customer site or, even more infrequently, when commercial operation commences. Because our revenues are generally derived from sales of hardware that may take many months to manufacture and prepare for delivery, such revenue can come in peaks and troughs based on the underlying customer arrangements. As a result, our quarterly results of operations are difficult to predict and may fluctuate significantly in the future based on the timing of product deliveries.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United States and Foreign Operations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reduction, elimination or expiration of government subsidies and economic incentives related to renewable energy solutions could reduce demand for our technologies and harm our business.</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promote renewable energy generation and consumption, federal, state, local and foreign government bodies provide incentives to owners, end users, distributors, system integrators and manufacturers of alternative energy systems in the form of rebates, tax credits and other financial incentives such as system performance payments, issuance of renewable energy credits associated with renewable energy generation and exclusion of certain renewable energy systems from property tax assessments.</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relies, in part, on the co-location of battery assets with solar and wind technologies. The market for on-grid applications, where solar or wind power is used to supplement a customer’s electricity purchased from the utility network or sold to a utility under tariff, often depends in large part on the availability and size of government and economic incentives that vary by geographic market. The reduction, elimination or expiration of government subsidies and economic incentives for on-grid renewable electricity may negatively affect the competitiveness of alternative electricity generation relative to conventional and nonrenewable sources of electricity and could harm or halt the growth of the alternative electricity industries. Because our C&amp;I end user sales are generally expected to be made into the on-grid market, these changes could harm our business. For example, the Inflation Reduction Act enacted in August 2022 allows owners of new batteries to claim an ITC of between 30% and 70% during 2023 through a period that extends at least into the 2030s and possibly longer. The tax credit amount depends on the location of the battery and amount of domestic content. Companies should have an incentive to buy US-made batteries to qualify for a higher tax credit. A condition to claim tax credits at these levels is the same wages that are paid on federal construction projects must be paid to mechanics and laborers who work at the project site and lay down yard during construction and for the five years after on alterations and repairs, and qualified apprentices must be used during the same periods for as much as 15% of total labor hours.</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Inflation Reduction Act also allows manufacturers of certain battery components made in the United States to claim tax credits. The Internal Revenue Service will pay such manufacturers the tax credit amounts in cash for the first five tax years after the manufacturer starts producing. The tax credits for manufacturers start phasing down in amount after 2029 and end after 2032.</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Both sets of tax credits are expected to increase demand for batteries and encourage more US domestic manufacturing of batteries. If in the future, Congress were to repeal or cut back the incentives, it could have an adverse impact on our business, financial condition, and results of operations.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subsidies and incentives may expire on a particular date, end when the allocated funding is exhausted or be reduced or terminated as renewable energy adoption rates increase or as a result of legal challenges, the adoption of new statutes or regulations or the passage of time. These reductions or terminations often occur without warning.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several jurisdictions have adopted renewable portfolio standards, which mandate that a certain portion of electricity delivered by utilities to customers each year must come from renewable energy resources. Utilities must either generate the renewable electricity themselves or buy renewable energy credits ("REC"s) from independent generators who have been awarded them for generating renewable electricity. Utilities may buy such RECs bundled with renewable electricity. An REC allows the utility to add this electricity to its renewable portfolio requirement total without actually expending the capital for generating facilities. However, there can be no assurances that such policies will continue.</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subsidies and incentives applicable to alternative energy implementation or usage are reduced or eliminated, or the regulatory landscape otherwise becomes less favorable, then there could be reduced demand for alternative energy solutions, which could have an adverse impact on our business, financial condition, and results of operations. See Part I, Item I - Business - Regulations for further discussion of government programs and incentives.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U.S. trade environment, including the imposition of import tariffs, could adversely affect the amount or timing of our revenues, results of operations or cash flows.</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procure the felt required for our batteries and the electrical cables for the Eos Cube from China, as we believe that the materials procured from our Chinese suppliers currently have the best overall performance and price compared to domestic alternatives. Trade tensions between the United States and China have led to certain increased tariffs and trade restrictions. There can be no guarantee that these developments will not negatively impact the price of the felt used in our products. We believe we could obtain a similar performing felt and electrical cabling in the United States, but such sources would likely also charge a higher cost than our current suppliers, which would negatively impact our gross margins. It is difficult to predict what further trade-related actions governments may take, which may include additional or increased tariffs and trade restrictions, and we may be unable to quickly and effectively react to such actions, which could result in supply shortages and increased costs.</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operations in the United States, which exposes us to multiple federal, state and local regulations. Changes in applicable law, regulations or requirements, or our material failure to comply with any of them, can increase our costs and have other negative impacts on our business.</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Applicable laws and requirements address multiple aspects of our operations, such as worker safety, consumer rights, privacy, employee benefits and more, and can often have different requirements in different jurisdictions. Changes in these requirements, or any material failure to comply with them, could increase our costs, affect our reputation, limit our business, drain management’s time and attention or otherwise, generally impact our operations in adverse ways.</w:t>
      </w:r>
    </w:p>
    <w:p>
      <w:pPr>
        <w:spacing w:after="0" w:line="1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any violations of the FCPA, the U.K. Bribery Act, and other foreign anti-bribery laws, as well as violations against export controls and economic embargo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FCPA prohibits companies and their intermediaries from making improper payments to foreign government officials for the purpose of obtaining or retaining business. Other countries in which we operate also have anti-bribery laws, some of which prohibit improper payments to government and non-government persons and entities. Our policies mandate compliance with these anti-bribery laws. However, we currently operate in and intend to further expand into, many parts of the world that have experienced governmental corruption to some degree and, in certain circumstances, strict compliance with anti-bribery laws may conflict with local customs and practices. In addition, due to the level of regulation in our industry and related energy industries, our entry into certain jurisdictions may require substantial government contact where norms can differ from U.S. standards. Although we expect to maintain strict internal control policies and procedures designed to guard against improper conduct, there can be no guarantee that our employees, agents, and business partners will not take actions in violation of our internal control policies. In the event that we believe or have reason to believe that our employees or agents have or may have violated applicable laws, including anti-corruption laws, we may be required to investigate or have outside counsel investigate the relevant facts and circumstances, and detecting, investigating and resolving actual or alleged violations can be expensive and require significant time and attention from senior management. Any violation of U.S. federal and state and non-U.S. laws, regulations and policies could result in substantial fines, sanctions, civil and/or criminal penalties, and curtailment of operations in the United States or other applicable jurisdictions. In addition, actual or alleged violations could damage our reputation and ability to do business. Any of the foregoing could materially adversely affect our business, financial condition and results of operations.</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we are subject to the export controls and economic embargo rules and regulations of the United States,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While we do not conduct business with sanctioned and embargoed countries and we expect to maintain strict internal controls policies and procedures designed to guard against improper conduct,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or incur significant costs in defending, our intellectual property and other proprietary rights, then our business and results of operations could be materially harmed.</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protect our intellectual property and other proprietary rights. We rely on a combination of patent, trademark, copyright, trade secret and unfair competition laws, as well as confidentiality and other contractual provisions with our customers, suppliers, employees, and others, to establish and protect our intellectual property and other proprietary rights. Our ability to enforce these rights is subject to general litigation risks, as well as uncertainty as to the enforceability of our intellectual property rights in various countries. When we seek to enforce our rights, we may be subject to claims that our intellectual property rights are invalid or not enforceable. Our assertion of intellectual property rights may result in another party seeking to assert claims against us, which could harm our business. Our inability to enforce intellectual property rights under any of these circumstances would likely harm our competitive position and business.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been issued patents in, or have patent applications pending in the United States, North America, Europe, South America, Asia and Australia.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intellectual property may be stolen or infringed upon. Despite our implementation of security measures, our IT systems and those of our service providers are vulnerable to circumstances beyond our reasonable control which may lead to the theft of our intellectual property or trade secrets or business disruption, including inappropriate retention or disclosure of trade secrets by current or former employees. To the extent that any disruption or security breach results in a loss or damage to our data or an inappropriate disclosure of confidential information, it could cause significant damage to our reputation, affect our relationships with our customers, suppliers and employees and lead to claims against the company. Any lawsuits that we may initiate to protect our significant investment in our intellectual property also may consume management and financial resources for long periods of time and may not result in favorable outcomes, which may adversely affect our business, results of operations or financial condition.</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competitors and other third parties hold numerous patents related to technology used in our industry. From time to time, we may be subject to claims of intellectual property right infringement and related litigation, and, if we gain greater recognition in the market, we will face a higher risk of being the subject of claims that we have violated others’ intellectual property rights. While we believe that our products and technology do not infringe in any material respect upon any valid intellectual property rights of third parties, we cannot be certain that we would be successful in defending against any such claims. If we do not successfully defend or settle intellectual property claims, we could be liable for significant monetary damages and could be prohibited from continuing to use certain technology, business methods, content, or brands. To avoid a prohibition, we could seek a license from the applicable third party, which could require us to pay significant royalties, increasing our operating expenses. If a license is not available at all or not available on reasonable terms, then we may be required to develop or license a non-violating alternative, either of which could require significant effort and expense. If we cannot license or develop a non-violating alternative, we would be forced to limit or stop sales of our offerings and may be unable to effectively compete. Any of these results would adversely affect our business, financial condition, and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any shares of common stock are issued upon exercise of any of the warrants, the number of shares eligible for resale in the public market would increase.</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7,326,654 outstanding warrants exercisable to purchase 7,326,654 shares of common stock at an exercise price of $11.50 per share. To the extent that any shares of common stock are issued upon exercise of any of the warrants to purchase shares of common stock, there will be an increase in the number of shares of common stock eligible for resale in the public market. Sales of a substantial number of such shares in the public market could adversely affect the market price of our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our Charter and Delaware law may have the effect of discouraging lawsuits against our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Charter requires, unless we consent in writing to the selection of an alternative forum, that (i) any derivative action or proceeding brought on our behalf, (ii) any action asserting a claim of breach of a fiduciary duty owed by any director, officer or other employee to us or our stockholders, (iii) any action asserting a claim against us, our directors, officers or employees arising pursuant to any provision of the DGCL or our Charter or our bylaws, or (iv) any action asserting a claim against us or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10 days following such determination), (B) which is vested in the exclusive jurisdiction of a court or forum other than the Court of Chancery, (C) for which the Court of Chancery does not have subject matter jurisdiction, or (D) any action arising under the Securities Act of 1933, as amended ("Securities Act"),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that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the foregoing, our Charter provides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Although we believe that this provision benefits us by providing increased consistency in the application of Delaware law in the types of lawsuits to which it applies, the provision may have the effect of discouraging lawsuits against our directors and officers.</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may inhibit a takeover of us, which could limit the price investors might be willing to pay in the future for our common stock and could entrench management.</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Charter contains provisions that may hinder unsolicited takeover proposals that stockholders may consider to be in their best interests. We are also subject to anti-takeover provisions under Delaware law, which could delay or prevent a change of control. Together these provisions may make it more difficult to remove management and may discourage transactions that otherwise could involve payment of a premium over prevailing market prices for our securities. These provisions include:</w:t>
      </w:r>
    </w:p>
    <w:p>
      <w:pPr>
        <w:spacing w:after="0" w:line="3"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2" w:lineRule="exact"/>
        <w:rPr>
          <w:rFonts w:ascii="Times New Roman" w:cs="Times New Roman" w:eastAsia="Times New Roman" w:hAnsi="Times New Roman"/>
          <w:sz w:val="18"/>
          <w:szCs w:val="18"/>
          <w:color w:val="auto"/>
        </w:rPr>
      </w:pPr>
    </w:p>
    <w:p>
      <w:pPr>
        <w:ind w:left="340" w:hanging="332"/>
        <w:spacing w:after="0" w:line="263"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the Board;</w:t>
      </w:r>
    </w:p>
    <w:p>
      <w:pPr>
        <w:ind w:left="340" w:hanging="332"/>
        <w:spacing w:after="0" w:line="261"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22" w:lineRule="exact"/>
        <w:rPr>
          <w:rFonts w:ascii="Times New Roman" w:cs="Times New Roman" w:eastAsia="Times New Roman" w:hAnsi="Times New Roman"/>
          <w:sz w:val="18"/>
          <w:szCs w:val="18"/>
          <w:color w:val="auto"/>
        </w:rPr>
      </w:pPr>
    </w:p>
    <w:p>
      <w:pPr>
        <w:jc w:val="both"/>
        <w:ind w:left="340" w:right="20" w:hanging="332"/>
        <w:spacing w:after="0" w:line="259"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the Company; and</w:t>
      </w:r>
    </w:p>
    <w:p>
      <w:pPr>
        <w:ind w:left="340" w:hanging="332"/>
        <w:spacing w:after="0" w:line="282"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meeting of stockholders may only be called by members of our Board or the stockholders holding a majority of our shares, which may delay the ability of our stockholders to force consideration of a proposal or to take action, including the removal of directors.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may decline regardless of our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Fluctuations in the price of our securities could contribute to the loss of part or all your investment.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36"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2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3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industries in which we operate in general;</w:t>
      </w:r>
    </w:p>
    <w:p>
      <w:pPr>
        <w:spacing w:after="0" w:line="2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3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new and enhanced products on a timely basis;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3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common stock available for public sale;</w:t>
      </w:r>
    </w:p>
    <w:p>
      <w:pPr>
        <w:spacing w:after="0" w:line="2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31" w:lineRule="exact"/>
        <w:rPr>
          <w:rFonts w:ascii="Times New Roman" w:cs="Times New Roman" w:eastAsia="Times New Roman" w:hAnsi="Times New Roman"/>
          <w:sz w:val="18"/>
          <w:szCs w:val="18"/>
          <w:color w:val="auto"/>
        </w:rPr>
      </w:pPr>
    </w:p>
    <w:p>
      <w:pPr>
        <w:ind w:left="340" w:hanging="332"/>
        <w:spacing w:after="0" w:line="261"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common stock by our directors, executive officers or significant stockholders or the perception that such sales could occur; and</w:t>
      </w:r>
    </w:p>
    <w:p>
      <w:pPr>
        <w:ind w:left="340" w:right="20" w:hanging="332"/>
        <w:spacing w:after="0" w:line="276"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market conditions such as recessions, inflation, interest rates, fuel prices, international currency fluctuations and acts of war or terrorism.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resales of our common stock may cause the market price of our securities to drop significantly, even if our business is doing well.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companies affected. The trading prices and valuations of these stocks, and of our securities, may not be predictable. A loss of investor confidence in the market for the stocks of other companies that investors perceive to be like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Warrants will be in the money at the time they become exercisable, and they may expire worthless.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exercise price for the outstanding warrants is $11.50 per share of common stock. There can be no assurance that the warrants will be in the money following the time they become exercisable and prior to their expiration, and as such, the Warrants may expire worthless.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common stock will be able to comply with the continued listing standards of Nasdaq.</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shares of our common stock and warrants are listed on Nasdaq. If Nasdaq delists the common stock from trading on its exchange for failure to meet the listing standards, we and our stockholders could face significant material adverse consequences including:</w:t>
      </w: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7" w:lineRule="exact"/>
        <w:rPr>
          <w:rFonts w:ascii="Times New Roman" w:cs="Times New Roman" w:eastAsia="Times New Roman" w:hAnsi="Times New Roman"/>
          <w:sz w:val="18"/>
          <w:szCs w:val="18"/>
          <w:color w:val="auto"/>
        </w:rPr>
      </w:pPr>
    </w:p>
    <w:p>
      <w:pPr>
        <w:ind w:left="340" w:hanging="332"/>
        <w:spacing w:after="0" w:line="276"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possibly resulting in a reduced level of trading activity in the secondary trading market for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3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in the foreseeable future and, consequently, your ability to achieve a return on your investment will depend on appreciation in the price of our common stock.</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do not anticipate paying any cash dividends in the foreseeable future. Any future determination to declare cash dividends will be made at the discretion of our board of directors, subject to applicable laws, and will depend on our financial condition, results of operations, capital requirements, general business conditions and other factors that our board of directors may deem relevant.</w:t>
      </w:r>
    </w:p>
    <w:p>
      <w:pPr>
        <w:spacing w:after="0" w:line="1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because we have opted to use the reduced reporting requirements available to us, certain investors may find investing in our securities less attractive.</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smaller reporting company, we are permitted to comply with scaled-back disclosure obligations in our SEC filings compared to other issuers, including with respect to disclosure obligations regarding executive compensation in our periodic reports and proxy statements. We have elected to adopt the accommodations available to smaller reporting companies. Until we cease to be a smaller reporting company, the scaled-back disclosure in our SEC filings will result in less information about our company being available than for other public companies. If investors consider our common stock less attractive as a result of our election to use the scaled-back disclosure permitted for smaller reporting companies, there may be a less active trading market for our common stock and our share price may be more volatile.</w:t>
      </w:r>
    </w:p>
    <w:p>
      <w:pPr>
        <w:spacing w:after="0" w:line="1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are also a non-accelerated filer under the Securities Exchange Act of 1934, as amended (the “Exchange Act”), and we are not required to comply with the auditor attestation requirements of Section 404(b) of the Sarbanes-Oxley Act of 2002. Therefore, our internal controls over financial reporting will not receive the level of review provided by the process relating to the auditor attestation included in annual reports of issuers that are subject to the auditor attestation requirements. In addition, we cannot predict if investors will find our common stock less attractive because we are not required to comply with the auditor attestation requirements. We cannot predict if investors will find our securities less attractive because we rely on these available exemptions. If some investors find our securities less attractive as a result, there may be a less active trading market for our securities and the market price of our securities may be more volatile.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corporate headquarters are located in Edison, New Jersey, in an office consisting of approximately 63,000 square feet of office, testing and product design space. We have a ten-year lease on our corporate headquarters, which expires on September 14, 2026.</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manufacturing facility is located in the Turtle Creek, Pittsburgh area in Pennsylvania. In January 2022, the Company entered into a new lease agreement for a building next to our existing manufacturing site. We expanded our annual manufacturing capacity from approximately 260 MWh to approximately 800+ MWh in 2022. The leases of the facility expire on December 31, 2026.</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existing properties are in good condition and are sufficient and suitable for the conduct of our business for the foreseeable future. To the extent we need to increase our footprint as our business grows, we expect that additional space and facilities will be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arising out of the Company’s operations.</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disclosed in Note 17,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elsewhere in this Annual Report, the Company was under a previously-reported investigation by the U.S. Department of Justice (the “DOJ”) for underpayment of certain custom duties in past years in connection with imports of batteries and battery components manufactured abroad. On July 7, 2022, the Company entered into a settlement agreement (the “Settlement Agreement”) with the DOJ and Vincent Icolari (“Relator”) to resolve the investigation. The investigation resulted from a qui tam lawsuit (the “Civil Action”) filed by the Relator in December 2019 alleging violations of the False Claims Act. Pursuant to the terms of the Settlement Agreement, Eos Energy has agreed to pay a total of $1.0 million to the United States and $0.1 million to Relator’s counsel. The Company has fully settled this liability as of December 31, 2022.</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24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EOS's shares of common stock and warrants are traded on The Nasdaq Capital Market under the ticker symbols “EOSE” and “EOSEW”,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22, 2023, there were 258 holders of record of EOS common stock and 3 holders of record of EOS warrants.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do not anticipate paying any cash dividends in the foreseeable future. Any future determination to declare cash dividends will be made at the discretion of our board of directors, subject to applicable laws, and will depend on our financial condition, results of operations, and capital requirements, general business conditions and other factors that our board of directors may deem relevant.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consolidated financial statements and related notes thereto included elsewhere in this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“Forward-Looking Statements” and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3" w:name="page34"/>
    <w:bookmarkEnd w:id="3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was originally incorporated in Delaware on June 3, 2019 as a special purpose acquisition company under the name B. Riley Principal Merger Corp. II. ("BMRG"), in order to acquire one or more businesses, through a merger, capital stock exchange, asset acquisition, stock purchase, reorganization or a similar business combination. Upon the closing of a business combination with Eos Energy Storage, LLC on November 16, 2020 (the "Merger”), the Company changed its name to “Eos Energy Enterprises, Inc.” The Company’s common shares started trading under the ticker NASDAQ: EOSE on November 16, 2020.</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9, 2021, the Company acquired, from Holtec, the 51% interest in Hi-Power that was not already owned by the Company. Following the consummation of the transaction, Hi-Power became a 100% indirect, wholly-owned subsidiary of the Company and the obligations of the parties under the Hi-Power joint venture terminated.</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designs, develops, manufactures, and markets innovative zinc-based energy storage solutions for utility-scale, microgrid, and commercial &amp; industrial (“C&amp;I”) applications. The Company has developed a broad range of intellectual property with multiple patents covering unique battery chemistry, mechanical product design, energy block configuration and a software operating system (Battery Management System). The Battery Management System (“BMS”) software uses proprietary Eos-developed algorithms and includes ambient and battery temperature sensors, as well as voltage and electric current sensors for the electrical strings and the system. The Company focuses on designing, developing, producing and selling safe, reliable, long-lasting, low-cost turn-key alternating current (“AC”) integrated systems using Eos’ direct current (“DC”) Battery Energy Storage System (“BESS”). The Company’s primary applications focus on integrating battery storage solutions with: (1) renewable energy systems that are connected to the utility power grid; (2) renewable energy systems that are not connected to the utility power grid; (3) storage systems utilized to relieve congestion; and (4) storage systems to assist C&amp;I customers in reducing their peak energy usage or participating in the utilities ancillary and demand response markets. The Company has a manufacturing facility in Turtle Creek, Pennsylvania to produce DC energy blocks with an integrated BMS. The Company’s primary market is North America with opportunistic growth opportunities in Europe, Oceania, Africa, and Asia. The Company has one operating and reportable segment.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SEC-registered and Nasdaq-listed company, we are required to implement procedures and processes to address public company regulatory requirements and customary practices and have, and will continue to, hire additional personnel in this context. We have incurred additional annual expenses as a public company for, among other things, directors’ and officers’ liability insurance, director fees, internal and external accounting, legal, administrative resources, including increased personnel costs, and audit and other professional service fees.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currently operating in a period of global economic and geopolitical uncertainty, which has been exacerbated by the ongoing military conflict between Russia and Ukraine. Although the length and impact of the ongoing military conflict is highly unpredictable, the conflict in Ukraine has led to market disruptions, including significant volatility in commodity prices, credit and capital markets, an increase in cybersecurity incidents as well as additional supply chain disruptions. The Company’s business has not been materially impacted by the ongoing military conflict in Ukraine as of the date of this filing, however, we continue to monitor these developments. See Part 1, Item 1A - Risk Factors section for further discussion.</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novel coronavirus (“COVID-19”) outbreak has had an adverse effect on the Company's workforce and operations, as well as the operations of its customers, distributors, suppliers and contractors. Management continues to monitor for a potential resurgence of COVID-19 and remains focused on maintaining protective measures to ensure the safety, health and welfare of the Company’s workforce. A potential resurgence of COVID-19 may impact the Company’s financial condition and results of operations in the future. Refer to Part 1, Item 1A - Risk Factors section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Reduction Act of 2022 (“IRA”)</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IRA features significant economic incentives for both energy storage customers and manufacturers for projects placed in service after December 31, 2022. One of the most important features of the IRA legislation is that it offers a 10-year term tax credit, whereas, historically similar industrial credits have been shorter in duration. Customers placing new energy storage facilities in service after this date may be allowed to claim at least a thirty percent investment tax credit (“ITC”) under certain conditions. The IRA also offers an extra ten percent credit if the project is in an “energy community” and another ten percent credit if the project satisfies domestic content requirements, which will be set forth when the implementing regulations are finalized. The ten percent bonus for domestic content could represent a strategic advantage for the Company resulting from our near-sourcing and Made in America strategy, and we currently anticipate that projects utilizing Eos batteries will qualify for the bonus.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Starting in 2023, there are also meaningful PTC that can be claimed on battery components manufactured in the US and sold to customers, which could apply to the Company, including credits for ten percent of the cost incurred to make electrode active materials, $35 per kWh of capacity of battery cells, and $10 per kWh of capacity of battery modules. These credits are cumulative, meaning the Company expects to be able to claim the tax credit amount for each component. The IRA directs the Internal Revenue Service to pay manufacturers the cash value, also known as direct pay, of PTCs for making battery components, and therefore, these credits may be a new source of cash flow for Eos. The direct pay option is valid for up to five tax years, after which any such tax credits can be sold to other companies for cash.</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Highlights</w:t>
      </w:r>
    </w:p>
    <w:p>
      <w:pPr>
        <w:spacing w:after="0" w:line="256" w:lineRule="exact"/>
        <w:rPr>
          <w:sz w:val="20"/>
          <w:szCs w:val="20"/>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November 2022, the Company announced an order for a 35 MWh energy storage system capable of 10-hour discharge duration. The order, worth $13.5 million, is funded by a grant through the CEC’s LDES Program as part of a project being carried out by Indian Energy, a 100 percent Native American-owned business, to create a first-of-its-kind resilient clean energy microgrid.</w:t>
      </w:r>
    </w:p>
    <w:p>
      <w:pPr>
        <w:spacing w:after="0" w:line="67" w:lineRule="exact"/>
        <w:rPr>
          <w:rFonts w:ascii="Times New Roman" w:cs="Times New Roman" w:eastAsia="Times New Roman" w:hAnsi="Times New Roman"/>
          <w:sz w:val="18"/>
          <w:szCs w:val="18"/>
          <w:i w:val="1"/>
          <w:iCs w:val="1"/>
          <w:color w:val="auto"/>
        </w:rPr>
      </w:pPr>
    </w:p>
    <w:p>
      <w:pPr>
        <w:jc w:val="both"/>
        <w:ind w:left="660" w:hanging="328"/>
        <w:spacing w:after="0" w:line="25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2022, the Company announced it was invited to the due diligence stage of the U.S. Department of Energy’s (“DOE”) Renewable Energy and Efficient Energy Loan Program. The DOE Loan Programs Office’s (“LPO”) invitation to Eos to enter into full due diligence represents an important progression in the LPO’s evaluation of Eos’ loan application. This stage includes LPO performing its due diligence of Eos’ project to expand manufacturing to support at least 3GWh of production capacity. During this stage, the Company and LPO are working to negotiate a term sheet setting out the principal terms and conditions of the loan. However, the DOE invitation to the due diligence stage is not an assurance that the DOE will offer a conditional commitment, or that the Company will secure a loan under the DOE Loan Program.</w:t>
      </w:r>
    </w:p>
    <w:p>
      <w:pPr>
        <w:spacing w:after="0" w:line="7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2022, the Company announced that Jeff Bornstein, former Chief Financial Officer and Vice Chairman of GE and Managing Partner at Generation Capital Partners and Whipstick Ventures, joined the Company’s Board of Directors.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the Company entered into a $100 million Senior Secured Term Loan Credit Agreement (the "Senior Secured Term Loan") with Atlas Credit Partners (ACP) Post Oak Credit I LLC, as administrative agent for the lenders and collateral agent for the secured parties. The Company made total borrowings of $100 million under the Senior Secured Term Loan, composed of borrowings on July 29, 2022, August 4, 2022, and December 7, 2022 of $85.1 million, $9.6 million, and $5.3 million, respectively.</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During 2022, the Company entered into a common stock Standby Equity Purchase Agreement (“SEPA”) with YA II PN, Ltd. an affiliate of Yorkville Advisors. The SEPA gives the Company the right, but not the obligation, to sell up to $75.0 million of common equity to Yorkville at times of the Company’s choosing during the two-year term of the agreement. For the year ended December 31, 2022, funds raised under the SEPA were $14.5 million. See Note 20, </w:t>
      </w:r>
      <w:r>
        <w:rPr>
          <w:rFonts w:ascii="Times New Roman" w:cs="Times New Roman" w:eastAsia="Times New Roman" w:hAnsi="Times New Roman"/>
          <w:sz w:val="18"/>
          <w:szCs w:val="18"/>
          <w:i w:val="1"/>
          <w:iCs w:val="1"/>
          <w:color w:val="auto"/>
        </w:rPr>
        <w:t>Shareholders’ Equity</w:t>
      </w:r>
      <w:r>
        <w:rPr>
          <w:rFonts w:ascii="Times New Roman" w:cs="Times New Roman" w:eastAsia="Times New Roman" w:hAnsi="Times New Roman"/>
          <w:sz w:val="18"/>
          <w:szCs w:val="18"/>
          <w:color w:val="auto"/>
        </w:rPr>
        <w:t xml:space="preserve"> to our consolidated financial statements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jc w:val="both"/>
        <w:ind w:left="328" w:hanging="328"/>
        <w:spacing w:after="0" w:line="261" w:lineRule="auto"/>
        <w:tabs>
          <w:tab w:leader="none" w:pos="323"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During 2022, the Company entered into a Sales Agreement (the “Sales Agreement”) with Cowen and Company, LLC (“Cowen”), with respect to an at-the-market ("ATM") offering program under which the Company may offer and sell, from time to time at its sole discretion, shares of its common stock, par value $0.0001 per common share, having an aggregate offering price of up to $100 million through Cowen as its sales agent and/or principal. For the year ended December 31, 2022, funds raised under the ATM were $38.6 million, net of commissions.</w:t>
      </w:r>
    </w:p>
    <w:p>
      <w:pPr>
        <w:spacing w:after="0" w:line="71" w:lineRule="exact"/>
        <w:rPr>
          <w:rFonts w:ascii="Times New Roman" w:cs="Times New Roman" w:eastAsia="Times New Roman" w:hAnsi="Times New Roman"/>
          <w:sz w:val="18"/>
          <w:szCs w:val="18"/>
          <w:i w:val="1"/>
          <w:iCs w:val="1"/>
          <w:color w:val="auto"/>
        </w:rPr>
      </w:pPr>
    </w:p>
    <w:p>
      <w:pPr>
        <w:jc w:val="both"/>
        <w:ind w:left="328" w:hanging="328"/>
        <w:spacing w:after="0" w:line="266" w:lineRule="auto"/>
        <w:tabs>
          <w:tab w:leader="none" w:pos="32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2022, the Company announced the dedication of the “Eos Ingenuity Lab,” a site focused on expanding the Company’s R&amp;D capacity as it designs future generations of its Znyth™ technology battery and forges a path toward rapid manufacturing and deployment of its energy storage systems.</w:t>
      </w:r>
    </w:p>
    <w:p>
      <w:pPr>
        <w:spacing w:after="0" w:line="67"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Bridgelink Commodities, LLC increased the Bridgelink master supply agreement to 1 GWh of energy storage systems for deliveries over the next three years with an incremental order value of $181 million for new project installations and also issued a separate 40 MWh order valued at $13 million.</w:t>
      </w:r>
    </w:p>
    <w:p>
      <w:pPr>
        <w:spacing w:after="0" w:line="67"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a 300 MWh master supply agreement was signed with a leading Northeast solar developer for front of the meter stand-alone storage and solar storage applications that provide energy shifting and ancillary services with deliveries forecasted over the next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17" w:right="339" w:bottom="1440" w:gutter="0" w:footer="0" w:header="0"/>
        </w:sectPr>
      </w:pPr>
    </w:p>
    <w:bookmarkStart w:id="36" w:name="page37"/>
    <w:bookmarkEnd w:id="36"/>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Revenue</w:t>
            </w:r>
          </w:p>
        </w:tc>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18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40" w:type="dxa"/>
            <w:vAlign w:val="bottom"/>
          </w:tcPr>
          <w:p>
            <w:pPr>
              <w:spacing w:after="0"/>
              <w:rPr>
                <w:sz w:val="20"/>
                <w:szCs w:val="20"/>
                <w:color w:val="auto"/>
              </w:rPr>
            </w:pPr>
          </w:p>
        </w:tc>
        <w:tc>
          <w:tcPr>
            <w:tcW w:w="160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gridSpan w:val="2"/>
            <w:vMerge w:val="continue"/>
          </w:tcPr>
          <w:p>
            <w:pPr>
              <w:spacing w:after="0"/>
              <w:rPr>
                <w:sz w:val="20"/>
                <w:szCs w:val="20"/>
                <w:color w:val="auto"/>
              </w:rPr>
            </w:pPr>
          </w:p>
        </w:tc>
        <w:tc>
          <w:tcPr>
            <w:tcW w:w="2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13,326</w:t>
            </w: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0" w:type="dxa"/>
            <w:vAlign w:val="bottom"/>
          </w:tcPr>
          <w:p>
            <w:pPr>
              <w:spacing w:after="0"/>
              <w:rPr>
                <w:sz w:val="1"/>
                <w:szCs w:val="1"/>
                <w:color w:val="auto"/>
              </w:rPr>
            </w:pPr>
          </w:p>
        </w:tc>
      </w:tr>
      <w:tr>
        <w:trPr>
          <w:trHeight w:val="27"/>
        </w:trPr>
        <w:tc>
          <w:tcPr>
            <w:tcW w:w="26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generates revenues from the delivery of its BESSs and service-related solutions. The Company expects revenues to increase as it scales production to meet customer demand.</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increased by $13.3 million, or 290% from $4.6 million for the year ended December 31, 2021 to $17.9 million for the year ended December 31, 2022. The increase in revenue was primarily driven by the Company’s increase in production and delivery of its energy storage systems and, to a lesser extent, other equipment.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customer projects were deferred out of 2022 and into 2023 and beyond, primarily as a result of the recent passage of the IRA. The IRA includes subsidies for both energy storage customers and manufacturers, which are effective for projects placed in service after December 31, 2022.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18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40" w:type="dxa"/>
            <w:vAlign w:val="bottom"/>
          </w:tcPr>
          <w:p>
            <w:pPr>
              <w:spacing w:after="0"/>
              <w:rPr>
                <w:sz w:val="20"/>
                <w:szCs w:val="20"/>
                <w:color w:val="auto"/>
              </w:rPr>
            </w:pPr>
          </w:p>
        </w:tc>
        <w:tc>
          <w:tcPr>
            <w:tcW w:w="160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gridSpan w:val="2"/>
            <w:vMerge w:val="continue"/>
          </w:tcPr>
          <w:p>
            <w:pPr>
              <w:spacing w:after="0"/>
              <w:rPr>
                <w:sz w:val="20"/>
                <w:szCs w:val="20"/>
                <w:color w:val="auto"/>
              </w:rPr>
            </w:pPr>
          </w:p>
        </w:tc>
        <w:tc>
          <w:tcPr>
            <w:tcW w:w="2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153,260</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106,777</w:t>
            </w: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0" w:type="dxa"/>
            <w:vAlign w:val="bottom"/>
          </w:tcPr>
          <w:p>
            <w:pPr>
              <w:spacing w:after="0"/>
              <w:rPr>
                <w:sz w:val="1"/>
                <w:szCs w:val="1"/>
                <w:color w:val="auto"/>
              </w:rPr>
            </w:pPr>
          </w:p>
        </w:tc>
      </w:tr>
      <w:tr>
        <w:trPr>
          <w:trHeight w:val="27"/>
        </w:trPr>
        <w:tc>
          <w:tcPr>
            <w:tcW w:w="26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goods sold primarily consists of costs relating to direct labor, direct material and overhead that is directly tied to product manufacturing, engineering, procurement and construction (“EPC”), project delivery, commissioning, start-up test procedures, and other indirect costs. Other indirect costs include manufacturing overhead, equipment maintenance, environmental health and safety, quality and production control procurement, transportation, logistics, depreciation and facility-related costs. As a nascent technology with a new manufacturing process that is early in its product lifecycle, the Company still faces significant costs associated with production start-up, commissioning of various components, modules, and subsystems and other related costs. The Company expects its cost of goods sold to exceed revenues in the near term as it continues to scale production and prepares BESSs delivered to customers to go-live.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goods sold increased by $106.8 million, or 230% from $46.5 million for the year ended December 31, 2021 to $153.3 million for the year ended December 31, 2022. The increase was driven by the following: (a) an increase in production volumes and related manufacturing costs; (b) higher freight costs and material costs due to volume and inflation; (c) higher manufacturing scrap and rework costs and production inefficiencies; and (d) higher EPC and commissioning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18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40" w:type="dxa"/>
            <w:vAlign w:val="bottom"/>
          </w:tcPr>
          <w:p>
            <w:pPr>
              <w:spacing w:after="0"/>
              <w:rPr>
                <w:sz w:val="20"/>
                <w:szCs w:val="20"/>
                <w:color w:val="auto"/>
              </w:rPr>
            </w:pPr>
          </w:p>
        </w:tc>
        <w:tc>
          <w:tcPr>
            <w:tcW w:w="160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gridSpan w:val="2"/>
            <w:vMerge w:val="continue"/>
          </w:tcPr>
          <w:p>
            <w:pPr>
              <w:spacing w:after="0"/>
              <w:rPr>
                <w:sz w:val="20"/>
                <w:szCs w:val="20"/>
                <w:color w:val="auto"/>
              </w:rPr>
            </w:pPr>
          </w:p>
        </w:tc>
        <w:tc>
          <w:tcPr>
            <w:tcW w:w="2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expenses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18,469</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6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other personnel-related costs, materials, third-party services, depreciation, and amortization of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costs decreased by $0.7 million or 4% from $19.2 million for the year ended December 31, 2021, to $18.5 million for the year ended December 31, 2022. The decrease in research and development costs was primarily driven by a decrease of $3.4 million in costs for materials and supplies, partially offset by increases of $1.4 million for outside professional services, $0.5 million of payroll and personnel costs, $0.6 million of stock compensation costs and $0.2 million of facility costs.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18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660" w:type="dxa"/>
            <w:vAlign w:val="bottom"/>
          </w:tcPr>
          <w:p>
            <w:pPr>
              <w:spacing w:after="0"/>
              <w:rPr>
                <w:sz w:val="20"/>
                <w:szCs w:val="20"/>
                <w:color w:val="auto"/>
              </w:rPr>
            </w:pPr>
          </w:p>
        </w:tc>
        <w:tc>
          <w:tcPr>
            <w:tcW w:w="13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60" w:type="dxa"/>
            <w:vAlign w:val="bottom"/>
            <w:gridSpan w:val="2"/>
            <w:vMerge w:val="continue"/>
          </w:tcPr>
          <w:p>
            <w:pPr>
              <w:spacing w:after="0"/>
              <w:rPr>
                <w:sz w:val="20"/>
                <w:szCs w:val="20"/>
                <w:color w:val="auto"/>
              </w:rPr>
            </w:pPr>
          </w:p>
        </w:tc>
        <w:tc>
          <w:tcPr>
            <w:tcW w:w="2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60,623</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17,625</w:t>
            </w: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7"/>
        </w:trPr>
        <w:tc>
          <w:tcPr>
            <w:tcW w:w="26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payroll and personnel-related, outside professional services, facilities, depreciation, travel, marketing, and public company costs.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$17.6 million or 41%, from $43.0 million for the year ended December 31, 2021 to $60.6 million for the year ended December 31, 2022. The increase was primarily driven by increases of $10.8 million in payroll and personnel costs and $8.9 million of outside service expenses, partially offset by decreases of $1.9 million in stock compensation costs.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Loss on pre-existing agreement</w:t>
            </w:r>
          </w:p>
        </w:tc>
        <w:tc>
          <w:tcPr>
            <w:tcW w:w="1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05"/>
        </w:trPr>
        <w:tc>
          <w:tcPr>
            <w:tcW w:w="6980" w:type="dxa"/>
            <w:vAlign w:val="bottom"/>
          </w:tcPr>
          <w:p>
            <w:pPr>
              <w:spacing w:after="0"/>
              <w:rPr>
                <w:sz w:val="24"/>
                <w:szCs w:val="24"/>
                <w:color w:val="auto"/>
              </w:rPr>
            </w:pPr>
          </w:p>
        </w:tc>
        <w:tc>
          <w:tcPr>
            <w:tcW w:w="35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680" w:type="dxa"/>
            <w:vAlign w:val="bottom"/>
          </w:tcPr>
          <w:p>
            <w:pPr>
              <w:spacing w:after="0"/>
              <w:rPr>
                <w:sz w:val="24"/>
                <w:szCs w:val="24"/>
                <w:color w:val="auto"/>
              </w:rPr>
            </w:pPr>
          </w:p>
        </w:tc>
      </w:tr>
      <w:tr>
        <w:trPr>
          <w:trHeight w:val="27"/>
        </w:trPr>
        <w:tc>
          <w:tcPr>
            <w:tcW w:w="69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5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80" w:type="dxa"/>
            <w:vAlign w:val="bottom"/>
          </w:tcPr>
          <w:p>
            <w:pPr>
              <w:spacing w:after="0"/>
              <w:rPr>
                <w:sz w:val="20"/>
                <w:szCs w:val="20"/>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pre-existing agreement</w:t>
            </w:r>
          </w:p>
        </w:tc>
        <w:tc>
          <w:tcPr>
            <w:tcW w:w="154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3"/>
            <w:shd w:val="clear" w:color="auto" w:fill="CCEEFF"/>
          </w:tcPr>
          <w:p>
            <w:pPr>
              <w:jc w:val="right"/>
              <w:ind w:right="13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30,368</w:t>
            </w:r>
          </w:p>
        </w:tc>
      </w:tr>
      <w:tr>
        <w:trPr>
          <w:trHeight w:val="27"/>
        </w:trPr>
        <w:tc>
          <w:tcPr>
            <w:tcW w:w="69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a loss on a pre-existing agreement of $30.4 million for the year ended December 31, 2021 due to the termination of the joint venture agreement with Holtec during the second quarter of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Loss from write-down on property, plant and equipment</w:t>
            </w:r>
          </w:p>
        </w:tc>
        <w:tc>
          <w:tcPr>
            <w:tcW w:w="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6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7"/>
        </w:trPr>
        <w:tc>
          <w:tcPr>
            <w:tcW w:w="69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60" w:type="dxa"/>
            <w:vAlign w:val="bottom"/>
          </w:tcPr>
          <w:p>
            <w:pPr>
              <w:spacing w:after="0"/>
              <w:rPr>
                <w:sz w:val="20"/>
                <w:szCs w:val="20"/>
                <w:color w:val="auto"/>
              </w:rPr>
            </w:pPr>
          </w:p>
        </w:tc>
        <w:tc>
          <w:tcPr>
            <w:tcW w:w="162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9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write-down on PP&amp;E</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6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a loss of $6.8 million from the write-down on property, plant and equipment for the year ended December 31, 2022, compared to $0.1 million for the year ended December 31, 2021. The increase in loss is due to replacement of equipment, outsourcing of certain production processes, and a shift in production from the current generation Gen 2.3 BESS to the next generation Z3 system.</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Grant expense, net</w:t>
            </w: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8"/>
        </w:trPr>
        <w:tc>
          <w:tcPr>
            <w:tcW w:w="6980" w:type="dxa"/>
            <w:vAlign w:val="bottom"/>
          </w:tcPr>
          <w:p>
            <w:pPr>
              <w:spacing w:after="0"/>
              <w:rPr>
                <w:sz w:val="24"/>
                <w:szCs w:val="24"/>
                <w:color w:val="auto"/>
              </w:rPr>
            </w:pPr>
          </w:p>
        </w:tc>
        <w:tc>
          <w:tcPr>
            <w:tcW w:w="37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560" w:type="dxa"/>
            <w:vAlign w:val="bottom"/>
          </w:tcPr>
          <w:p>
            <w:pPr>
              <w:spacing w:after="0"/>
              <w:rPr>
                <w:sz w:val="24"/>
                <w:szCs w:val="24"/>
                <w:color w:val="auto"/>
              </w:rPr>
            </w:pPr>
          </w:p>
        </w:tc>
      </w:tr>
      <w:tr>
        <w:trPr>
          <w:trHeight w:val="27"/>
        </w:trPr>
        <w:tc>
          <w:tcPr>
            <w:tcW w:w="69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Pr>
          <w:p>
            <w:pPr>
              <w:spacing w:after="0"/>
              <w:rPr>
                <w:sz w:val="20"/>
                <w:szCs w:val="20"/>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(income) expense, net</w:t>
            </w:r>
          </w:p>
        </w:tc>
        <w:tc>
          <w:tcPr>
            <w:tcW w:w="150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7"/>
        </w:trPr>
        <w:tc>
          <w:tcPr>
            <w:tcW w:w="69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Grant (income) expense, net includes grant-related expenses net of grant income received pursuant to grant agreements with the California Energy Commission (“CEC”). The change in grant (income) expense, net, for the years ended December 31, 2022 and 2021 relates to the timing of grant activity and recovery of expenses from the CEC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tc>
        <w:tc>
          <w:tcPr>
            <w:tcW w:w="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6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7"/>
        </w:trPr>
        <w:tc>
          <w:tcPr>
            <w:tcW w:w="69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60" w:type="dxa"/>
            <w:vAlign w:val="bottom"/>
          </w:tcPr>
          <w:p>
            <w:pPr>
              <w:spacing w:after="0"/>
              <w:rPr>
                <w:sz w:val="20"/>
                <w:szCs w:val="20"/>
                <w:color w:val="auto"/>
              </w:rPr>
            </w:pPr>
          </w:p>
        </w:tc>
        <w:tc>
          <w:tcPr>
            <w:tcW w:w="162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9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7"/>
        </w:trPr>
        <w:tc>
          <w:tcPr>
            <w:tcW w:w="6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net includes accrued interest, amortization of debt issuance costs and debt discounts, and interest income. Interest expense, net increased by $7.3 million for the year ended December 31, 2022, compared to the year ended December 31, 2021. These increases are a result of higher interest expense recognized due to interest on the Senior Secured Term Loan, which was issued in 2022, and from a further draw on the equipment financing facility in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Interest expense - related party</w:t>
            </w:r>
          </w:p>
        </w:tc>
        <w:tc>
          <w:tcPr>
            <w:tcW w:w="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18"/>
        </w:trPr>
        <w:tc>
          <w:tcPr>
            <w:tcW w:w="6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7"/>
        </w:trPr>
        <w:tc>
          <w:tcPr>
            <w:tcW w:w="69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60" w:type="dxa"/>
            <w:vAlign w:val="bottom"/>
          </w:tcPr>
          <w:p>
            <w:pPr>
              <w:spacing w:after="0"/>
              <w:rPr>
                <w:sz w:val="20"/>
                <w:szCs w:val="20"/>
                <w:color w:val="auto"/>
              </w:rPr>
            </w:pPr>
          </w:p>
        </w:tc>
        <w:tc>
          <w:tcPr>
            <w:tcW w:w="162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9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r>
      <w:tr>
        <w:trPr>
          <w:trHeight w:val="27"/>
        </w:trPr>
        <w:tc>
          <w:tcPr>
            <w:tcW w:w="6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related party includes accrued interest and the amortization of debt issuance costs and debt discounts. Interest expense - related party increased by $6.3 million for the year ended December 31, 2022, compared to the year ended December 31, 2021. 2022 reflects a full year of interest expense and amortization of debt issuance costs recognized in 2022 for the 2021 Convertible Notes - Related Party and the Yorkville Convertible Promissory Note - Related Party. In 2021, there was only interest expense and amortization of debt issuance costs for the 2021 Convertible Notes- Related Party, which were issued in July 2021.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Remeasurement of equity method investment</w:t>
            </w:r>
          </w:p>
        </w:tc>
        <w:tc>
          <w:tcPr>
            <w:tcW w:w="1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05"/>
        </w:trPr>
        <w:tc>
          <w:tcPr>
            <w:tcW w:w="6980" w:type="dxa"/>
            <w:vAlign w:val="bottom"/>
          </w:tcPr>
          <w:p>
            <w:pPr>
              <w:spacing w:after="0"/>
              <w:rPr>
                <w:sz w:val="24"/>
                <w:szCs w:val="24"/>
                <w:color w:val="auto"/>
              </w:rPr>
            </w:pPr>
          </w:p>
        </w:tc>
        <w:tc>
          <w:tcPr>
            <w:tcW w:w="36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660" w:type="dxa"/>
            <w:vAlign w:val="bottom"/>
          </w:tcPr>
          <w:p>
            <w:pPr>
              <w:spacing w:after="0"/>
              <w:rPr>
                <w:sz w:val="24"/>
                <w:szCs w:val="24"/>
                <w:color w:val="auto"/>
              </w:rPr>
            </w:pPr>
          </w:p>
        </w:tc>
      </w:tr>
      <w:tr>
        <w:trPr>
          <w:trHeight w:val="27"/>
        </w:trPr>
        <w:tc>
          <w:tcPr>
            <w:tcW w:w="69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5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60" w:type="dxa"/>
            <w:vAlign w:val="bottom"/>
          </w:tcPr>
          <w:p>
            <w:pPr>
              <w:spacing w:after="0"/>
              <w:rPr>
                <w:sz w:val="20"/>
                <w:szCs w:val="20"/>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Remeasurement of equity method investment</w:t>
            </w:r>
          </w:p>
        </w:tc>
        <w:tc>
          <w:tcPr>
            <w:tcW w:w="154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3"/>
            <w:shd w:val="clear" w:color="auto" w:fill="CCEEFF"/>
          </w:tcPr>
          <w:p>
            <w:pPr>
              <w:jc w:val="right"/>
              <w:ind w:right="13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w:t>
            </w:r>
          </w:p>
        </w:tc>
      </w:tr>
      <w:tr>
        <w:trPr>
          <w:trHeight w:val="27"/>
        </w:trPr>
        <w:tc>
          <w:tcPr>
            <w:tcW w:w="69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we recognized a $7.5 million loss on our equity method investment in Hi-Power. The loss was a result of the remeasurement of our 49% ownership in Hi-Power due to our acquisition of the remaining 51% interest previously held by Holtec. The Company consolidated Hi-Power for the full year of 2022, therefore, it was not accounted for as an equity method investment for the year ended December 31, 2022.</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Gain on change in fair value of derivatives - related parties</w:t>
            </w:r>
          </w:p>
        </w:tc>
        <w:tc>
          <w:tcPr>
            <w:tcW w:w="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6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The gain on change in fair value of derivatives - related parties is composed of the following:</w:t>
            </w: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19"/>
        </w:trPr>
        <w:tc>
          <w:tcPr>
            <w:tcW w:w="6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7"/>
        </w:trPr>
        <w:tc>
          <w:tcPr>
            <w:tcW w:w="69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60" w:type="dxa"/>
            <w:vAlign w:val="bottom"/>
          </w:tcPr>
          <w:p>
            <w:pPr>
              <w:spacing w:after="0"/>
              <w:rPr>
                <w:sz w:val="20"/>
                <w:szCs w:val="20"/>
                <w:color w:val="auto"/>
              </w:rPr>
            </w:pPr>
          </w:p>
        </w:tc>
        <w:tc>
          <w:tcPr>
            <w:tcW w:w="162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69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embedded derivatives - related party</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17,507</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warrants liability - related party</w:t>
            </w:r>
          </w:p>
        </w:tc>
        <w:tc>
          <w:tcPr>
            <w:tcW w:w="4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r>
      <w:tr>
        <w:trPr>
          <w:trHeight w:val="27"/>
        </w:trPr>
        <w:tc>
          <w:tcPr>
            <w:tcW w:w="69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6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Gain on change in fair value of derivatives - related parties</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19,282</w:t>
            </w:r>
          </w:p>
        </w:tc>
      </w:tr>
      <w:tr>
        <w:trPr>
          <w:trHeight w:val="27"/>
        </w:trPr>
        <w:tc>
          <w:tcPr>
            <w:tcW w:w="6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2021 Convertible Notes Payable - Related Party, and the December Yorkville Convertible Promissory Notes contain conversion features that are accounted for as embedded derivatives and remeasured at its fair value at each balance sheet date. The decrease in the embedded derivatives' fair value, as well as the warrants liability's fair value, for the year ended December 31, 2022, compared to the year ended December 31, 2021, is largely a result of the change in the value of the underlying asset, the Company’s common stock.</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9" w:name="page40"/>
    <w:bookmarkEnd w:id="39"/>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Income from equity in unconsolidated joint venture</w:t>
            </w:r>
          </w:p>
        </w:tc>
        <w:tc>
          <w:tcPr>
            <w:tcW w:w="1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05"/>
        </w:trPr>
        <w:tc>
          <w:tcPr>
            <w:tcW w:w="6980" w:type="dxa"/>
            <w:vAlign w:val="bottom"/>
          </w:tcPr>
          <w:p>
            <w:pPr>
              <w:spacing w:after="0"/>
              <w:rPr>
                <w:sz w:val="24"/>
                <w:szCs w:val="24"/>
                <w:color w:val="auto"/>
              </w:rPr>
            </w:pPr>
          </w:p>
        </w:tc>
        <w:tc>
          <w:tcPr>
            <w:tcW w:w="37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560" w:type="dxa"/>
            <w:vAlign w:val="bottom"/>
          </w:tcPr>
          <w:p>
            <w:pPr>
              <w:spacing w:after="0"/>
              <w:rPr>
                <w:sz w:val="24"/>
                <w:szCs w:val="24"/>
                <w:color w:val="auto"/>
              </w:rPr>
            </w:pPr>
          </w:p>
        </w:tc>
      </w:tr>
      <w:tr>
        <w:trPr>
          <w:trHeight w:val="27"/>
        </w:trPr>
        <w:tc>
          <w:tcPr>
            <w:tcW w:w="69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5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1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Pr>
          <w:p>
            <w:pPr>
              <w:spacing w:after="0"/>
              <w:rPr>
                <w:sz w:val="20"/>
                <w:szCs w:val="20"/>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equity in unconsolidated joint venture</w:t>
            </w:r>
          </w:p>
        </w:tc>
        <w:tc>
          <w:tcPr>
            <w:tcW w:w="154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3"/>
            <w:shd w:val="clear" w:color="auto" w:fill="CCEEFF"/>
          </w:tcPr>
          <w:p>
            <w:pPr>
              <w:jc w:val="right"/>
              <w:ind w:right="14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7"/>
        </w:trPr>
        <w:tc>
          <w:tcPr>
            <w:tcW w:w="69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from equity in unconsolidated joint venture for the year ended December 31, 2021 includes the results of the Company’s joint venture Hi-Power before it became a wholly-owned subsidiary of the Company on April 9, 2021. Subsequent to the acquisition, Hi-Power’s operational results have been consolidated within the Company’s consolidated statements of operations and comprehensive loss, therefore, there is no income or loss recognized from the joint venture for the year ended December 31, 2022.</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gain on debt (extinguishment)/forgiveness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36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64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40" w:type="dxa"/>
            <w:vAlign w:val="bottom"/>
          </w:tcPr>
          <w:p>
            <w:pPr>
              <w:spacing w:after="0"/>
              <w:rPr>
                <w:sz w:val="20"/>
                <w:szCs w:val="20"/>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6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(Loss) gain on debt (extinguishment)/forgiveness</w:t>
            </w:r>
          </w:p>
        </w:tc>
        <w:tc>
          <w:tcPr>
            <w:tcW w:w="144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7"/>
        </w:trPr>
        <w:tc>
          <w:tcPr>
            <w:tcW w:w="69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a loss on debt extinguishment of $0.9 million for the year ended December 31, 2022 from repayment of the Hi-Power note payable.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a gain on debt forgiveness of $1.3 million for the year ended December 31, 2021 from forgiveness of the Paycheck Protection Program loan approved by the Small Business Administration under the CARES Act.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(expense) income</w:t>
            </w:r>
          </w:p>
        </w:tc>
        <w:tc>
          <w:tcPr>
            <w:tcW w:w="1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19"/>
        </w:trPr>
        <w:tc>
          <w:tcPr>
            <w:tcW w:w="6980" w:type="dxa"/>
            <w:vAlign w:val="bottom"/>
          </w:tcPr>
          <w:p>
            <w:pPr>
              <w:spacing w:after="0"/>
              <w:rPr>
                <w:sz w:val="24"/>
                <w:szCs w:val="24"/>
                <w:color w:val="auto"/>
              </w:rPr>
            </w:pPr>
          </w:p>
        </w:tc>
        <w:tc>
          <w:tcPr>
            <w:tcW w:w="36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640" w:type="dxa"/>
            <w:vAlign w:val="bottom"/>
          </w:tcPr>
          <w:p>
            <w:pPr>
              <w:spacing w:after="0"/>
              <w:rPr>
                <w:sz w:val="24"/>
                <w:szCs w:val="24"/>
                <w:color w:val="auto"/>
              </w:rPr>
            </w:pPr>
          </w:p>
        </w:tc>
      </w:tr>
      <w:tr>
        <w:trPr>
          <w:trHeight w:val="27"/>
        </w:trPr>
        <w:tc>
          <w:tcPr>
            <w:tcW w:w="69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40" w:type="dxa"/>
            <w:vAlign w:val="bottom"/>
          </w:tcPr>
          <w:p>
            <w:pPr>
              <w:spacing w:after="0"/>
              <w:rPr>
                <w:sz w:val="20"/>
                <w:szCs w:val="20"/>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44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r>
      <w:tr>
        <w:trPr>
          <w:trHeight w:val="27"/>
        </w:trPr>
        <w:tc>
          <w:tcPr>
            <w:tcW w:w="69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(expense) income of ($0.5) million for the year ended December 31, 2022 included commitment fees of ($1.1) million paid upon signing of the SEPA, partially offset by a $0.5 million gain from settlement of the SEPA advance.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Company recognized income of $2.2 million from the sale of state net operating losses and research and development credit carryforwards in accordance with the New Jersey Economic Development Authority Technology Business Tax Certificate Transfer Program.</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37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52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5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Pr>
          <w:p>
            <w:pPr>
              <w:spacing w:after="0"/>
              <w:rPr>
                <w:sz w:val="20"/>
                <w:szCs w:val="20"/>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54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of approximately $0.1 million was recorded for the year ended December 31, 2022. The taxes are attributable to taxable earnings from the Company’s foreign operations which were insignificant for all periods presented. There was no income tax expense recorded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Going Concern</w:t>
      </w:r>
    </w:p>
    <w:p>
      <w:pPr>
        <w:spacing w:after="0" w:line="1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As a growth company in the early commercialization stage of its lifecycle, Eos is subject to inherent risks and uncertainties associated with the development of an enterprise. In this regard, substantially all of the Company’s efforts to date have been devoted to the development and manufacturing of battery energy storage systems and complimentary products and services, recruitment of management and technical staff, deployment of capital to expand the Company’s operations to meet customer demand and raising capital to fund the Company’s development. As a result of these efforts, the Company has incurred significant losses and negative cash flows from operations since its inception and expects to continue to incur such losses and negative cash flows for the foreseeable future until such time that the Company can reach a scale of profitability to sustain its operations.</w:t>
      </w:r>
    </w:p>
    <w:p>
      <w:pPr>
        <w:spacing w:after="0" w:line="11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order to execute its development strategy, the Company has historically relied on outside capital through the issuance of equity, debt, and borrowings under financing arrangements (collectively “outside capital”) to fund its cost structure and expects to continue to rely on outside capital for the foreseeable future. While the Company believes it will eventually reach a scale of profitability to sustain its operations, there can be no assurance the Company will be able to achieve such profitability or do so in a manner that does not require its continued reliance on outside capital. Moreover, while the Company has historically been successful in raising outside capital, there can be no assurance the Company will be able to continue to obtain outside capital in the future or do so on terms that are acceptable to the Company.</w:t>
      </w:r>
    </w:p>
    <w:p>
      <w:pPr>
        <w:spacing w:after="0" w:line="1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the date the accompanying consolidated financial statements were issued (the “issuance date”), management evaluated the significance of the following negative financial conditions in accordance with Accounting Standard Codification 205-40, Going Concern:</w:t>
      </w:r>
    </w:p>
    <w:p>
      <w:pPr>
        <w:spacing w:after="0" w:line="68" w:lineRule="exact"/>
        <w:rPr>
          <w:sz w:val="20"/>
          <w:szCs w:val="20"/>
          <w:color w:val="auto"/>
        </w:rPr>
      </w:pPr>
    </w:p>
    <w:p>
      <w:pPr>
        <w:jc w:val="both"/>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its inception, the Company has incurred significant losses and negative cash from operations in order to fund its development. During the year ended December 31, 2022, the Company incurred a net loss of $(229.8) million, incurred negative cash flows from operations of $(196.9) million, and had an accumulated deficit of $(646.3) million as of December 31, 2022.</w:t>
      </w:r>
    </w:p>
    <w:p>
      <w:pPr>
        <w:spacing w:after="0" w:line="8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December 31, 2022, the Company had $17.1 million of unrestricted cash and cash equivalents available to fund the Company’s operations, no additional borrowings available to fund its operations under pre-existing financing arrangements (see Note 13,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and negative working capital of $(5.4) million, inclusive of $5.6 million of outstanding debt that is currently scheduled to mature within the next twelve months beyond the issuance date.</w:t>
      </w:r>
    </w:p>
    <w:p>
      <w:pPr>
        <w:spacing w:after="0" w:line="69" w:lineRule="exact"/>
        <w:rPr>
          <w:rFonts w:ascii="Times New Roman" w:cs="Times New Roman" w:eastAsia="Times New Roman" w:hAnsi="Times New Roman"/>
          <w:sz w:val="18"/>
          <w:szCs w:val="18"/>
          <w:color w:val="auto"/>
        </w:rPr>
      </w:pPr>
    </w:p>
    <w:p>
      <w:pPr>
        <w:jc w:val="both"/>
        <w:ind w:left="660" w:hanging="328"/>
        <w:spacing w:after="0" w:line="24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While the Company has available capacity under certain pre-existing arrangements to issue shares of the Company’s common stock, including under the SEPA and the ATM offering program, (see also Note 20, </w:t>
      </w:r>
      <w:r>
        <w:rPr>
          <w:rFonts w:ascii="Times New Roman" w:cs="Times New Roman" w:eastAsia="Times New Roman" w:hAnsi="Times New Roman"/>
          <w:sz w:val="18"/>
          <w:szCs w:val="18"/>
          <w:i w:val="1"/>
          <w:iCs w:val="1"/>
          <w:color w:val="auto"/>
        </w:rPr>
        <w:t>Shareholders’ Equity</w:t>
      </w:r>
      <w:r>
        <w:rPr>
          <w:rFonts w:ascii="Times New Roman" w:cs="Times New Roman" w:eastAsia="Times New Roman" w:hAnsi="Times New Roman"/>
          <w:sz w:val="18"/>
          <w:szCs w:val="18"/>
          <w:color w:val="auto"/>
        </w:rPr>
        <w:t>) to aid in funding the Company’s operations, the Company’s ability to secure such funding is dependent upon certain conditions, such as investors’ willingness to purchase the Company’s common stock and at a price that is acceptable to the Company. Accordingly, as of the issuance date there is no assurance the Company will be able to secure funding under these pre-existing arrangements or on terms that are acceptable to the Company.</w:t>
      </w:r>
    </w:p>
    <w:p>
      <w:pPr>
        <w:spacing w:after="0" w:line="73" w:lineRule="exact"/>
        <w:rPr>
          <w:rFonts w:ascii="Times New Roman" w:cs="Times New Roman" w:eastAsia="Times New Roman" w:hAnsi="Times New Roman"/>
          <w:sz w:val="18"/>
          <w:szCs w:val="18"/>
          <w:color w:val="auto"/>
        </w:rPr>
      </w:pPr>
    </w:p>
    <w:p>
      <w:pPr>
        <w:jc w:val="both"/>
        <w:ind w:left="660" w:hanging="328"/>
        <w:spacing w:after="0" w:line="247"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Similarly, while the Company has historically been successful in raising additional outside capital to fund the Company’s operations, as of the issuance date no assurance can be provided the Company will be successful in obtaining additional outside capital or on terms that are acceptable to the Company. In this regard, the Company is currently in the process of negotiating additional outside capital under the U.S. Department of Energy’s (“DOE”) Loan Guarantee Solicitation for Applications for Renewable Energy Projects and Efficient Energy Projects (the “DOE Loan Program”). As of the issuance date, the Company remains in the due diligence phase of negotiations with the DOE, however, there can be no assurance that the Company will be able to secure such loan or on terms that are acceptable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6" w:lineRule="exact"/>
        <w:rPr>
          <w:sz w:val="20"/>
          <w:szCs w:val="20"/>
          <w:color w:val="auto"/>
        </w:rPr>
      </w:pPr>
    </w:p>
    <w:p>
      <w:pPr>
        <w:jc w:val="both"/>
        <w:ind w:left="660" w:hanging="328"/>
        <w:spacing w:after="0" w:line="244"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to remain in compliance with a quarterly minimum financial liquidity covenant under its Senior Secured Term Loan. While the Company was in compliance with this covenant as of December 31, 2022, and expects to remain in compliance as of March 31, 2023, absent the Company’s ability to secure additional outside capital, the Company may be unable to remain in compliance with this covenant beginning on June 30, 2023 and thereafter. In the event the Company is unable to remain in compliance with the minimum financial liquidity covenant and the other nonfinancial covenants required by the Senior Secured Term Loan, and the Company is further unable to cure such noncompliance or secure a waiver, Atlas may, at its discretion, exercise any and all of its existing rights and remedies, which may include, among other things, entering into a forbearance agreement with the Company, and/or asserting its rights in the Company’s assets securing the loan. Moreover, the Company’s other lenders may exercise similar rights and remedies under the cross-default provisions of their respective borrowing arrangements with the Company.</w:t>
      </w:r>
    </w:p>
    <w:p>
      <w:pPr>
        <w:spacing w:after="0" w:line="7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Absent an ability to secure additional outside capital in the near term, the Company will be unable to meet its obligations as they become due over the next twelve months beyond the issuance date.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Company’s ongoing efforts to raise additional outside capital prove unsuccessful, management will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w:t>
      </w:r>
    </w:p>
    <w:p>
      <w:pPr>
        <w:spacing w:after="0" w:line="1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uncertainties raise substantial doubt about the Company’s ability to continue as a going concern. The accompanying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Arrangements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historically relied on outside capital to fund its cost structure and expects this reliance to continue for the foreseeable future until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reaches profitability through its planned revenue generating activities. During 2022, the Company closed on the following capital transactions:</w:t>
      </w:r>
    </w:p>
    <w:p>
      <w:pPr>
        <w:spacing w:after="0" w:line="99" w:lineRule="exact"/>
        <w:rPr>
          <w:sz w:val="20"/>
          <w:szCs w:val="20"/>
          <w:color w:val="auto"/>
        </w:rPr>
      </w:pPr>
    </w:p>
    <w:p>
      <w:pPr>
        <w:jc w:val="both"/>
        <w:ind w:left="660" w:hanging="328"/>
        <w:spacing w:after="0" w:line="258"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common stock Standby Equity Purchase Agreement with YA II PN, Ltd. an affiliate of Yorkville Advisors. For the year ended December 31, 2022, funds raised under the SEPA were $14.5 million. See Note 20, </w:t>
      </w:r>
      <w:r>
        <w:rPr>
          <w:rFonts w:ascii="Times New Roman" w:cs="Times New Roman" w:eastAsia="Times New Roman" w:hAnsi="Times New Roman"/>
          <w:sz w:val="18"/>
          <w:szCs w:val="18"/>
          <w:i w:val="1"/>
          <w:iCs w:val="1"/>
          <w:color w:val="auto"/>
        </w:rPr>
        <w:t>Shareholders' Equity</w:t>
      </w:r>
      <w:r>
        <w:rPr>
          <w:rFonts w:ascii="Times New Roman" w:cs="Times New Roman" w:eastAsia="Times New Roman" w:hAnsi="Times New Roman"/>
          <w:sz w:val="18"/>
          <w:szCs w:val="18"/>
          <w:color w:val="auto"/>
        </w:rPr>
        <w:t xml:space="preserve"> to our consolidated financial statements included elsewhere in this Annual Report.</w:t>
      </w:r>
    </w:p>
    <w:p>
      <w:pPr>
        <w:spacing w:after="0" w:line="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Sales Agreement with Cowen, with respect to an at-the-market offering program. For the year ended December 31, 2022, funds raised under the ATM were $38.6 million, net of commissions. See Note 20, </w:t>
      </w:r>
      <w:r>
        <w:rPr>
          <w:rFonts w:ascii="Times New Roman" w:cs="Times New Roman" w:eastAsia="Times New Roman" w:hAnsi="Times New Roman"/>
          <w:sz w:val="18"/>
          <w:szCs w:val="18"/>
          <w:i w:val="1"/>
          <w:iCs w:val="1"/>
          <w:color w:val="auto"/>
        </w:rPr>
        <w:t>Shareholders' Equity</w:t>
      </w:r>
      <w:r>
        <w:rPr>
          <w:rFonts w:ascii="Times New Roman" w:cs="Times New Roman" w:eastAsia="Times New Roman" w:hAnsi="Times New Roman"/>
          <w:sz w:val="18"/>
          <w:szCs w:val="18"/>
          <w:color w:val="auto"/>
        </w:rPr>
        <w:t xml:space="preserve"> to our consolidated financial statements included elsewhere in this Annual Report.</w:t>
      </w:r>
    </w:p>
    <w:p>
      <w:pPr>
        <w:spacing w:after="0" w:line="61"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$100.0 million Senior Secured Term Loan Credit Agreement with Atlas Credit Partners (ACP) Post Oak Credit I LLC. For the year ended December 31, 2022, the funds raised from borrowings under the Senior Secured Term Loan were $100.0 million. The Senior Secured Term Loan contains customary affirmative and negative covenants, which limit the Company’s and its subsidiaries’ ability to incur indebtedness, make restricted payments, including cash dividends on its common stock, make certain investments, loans and advances, enter into mergers and acquisitions, sell, assign, transfer or otherwise dispose of its assets, enter into transactions with its affiliates and engage in sale and leaseback transactions, among other restrictions. It also requires the Company to hold enough available liquidity as of the last day of each fiscal quarter to meet the Interest Escrow Required Amount (as defined in the Senior Secured Term Loan), which is calculated as the aggregate amount of the four immediately following interest payments on loans under the Senior Secured Term Loan. See Note 13,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to our consolidated financial statements included elsewhere in this Annual Report.</w:t>
      </w:r>
    </w:p>
    <w:p>
      <w:pPr>
        <w:spacing w:after="0" w:line="9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additional $4.2 million from Trinity Capital Inc. under the $25.0 million equipment financing facility (the "Equipment Financing Facility"), which was entered into during 2021. See Note 13,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to our consolidated financial statements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24" w:lineRule="exact"/>
        <w:rPr>
          <w:sz w:val="20"/>
          <w:szCs w:val="20"/>
          <w:color w:val="auto"/>
        </w:rPr>
      </w:pPr>
    </w:p>
    <w:p>
      <w:pPr>
        <w:ind w:right="2100"/>
        <w:spacing w:after="0" w:line="415" w:lineRule="auto"/>
        <w:rPr>
          <w:sz w:val="20"/>
          <w:szCs w:val="20"/>
          <w:color w:val="auto"/>
        </w:rPr>
      </w:pPr>
      <w:r>
        <w:rPr>
          <w:rFonts w:ascii="Times New Roman" w:cs="Times New Roman" w:eastAsia="Times New Roman" w:hAnsi="Times New Roman"/>
          <w:sz w:val="18"/>
          <w:szCs w:val="18"/>
          <w:color w:val="auto"/>
        </w:rPr>
        <w:t xml:space="preserve">See Note 13,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and Note 20, </w:t>
      </w:r>
      <w:r>
        <w:rPr>
          <w:rFonts w:ascii="Times New Roman" w:cs="Times New Roman" w:eastAsia="Times New Roman" w:hAnsi="Times New Roman"/>
          <w:sz w:val="18"/>
          <w:szCs w:val="18"/>
          <w:i w:val="1"/>
          <w:iCs w:val="1"/>
          <w:color w:val="auto"/>
        </w:rPr>
        <w:t>Shareholders' Equity</w:t>
      </w:r>
      <w:r>
        <w:rPr>
          <w:rFonts w:ascii="Times New Roman" w:cs="Times New Roman" w:eastAsia="Times New Roman" w:hAnsi="Times New Roman"/>
          <w:sz w:val="18"/>
          <w:szCs w:val="18"/>
          <w:color w:val="auto"/>
        </w:rPr>
        <w:t xml:space="preserve"> for all of the Company’s outstanding debt and equity transactions. </w:t>
      </w:r>
      <w:r>
        <w:rPr>
          <w:rFonts w:ascii="Times New Roman" w:cs="Times New Roman" w:eastAsia="Times New Roman" w:hAnsi="Times New Roman"/>
          <w:sz w:val="18"/>
          <w:szCs w:val="18"/>
          <w:i w:val="1"/>
          <w:iCs w:val="1"/>
          <w:color w:val="auto"/>
        </w:rPr>
        <w:t>Capital Expenditures</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capital expenditures and working capital requirements to increase as we seek to execute on our growth strategy. Total capital expenditures for the year ended December 31, 2022 were $20.1 million. These expenses were primarily used to purchase additional equipment and to automate certain manufacturing processes that will increase our capacity and efficiency. Our capital expenditure and working capital requirements may change depending on many factors, including but not limited to, the overall performance of existing equipment, our sales pipeline, our operating results and any adjustments in our operating plan necessary in response to industry conditions, competition or unexpected events.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Discussion and Analysis of Cash Flows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relies heavily on private placement of convertible notes, term loans, equipment financing and issuance of common stock. Our short-term working capital needs are primarily related to funding of debt interest payments, repayment of debt principal, product manufacturing, research and development, and general corporate expenses. The Company’s long-term working capital needs are primarily related to repayment of long-term debt obligations and capital expenses for capacity expansion and maintenance, equipment upgrades and repair of equipment. We have taken steps to conserve working capital and reduce expenses to better manage cash outflows.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 for the periods presented.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7"/>
        </w:trPr>
        <w:tc>
          <w:tcPr>
            <w:tcW w:w="7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20" w:type="dxa"/>
            <w:vAlign w:val="bottom"/>
          </w:tcPr>
          <w:p>
            <w:pPr>
              <w:spacing w:after="0"/>
              <w:rPr>
                <w:sz w:val="20"/>
                <w:szCs w:val="20"/>
                <w:color w:val="auto"/>
              </w:rPr>
            </w:pPr>
          </w:p>
        </w:tc>
        <w:tc>
          <w:tcPr>
            <w:tcW w:w="15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(116,147)</w:t>
            </w: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(23,336)</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139,544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123,322</w:t>
            </w:r>
          </w:p>
        </w:tc>
      </w:tr>
      <w:tr>
        <w:trPr>
          <w:trHeight w:val="27"/>
        </w:trPr>
        <w:tc>
          <w:tcPr>
            <w:tcW w:w="7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cash flows used in operating activities to date have primarily been composed of costs related to research and development, manufacturing of our initial energy storage products, and other selling, general and administrative activities. As we continue to expand commercial production, we expect our expenses related to personnel, manufacturing, research and development and selling, general and administrative activities to increase.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of $196.9 million for the year ended December 31, 2022 was primarily driven by a net loss of $229.8 million, adjusted for non-cash items of $31.0 million. Non-cash items included stock-based compensation expense, depreciation and amortization, interest accretion and amortization of debt issuance costs, changes in fair value of derivatives, and loss from the write-down of property, plant and equipment. The net cash inflows from changes in operating assets and liabilities of $2.0 million was primarily driven by an increase in accounts payable and accrued expenses of $23.4 million, an increase in contract liabilities of $4.0 million, and a decrease in vendor deposits of $6.8 million. These inflows were partially offset by an increase in inventory of $10.3 million and a decrease in the Hi-Power note payable of $19.6 million.</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of $116.1 million for the year ended December 31, 2021 was primarily driven by a net loss of $124.2 million, adjusted for non-cash items of $11.0 million. Non-cash items included stock compensation expense, depreciation and amortization, remeasurement of the Hi-Power JV equity and changes in the fair value of derivatives. The net cash outflow from changes in operating assets and liabilities was $2.9 million for the year ended December 31, 2021, primarily driven by an increase in the Hi-Power notes payable of $18.7 million and an increase in accounts payable and accrued expenses of $7.1 million, partially offset by an increase in inventory of $10.1 million, increase in vendor deposits of $7.4 million, decrease in provision for firm purchase commitment of $5.5 million, and increase in accounts receivable of $1.9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flows used in investing activities of $17.2 for the year ended December 31, 2022 were primarily composed of payments made for purchases of property, plant and equipment of $20.1 million, note receivable advanced to a customer of $0.3 million, partially offset by proceeds from notes receivable of $3.2 million.</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flows used in investing activities of $23.3 for the year ended December 31, 2021 were primarily composed of purchases of property, plant and equipment of $15.6 million, investment in joint venture of $4.0 million, notes receivable advanced to customers of $4.9 million and payments made for the Hi-Power acquisition of $0.2 million, partially offset by proceeds from notes receivable of $1.3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of $139.5 million in the year ended December 31, 2022, was primarily from net proceeds received from the Senior Secured Term Loan of $98.0 million, issuance of common stock under the ATM program of $38.6 million, Yorkville Convertible Promissory Notes of $9.3 million, issuance of common stock under the SEPA of $5.0 million, and an increase in the equipment financing facility of $4.2 million. The proceeds were partially offset by debt issuance costs related to the Senior Secured Term Loan of $12.4 million, payments on the equipment financing facility of $1.9 million, and $1.0 million for share repurchases from employees for tax withholding purposes.</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$123.3 million for the year ended December 31, 2021, primarily due to the proceeds received from issuance of the 2021 Convertible Notes of $100 million, equipment financing of $7.0 million, warrants exercised of $20.1 million, and options exercised of $1.1 million, partially offset by debt issuance costs associated with the 2021 Convertible Notes and the equipment financing facility of $4.4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Contractual Obligations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certain obligations and commitments to make future payments under contracts. As of December 31, 2022, this is comprised of the following:</w:t>
      </w:r>
    </w:p>
    <w:p>
      <w:pPr>
        <w:spacing w:after="0" w:line="27" w:lineRule="exact"/>
        <w:rPr>
          <w:sz w:val="20"/>
          <w:szCs w:val="20"/>
          <w:color w:val="auto"/>
        </w:rPr>
      </w:pPr>
    </w:p>
    <w:p>
      <w:pPr>
        <w:ind w:left="660" w:hanging="328"/>
        <w:spacing w:after="0" w:line="250" w:lineRule="auto"/>
        <w:tabs>
          <w:tab w:leader="none" w:pos="655"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Open purchase obligations of $0.2 million, related to a supply purchase agreement with a minimum volume commitment. See Note 17,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to our consolidated financial statements included elsewhere in this Annual Report.</w:t>
      </w:r>
    </w:p>
    <w:p>
      <w:pPr>
        <w:ind w:left="660" w:hanging="328"/>
        <w:spacing w:after="0" w:line="250" w:lineRule="auto"/>
        <w:tabs>
          <w:tab w:leader="none" w:pos="655"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Future lease payments, including interest, under non-cancellable operating and financing leases of $6.5 million. The leases expire at various dates prior to 2028. See Note 15,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our consolidated financial statements included elsewhere in this Annual Report.</w:t>
      </w:r>
    </w:p>
    <w:p>
      <w:pPr>
        <w:ind w:left="660" w:hanging="328"/>
        <w:spacing w:after="0" w:line="260" w:lineRule="auto"/>
        <w:tabs>
          <w:tab w:leader="none" w:pos="655"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 xml:space="preserve">Principal and Interest payments related to the following debt obligations. See Note 13,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to our consolidated financial statements included elsewhere in this Annual Report.</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Future Debt Payments</w:t>
            </w:r>
          </w:p>
        </w:tc>
      </w:tr>
      <w:tr>
        <w:trPr>
          <w:trHeight w:val="27"/>
        </w:trPr>
        <w:tc>
          <w:tcPr>
            <w:tcW w:w="8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3"/>
        </w:trPr>
        <w:tc>
          <w:tcPr>
            <w:tcW w:w="88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Yorkville Convertible Promissory Note - due June 2023*</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8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2021 Convertible Notes Payable – due June 2026</w:t>
            </w:r>
          </w:p>
        </w:tc>
        <w:tc>
          <w:tcPr>
            <w:tcW w:w="2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134,262</w:t>
            </w:r>
          </w:p>
        </w:tc>
      </w:tr>
      <w:tr>
        <w:trPr>
          <w:trHeight w:val="27"/>
        </w:trPr>
        <w:tc>
          <w:tcPr>
            <w:tcW w:w="8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88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Senior Secured Term Loan - due March 2026</w:t>
            </w:r>
          </w:p>
        </w:tc>
        <w:tc>
          <w:tcPr>
            <w:tcW w:w="2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148,445</w:t>
            </w:r>
          </w:p>
        </w:tc>
      </w:tr>
      <w:tr>
        <w:trPr>
          <w:trHeight w:val="243"/>
        </w:trPr>
        <w:tc>
          <w:tcPr>
            <w:tcW w:w="8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Equipment financing facility - due April 2025</w:t>
            </w:r>
          </w:p>
        </w:tc>
        <w:tc>
          <w:tcPr>
            <w:tcW w:w="2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10,561</w:t>
            </w:r>
          </w:p>
        </w:tc>
      </w:tr>
      <w:tr>
        <w:trPr>
          <w:trHeight w:val="27"/>
        </w:trPr>
        <w:tc>
          <w:tcPr>
            <w:tcW w:w="8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88"/>
        </w:trPr>
        <w:tc>
          <w:tcPr>
            <w:tcW w:w="88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295,268</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firstLine="8"/>
        <w:spacing w:after="0" w:line="285" w:lineRule="auto"/>
        <w:tabs>
          <w:tab w:leader="none" w:pos="11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Amounts owed under the Yorkville Convertible Promissory Note were offset by the issuance of common shares in January 2023- See Note 21, </w:t>
      </w:r>
      <w:r>
        <w:rPr>
          <w:rFonts w:ascii="Times New Roman" w:cs="Times New Roman" w:eastAsia="Times New Roman" w:hAnsi="Times New Roman"/>
          <w:sz w:val="14"/>
          <w:szCs w:val="14"/>
          <w:i w:val="1"/>
          <w:iCs w:val="1"/>
          <w:color w:val="auto"/>
        </w:rPr>
        <w:t>Subsequent Events</w:t>
      </w:r>
      <w:r>
        <w:rPr>
          <w:rFonts w:ascii="Times New Roman" w:cs="Times New Roman" w:eastAsia="Times New Roman" w:hAnsi="Times New Roman"/>
          <w:sz w:val="14"/>
          <w:szCs w:val="14"/>
          <w:color w:val="auto"/>
        </w:rPr>
        <w:t xml:space="preserve"> to our consolidated financial statements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consolidated financial statements are prepared in conformity with U.S. generally accepted accounting principles. In preparing our consolidated financial statements, we make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In addition to the below, for further information regarding our critical accounting policies, refer to Note 2, </w:t>
      </w:r>
      <w:r>
        <w:rPr>
          <w:rFonts w:ascii="Times New Roman" w:cs="Times New Roman" w:eastAsia="Times New Roman" w:hAnsi="Times New Roman"/>
          <w:sz w:val="18"/>
          <w:szCs w:val="18"/>
          <w:i w:val="1"/>
          <w:iCs w:val="1"/>
          <w:color w:val="auto"/>
        </w:rPr>
        <w:t xml:space="preserve">Summary of Significant Accounting Policies </w:t>
      </w:r>
      <w:r>
        <w:rPr>
          <w:rFonts w:ascii="Times New Roman" w:cs="Times New Roman" w:eastAsia="Times New Roman" w:hAnsi="Times New Roman"/>
          <w:sz w:val="18"/>
          <w:szCs w:val="18"/>
          <w:color w:val="auto"/>
        </w:rPr>
        <w:t>to our consolidated financial statements included elsewhere in this Annual Report.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Liability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generally provides a standard warranty for a period of two years. We also provide extended warranties and performance guarantees, which are identified as separate performance obligations in the Company's contracts with customers. We accrue warranty reserves at the time of recording the sale. Warranty reserves include management’s best estimate of the projected costs to repair or to replace any items under warranty, which is based on various factors including actual claim data to date, results of lab testing, factory quality data, and field monitoring. Due to limited claim experience since commercialization of our product, and the potential for variability in these underlying factors, the difference between our estimated costs and our actual costs could be material to our consolidated financial statements. If actual product failure rates or the frequency or severity of reported claims differ from our estimates, we may be required to revise our estimated warranty liability. We will also update actual warranty experience to determine warranty reserves as such experience becomes available. We review our reserves at least quarterly, seeking to ensure that our accruals are adequate in meeting expected future warranty obligations, and we will adjust our estimates as needed. Initial warranty data can be limited at the early stage in the commercialization of our products and, the adjustments that we record may be material. Thus, it is likely that as we sell additional BESS, we will acquire additional information on the projected costs to repair or replace items under warranty and may need to make additional adjustments. As of December 31, 2022 and 2021, we had $3.8 million and $2.1 million in warranty reserves, respectively. Adjustments to warranty reserves are recorded in cost of goods sold.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and Embedded Derivatives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Some of our debt financings contain embedded derivatives, such as conversion features in our 2021 Convertible Notes Payable - Related Party. The Company evaluates each debt agreement to determine whether any embedded features require bifurcation from the debt host in accordance with ASC 815,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("ASC 815"). If the embedded feature requires bifurcation from its debt host, the Company will account for it as either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derivative liability or as a derivative in equity. The Company uses valuation models to estimate the fair value of the embedded derivatives. For the valuation of the embedded derivative related to the 2021 Convertible Notes- Related Party, the Company uses a binomial lattice model at inception and on subsequent valuation dates. This model incorporates inputs such as the stock price of the Company, dividend yield, risk-free interest rate, the effective debt yield and expected volatility. Certain inputs involve unobservable inputs and are classified as level 3 of the fair value hierarchy (see Note 16,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w:t>
      </w:r>
      <w:r>
        <w:rPr>
          <w:rFonts w:ascii="Times New Roman" w:cs="Times New Roman" w:eastAsia="Times New Roman" w:hAnsi="Times New Roman"/>
          <w:sz w:val="18"/>
          <w:szCs w:val="18"/>
          <w:color w:val="auto"/>
        </w:rPr>
        <w:t>to our consolidated financial statements included elsewhere in this Annual Report). The sensitivity of the fair value calculation to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methods, assumptions, and estimates included could create materially different results under different conditions or using different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accounted for business combinations using the purchase method of accounting where the cost is allocated to the underlying net tangible and intangible assets acquired, based on their respective fair values. Identifiable assets acquired and liabilities assumed are recognized and measured as of the acquisition date at fair value. Goodwill is recognized to the extent by which the aggregate of the acquisition-date fair value of the consideration transferred exceeds the recognized basis of the identifiable assets acquired, net of assumed liabilities. The Company used information available to make fair value determinations and engaged independent valuation specialists to assist management in the fair value determination for the acquisition of Hi-Power. The fair value is determined using the income approach, cost approach and/or market approach. Determining the fair value of purchase consideration, assets acquired, liabilities assumed, as well as the Joint Venture agreement the Company terminated in connection with the acquisition requires management’s judgment. The fair value determination of the Joint Venture agreement and of the consideration transferred in exchange for the Hi-Power business involves the use of significant estimates and assumptions, including, but not limited to, the selection of appropriate valuation methodology, projected cash flows and the discount rate. The Company believes the estimates applied to be based on reasonable assumptions, but these estimates are inherently uncertain. If any of our assumptions or judgements used to determine fair value of the assets acquired, are ultimately incorrect, we could experience material impairment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 ABOUT MARKET RISK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Liquidity risk arises from the general funding needs of the Company's activities and in the management of the Company's assets and liabilities. Our exposure to liquidity risk is dependent on our ability to raise funds to meet our obligations and sustain operations. We manage liquidity risk by continuously monitoring our actual and forecasted working capital requirements to ensure there is capital to meet short-term, long-term obligations, including our liquidity covenants under the Senior Secured Term Loan (see Note 13,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to our consolidated financial statements included elsewhere in this Annual Report). As disclosed in Note 1,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xml:space="preserve"> to our consolidated financial statements included elsewhere in this Annual Report, there is a substantial doubt about the Company's ability to continue as a going concern. In order to execute its development strategy, the Company has</w:t>
      </w:r>
    </w:p>
    <w:p>
      <w:pPr>
        <w:spacing w:after="0" w:line="1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historically relied on outside capital to fund its cost structure and expects to continue to rely on outside capital for the foreseeable future. While the Company believes it will eventually reach a scale of profitability to sustain its operations, there can be no assurance the Company will be able to achieve</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profitability or do so in a manner that does not require its continued reliance on outside capital. Moreover, while the Company has historically been successful in raising outside capital, there can be no assurance the Company will be able to continue to obtain outside capital in the future or do so on terms that are acceptable to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two foreign domiciled subsidiaries, one in Italy and the other in India, which currently have minimal operating activity. We may in the future be impacted by foreign currency translation losses in these countries.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revenue contracts are made in U.S. dollars. We make purchases from certain vendors from other countries as well. However, all pricing and liabilities from the purchase are denominated in U.S. dollars and we are not exposed to the risk from exchange rate movements.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Equity price risk arises from security price volatility. The Company is subject to this risk due to its private placement warrants. The fair value per warrant was $0.24 and $2.85 as of December 31, 2022 and 2021, respectively, which was exposed to equity price risk. We estimate that a hypothetical 10% change in quoted security prices would impact our warrants liability by $8 and $93 as of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our Financial Statements beginning on page F-1 of this Annual Report on Form 10-K.</w:t>
      </w:r>
    </w:p>
    <w:p>
      <w:pPr>
        <w:spacing w:after="0" w:line="248" w:lineRule="exact"/>
        <w:rPr>
          <w:sz w:val="20"/>
          <w:szCs w:val="20"/>
          <w:color w:val="auto"/>
        </w:rPr>
      </w:pPr>
    </w:p>
    <w:p>
      <w:pPr>
        <w:ind w:right="1040"/>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under the supervision of our Chief Executive Officer (CEO) and our Chief Financial Officer (CFO), has carried out an evaluation of the effectiveness of the design and operation of our disclosure controls and procedures (as defined in Rules 13a-15(e) and 15d-15(e) under the Exchange Act) as of December 31, 2022. Based upon that evaluation, the CEO and CFO have concluded, as of December 31, 2022, that our disclosure controls and procedures were not effective as of such date due to the material weaknesses in internal control over financial reporting described in “Management’s Report on Internal Control Over Financial Reporting” below.</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CEO and our CFO, to allow timely decisions regarding required disclosure.</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 material weaknesses described below, we performed additional analyses, reconciliations, and other post-closing procedures to determine that our consolidated financial statements are prepared in accordance with U.S. generally accepted accounting principles. Accordingly, management concluded that the consolidated financial statements included in this report fairly present in all material respects our financial condition, results of operations and cash flows for the periods presented.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and based upon the criteria established in Internal Control-Integrated Framework (2013) issued by the Committee of Sponsoring Organizations of the Treadway Commission (“the COSO Framework”). Internal control over financial reporting is a process designed to provide reasonable assurance regarding the reliability of our financial reporting and preparation of our financial statements for external reporting purposes in accordance with U.S. generally accepted accounting principles.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effective internal control system, no matter how well designed, has inherent limitations, including the possibility of human error or overriding controls, and therefore can provide only reasonable assurance with respect to reliable financial reporting. Because of its inherent limitations, our internal control over financial reporting may not prevent or detect all misstatements, including the possibility of human error, the circumvention or overriding of controls, or fraud. Effective internal controls can only provide reasonable assurance with respect to the preparation and fair presentation of financial statements.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including our CEO and CFO, assessed the Company’s internal control over financial reporting and concluded that they were not effective as of December 31, 2022. In making this assessment, management used the criteria set forth by the COSO framework. Based on this evaluation, our management concluded that our internal control over financial reporting was not effective as of December 31, 2022 due to the material weaknesses resulting from our lack of a formalized internal control framework in accordance with COSO, inadequate segregation of duties in the financial reporting process, lack of review and approval of journal entries, and a lack of management review controls.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Remediation Plan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identified and implemented, and continue to implement, certain remediation efforts to improve the effectiveness of our internal control over financial reporting and disclosure controls and procedures. These remediation efforts are ongoing. The following remedial actions have been identified and initiated as of December 31, 2022:</w:t>
      </w:r>
    </w:p>
    <w:p>
      <w:pPr>
        <w:spacing w:after="0" w:line="351" w:lineRule="exact"/>
        <w:rPr>
          <w:sz w:val="20"/>
          <w:szCs w:val="20"/>
          <w:color w:val="auto"/>
        </w:rPr>
      </w:pPr>
    </w:p>
    <w:p>
      <w:pPr>
        <w:jc w:val="both"/>
        <w:ind w:left="660" w:hanging="328"/>
        <w:spacing w:after="0" w:line="266" w:lineRule="auto"/>
        <w:tabs>
          <w:tab w:leader="none" w:pos="75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hired several full-time accounting resources with appropriate levels of experience and reallocated responsibilities across the finance organization. This measure provides for segregation of duties to ensure the appropriate level of knowledge and experience is applied based on risk and complexity of transactions and tasks under review.</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4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engaged a professional accounting services firm to assist us in the design and documentation of our formal policies, processes and internal controls for complying with the Sarbanes-Oxley Act.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a project plan for the implementation of internal controls over financial reporting across the organization and have begun executing on that plan. Specifically, we have designed certain controls across all of our business cycles and are currently integrating these controls into our processes.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process of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obligations. As we continue to evaluate and take actions to improve our internal control over financial reporting, we will further refine our remediation plan and take additional actions to address control deficiencies or modify certain of the remediation measures described above.</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progress has been made to enhance our internal control over financial reporting, we are still in the process of designing, implementing, documenting, and testing the effectiveness of these processes, procedures and controls. Additional time is required to complete the implementation and to assess and ensure the sustainability of these procedures. We will continue to devote significant time and attention to these remedial efforts. However, the material weakness cannot be considered remediated until the applicable remedial controls are fully implemented, have operated for a sufficient period of time and management has concluded that these controls are operating effectively.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actions taken as described in Management's Remediation Initiatives above to improve the Company’s internal control over financial reporting, there have been no changes in our internal control over financial reporting during the quarter ended December 31, 2022 that materially affected, or which are reasonably likely to materially affect, our internal control over financial reporting.</w:t>
      </w:r>
    </w:p>
    <w:p>
      <w:pPr>
        <w:spacing w:after="0" w:line="19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Delaware Section 205 Petition</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12, 2020, B. Riley Principal Merger Corp. II (“BMRG”), the predecessor to the Company, held a special meeting of stockholders (the “BMRG Special Meeting”) to approve certain matters relating to the business combination between BMRG and Eos Energy Storage LLC.</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One of these matters was a proposal to amend and restate BMRG's certificate of incorporation in order to, among other things, increase the number of authorized shares of common stock from 125,000,000 shares of common stock, consisting of 100,000,000 shares of Class A common stock and 25,000,000 shares of Class B common stock, to 200,000,000 shares of common stock, and to reclassify all Class A common stock and Class B common stock as a single class of common stock (the “Charter Amendment Proposal”). The Charter Amendment Proposal was approved by a majority of the outstanding shares of Class A common stock and Class B common stock of BMRG as of the record date for the BMRG Special Meeting, voting together as a single class, although voting records indicate that a majority of each of the shares of Class A common stock and Class B common stock also approved the Charter Amendment Proposal. After the BMRG Special Meeting, BMRG and Eos Energy Storage LLC closed the business combination and the Company's certificate of incorporation, as amended to give effect to the Charter Amendment Proposal, became effective.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recent ruling by the Delaware Court of Chancery introduced uncertainty as to whether Section 242(b)(2) of the Delaware General Corporation Law (the “DGCL”) would have required the Charter Amendment Proposal to be approved by separate votes of the majority of BMRG's then-outstanding shares of Class A common stock and Class B common stock. The Company had been proceeding with the understanding that the Charter Amendment Proposal and the amendment and restated certificate of incorporation are valid. In light of this recent ruling, however, to resolve potential uncertainty with respect to the Company's capital structure, the Company has filed a petition in the Delaware Court of Chancery under Section 205 of the DGCL to seek validation of the Charter Amendment Proposal. Section 205 of the DGCL permits the Court of Chancery, in its discretion, to ratify and validate potentially defective corporate acts.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27, 2023, the Court of Chancery approved the Company's request for relief and entered an order under Section 205 of the Delaware General Corporation Law (1) declaring the Company's Third Amended and Restated Certificate of Incorporation (the "Charter"), including the filing and effectiveness thereof, as validated and effective retroactive to the date of its filing with the Office of the Secretary of State of the State of Delaware on November 16, 2020, and all amendments effected thereby and (2) ordering that the Company's securities (and the issuance of the securities) described in the Petition and any other securities issued in reliance on the validity of the Charter are validated and declared effective, each as of the original issuance dates.</w:t>
      </w:r>
    </w:p>
    <w:p>
      <w:pPr>
        <w:spacing w:after="0" w:line="21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relating to our 2023 Annual Meeting of Stockholders. The Proxy Statement will be filed with the Securities and Exchange Commission within 120 days of the fiscal year ended December 31, 2022.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Codes of Business Conduct and Ethics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all officers, directors and employees, which is available on our website at https://investors.eose.com under "Governance Documents". We intend to satisfy the disclosure requirement under Item 5.05 of Form 8-K regarding amendments to, or waiver from, a provision of our Code of Business Conduct and Ethics and by posting such information on the website address and location specified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relating to our 2023 Annual Meeting of Stockholders. The Proxy Statement will be filed with the Securities and Exchange Commission within 120 days of the fiscal year ended December 31, 2022.</w:t>
      </w:r>
    </w:p>
    <w:p>
      <w:pPr>
        <w:spacing w:after="0" w:line="18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including Securities Authorized for Issuance Under Equity Plans, is incorporated by reference to our Proxy Statement relating to our 2023 Annual Meeting of Stockholders. The Proxy Statement will be filed with the Securities and Exchange Commission within 120 days of the fiscal year ended December 31,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relating to our 2023 Annual Meeting of Stockholders. The Proxy Statement will be filed with the Securities and Exchange Commission within 120 days of the fiscal year ended December 31,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relating to our 2023 Annual Meeting of Stockholders. The Proxy Statement will be filed with the Securities and Exchange Commission within 120 days of the fiscal year ended December 31,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58" w:lineRule="exact"/>
        <w:rPr>
          <w:sz w:val="20"/>
          <w:szCs w:val="20"/>
          <w:color w:val="auto"/>
        </w:rPr>
      </w:pPr>
    </w:p>
    <w:p>
      <w:pPr>
        <w:ind w:right="20" w:firstLine="8"/>
        <w:spacing w:after="0" w:line="286" w:lineRule="auto"/>
        <w:tabs>
          <w:tab w:leader="none" w:pos="286"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 </w:t>
      </w:r>
      <w:r>
        <w:rPr>
          <w:rFonts w:ascii="Times New Roman" w:cs="Times New Roman" w:eastAsia="Times New Roman" w:hAnsi="Times New Roman"/>
          <w:sz w:val="18"/>
          <w:szCs w:val="18"/>
          <w:color w:val="auto"/>
        </w:rPr>
        <w:t>The consolidated financial statements and Reports of Independent Registered Accounting Firm are listed in the “Index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 beginning on page F-1.</w:t>
      </w:r>
    </w:p>
    <w:p>
      <w:pPr>
        <w:spacing w:after="0" w:line="87"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288"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 Schedules and Other Financial Information. </w:t>
      </w:r>
      <w:r>
        <w:rPr>
          <w:rFonts w:ascii="Times New Roman" w:cs="Times New Roman" w:eastAsia="Times New Roman" w:hAnsi="Times New Roman"/>
          <w:sz w:val="18"/>
          <w:szCs w:val="18"/>
          <w:color w:val="auto"/>
        </w:rPr>
        <w:t>No financial statement schedules are submitted because either they are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or because the required information is included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Filed as part of this Annual Report are the following exhibits: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480" w:type="dxa"/>
            <w:vAlign w:val="bottom"/>
          </w:tcPr>
          <w:p>
            <w:pPr>
              <w:spacing w:after="0"/>
              <w:rPr>
                <w:sz w:val="20"/>
                <w:szCs w:val="20"/>
                <w:color w:val="auto"/>
              </w:rPr>
            </w:pPr>
          </w:p>
        </w:tc>
      </w:tr>
      <w:tr>
        <w:trPr>
          <w:trHeight w:val="248"/>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38"/>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00" w:type="dxa"/>
            <w:vAlign w:val="bottom"/>
          </w:tcPr>
          <w:p>
            <w:pPr>
              <w:spacing w:after="0"/>
              <w:rPr>
                <w:sz w:val="20"/>
                <w:szCs w:val="20"/>
                <w:color w:val="auto"/>
              </w:rPr>
            </w:pPr>
          </w:p>
        </w:tc>
        <w:tc>
          <w:tcPr>
            <w:tcW w:w="3100" w:type="dxa"/>
            <w:vAlign w:val="bottom"/>
            <w:gridSpan w:val="19"/>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Schedule/Form</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5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7"/>
        </w:trPr>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6"/>
        </w:trPr>
        <w:tc>
          <w:tcPr>
            <w:tcW w:w="1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Agreement and Plan of Merger, dated as of</w:t>
              </w:r>
            </w:hyperlink>
          </w:p>
        </w:tc>
        <w:tc>
          <w:tcPr>
            <w:tcW w:w="15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gridSpan w:val="2"/>
            <w:shd w:val="clear" w:color="auto" w:fill="CCEEFF"/>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September 8, 2020</w:t>
            </w:r>
          </w:p>
        </w:tc>
      </w:tr>
      <w:tr>
        <w:trPr>
          <w:trHeight w:val="20"/>
        </w:trPr>
        <w:tc>
          <w:tcPr>
            <w:tcW w:w="1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r>
        <w:trPr>
          <w:trHeight w:val="183"/>
        </w:trPr>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3520" w:type="dxa"/>
            <w:vAlign w:val="bottom"/>
            <w:tcBorders>
              <w:bottom w:val="single" w:sz="8" w:color="0000FF"/>
            </w:tcBorders>
            <w:gridSpan w:val="15"/>
            <w:shd w:val="clear" w:color="auto" w:fill="CCEEFF"/>
          </w:tcPr>
          <w:p>
            <w:pPr>
              <w:spacing w:after="0" w:line="182"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September 7, 2020, by and among the Company,</w:t>
              </w:r>
            </w:hyperlink>
          </w:p>
        </w:tc>
        <w:tc>
          <w:tcPr>
            <w:tcW w:w="280" w:type="dxa"/>
            <w:vAlign w:val="bottom"/>
            <w:tcBorders>
              <w:bottom w:val="single" w:sz="8" w:color="CCEEFF"/>
            </w:tcBorders>
            <w:gridSpan w:val="5"/>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83"/>
        </w:trPr>
        <w:tc>
          <w:tcPr>
            <w:tcW w:w="11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800" w:type="dxa"/>
            <w:vAlign w:val="bottom"/>
            <w:gridSpan w:val="20"/>
            <w:shd w:val="clear" w:color="auto" w:fill="CCEEFF"/>
          </w:tcPr>
          <w:p>
            <w:pPr>
              <w:spacing w:after="0" w:line="182"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BMRG Merger Sub, LLC, BMRG Merger Sub II,</w:t>
              </w:r>
            </w:hyperlink>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96"/>
        </w:trPr>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3580" w:type="dxa"/>
            <w:vAlign w:val="bottom"/>
            <w:tcBorders>
              <w:top w:val="single" w:sz="8" w:color="0000FF"/>
            </w:tcBorders>
            <w:gridSpan w:val="18"/>
            <w:shd w:val="clear" w:color="auto" w:fill="CCEEFF"/>
          </w:tcPr>
          <w:p>
            <w:pPr>
              <w:spacing w:after="0" w:line="19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LLC, Eos Energy Storage LLC, New Eos Energy</w:t>
              </w:r>
            </w:hyperlink>
          </w:p>
        </w:tc>
        <w:tc>
          <w:tcPr>
            <w:tcW w:w="220" w:type="dxa"/>
            <w:vAlign w:val="bottom"/>
            <w:tcBorders>
              <w:top w:val="single" w:sz="8" w:color="CCEEFF"/>
            </w:tcBorders>
            <w:gridSpan w:val="2"/>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3560" w:type="dxa"/>
            <w:vAlign w:val="bottom"/>
            <w:tcBorders>
              <w:top w:val="single" w:sz="8" w:color="0000FF"/>
            </w:tcBorders>
            <w:gridSpan w:val="17"/>
            <w:shd w:val="clear" w:color="auto" w:fill="CCEEFF"/>
          </w:tcPr>
          <w:p>
            <w:pPr>
              <w:spacing w:after="0" w:line="182"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LLC and AltEnergy Storage VI, LLC</w:t>
              </w:r>
            </w:hyperlink>
          </w:p>
        </w:tc>
        <w:tc>
          <w:tcPr>
            <w:tcW w:w="240" w:type="dxa"/>
            <w:vAlign w:val="bottom"/>
            <w:tcBorders>
              <w:top w:val="single" w:sz="8" w:color="CCEEFF"/>
            </w:tcBorders>
            <w:gridSpan w:val="3"/>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2700" w:type="dxa"/>
            <w:vAlign w:val="bottom"/>
            <w:tcBorders>
              <w:top w:val="single" w:sz="8" w:color="0000FF"/>
            </w:tcBorders>
            <w:gridSpan w:val="7"/>
            <w:shd w:val="clear" w:color="auto" w:fill="CCEEFF"/>
          </w:tcPr>
          <w:p>
            <w:pPr>
              <w:spacing w:after="0" w:line="182"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(incorporated by reference to Exhibit</w:t>
              </w:r>
            </w:hyperlink>
          </w:p>
        </w:tc>
        <w:tc>
          <w:tcPr>
            <w:tcW w:w="1100" w:type="dxa"/>
            <w:vAlign w:val="bottom"/>
            <w:tcBorders>
              <w:top w:val="single" w:sz="8" w:color="CCEEFF"/>
            </w:tcBorders>
            <w:gridSpan w:val="13"/>
            <w:shd w:val="clear" w:color="auto" w:fill="CCEEFF"/>
          </w:tcPr>
          <w:p>
            <w:pPr>
              <w:ind w:left="20"/>
              <w:spacing w:after="0" w:line="182"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2.1 of the</w:t>
              </w:r>
            </w:hyperlink>
          </w:p>
        </w:tc>
        <w:tc>
          <w:tcPr>
            <w:tcW w:w="14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196"/>
        </w:trPr>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3400" w:type="dxa"/>
            <w:vAlign w:val="bottom"/>
            <w:tcBorders>
              <w:top w:val="single" w:sz="8" w:color="0000FF"/>
            </w:tcBorders>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Registrant’s Current Report on Form 8-K filed</w:t>
              </w:r>
            </w:hyperlink>
          </w:p>
        </w:tc>
        <w:tc>
          <w:tcPr>
            <w:tcW w:w="400" w:type="dxa"/>
            <w:vAlign w:val="bottom"/>
            <w:tcBorders>
              <w:top w:val="single" w:sz="8" w:color="CCEEFF"/>
            </w:tcBorders>
            <w:gridSpan w:val="6"/>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r>
      <w:tr>
        <w:trPr>
          <w:trHeight w:val="230"/>
        </w:trPr>
        <w:tc>
          <w:tcPr>
            <w:tcW w:w="1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3360" w:type="dxa"/>
            <w:vAlign w:val="bottom"/>
            <w:tcBorders>
              <w:top w:val="single" w:sz="8" w:color="0000FF"/>
            </w:tcBorders>
            <w:gridSpan w:val="13"/>
            <w:shd w:val="clear" w:color="auto" w:fill="CCEEFF"/>
          </w:tcPr>
          <w:p>
            <w:pPr>
              <w:spacing w:after="0" w:line="182"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with the SEC on September 8, 2020)</w:t>
              </w:r>
            </w:hyperlink>
          </w:p>
        </w:tc>
        <w:tc>
          <w:tcPr>
            <w:tcW w:w="160" w:type="dxa"/>
            <w:vAlign w:val="bottom"/>
            <w:tcBorders>
              <w:top w:val="single" w:sz="8" w:color="CCEEFF"/>
            </w:tcBorders>
            <w:gridSpan w:val="2"/>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gridSpan w:val="4"/>
            <w:shd w:val="clear" w:color="auto" w:fill="CCEEFF"/>
          </w:tcPr>
          <w:p>
            <w:pPr>
              <w:spacing w:after="0"/>
              <w:rPr>
                <w:sz w:val="20"/>
                <w:szCs w:val="20"/>
                <w:color w:val="auto"/>
              </w:rPr>
            </w:pPr>
          </w:p>
        </w:tc>
        <w:tc>
          <w:tcPr>
            <w:tcW w:w="14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CCEEFF"/>
            </w:tcBorders>
            <w:shd w:val="clear" w:color="auto" w:fill="CCEEFF"/>
          </w:tcPr>
          <w:p>
            <w:pPr>
              <w:spacing w:after="0"/>
              <w:rPr>
                <w:sz w:val="20"/>
                <w:szCs w:val="20"/>
                <w:color w:val="auto"/>
              </w:rPr>
            </w:pPr>
          </w:p>
        </w:tc>
      </w:tr>
      <w:tr>
        <w:trPr>
          <w:trHeight w:val="216"/>
        </w:trPr>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1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203"/>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Third Amended and Restated Certificate of</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48"/>
        </w:trPr>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3120" w:type="dxa"/>
            <w:vAlign w:val="bottom"/>
            <w:tcBorders>
              <w:top w:val="single" w:sz="8" w:color="0000FF"/>
              <w:bottom w:val="single" w:sz="8" w:color="0000FF"/>
            </w:tcBorders>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Incorporation of the Company, as amended</w:t>
            </w:r>
          </w:p>
        </w:tc>
        <w:tc>
          <w:tcPr>
            <w:tcW w:w="680" w:type="dxa"/>
            <w:vAlign w:val="bottom"/>
            <w:tcBorders>
              <w:top w:val="single" w:sz="8" w:color="CCEEFF"/>
              <w:bottom w:val="single" w:sz="8" w:color="CCEEFF"/>
            </w:tcBorders>
            <w:gridSpan w:val="11"/>
            <w:shd w:val="clear" w:color="auto" w:fill="CCEEFF"/>
          </w:tcPr>
          <w:p>
            <w:pPr>
              <w:spacing w:after="0"/>
              <w:rPr>
                <w:sz w:val="21"/>
                <w:szCs w:val="21"/>
                <w:color w:val="auto"/>
              </w:rPr>
            </w:pP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6"/>
        </w:trPr>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203"/>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20"/>
            <w:shd w:val="clear" w:color="auto" w:fill="CCEEFF"/>
          </w:tcPr>
          <w:p>
            <w:pPr>
              <w:spacing w:after="0" w:line="202"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Second Amended and Restated Bylaws of the</w:t>
              </w:r>
            </w:hyperlink>
          </w:p>
        </w:tc>
        <w:tc>
          <w:tcPr>
            <w:tcW w:w="15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May 19, 2022</w:t>
            </w:r>
          </w:p>
        </w:tc>
      </w:tr>
      <w:tr>
        <w:trPr>
          <w:trHeight w:val="230"/>
        </w:trPr>
        <w:tc>
          <w:tcPr>
            <w:tcW w:w="1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3300" w:type="dxa"/>
            <w:vAlign w:val="bottom"/>
            <w:tcBorders>
              <w:top w:val="single" w:sz="8" w:color="0000FF"/>
            </w:tcBorders>
            <w:gridSpan w:val="11"/>
            <w:shd w:val="clear" w:color="auto" w:fill="CCEEFF"/>
          </w:tcPr>
          <w:p>
            <w:pPr>
              <w:spacing w:after="0" w:line="182"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Company</w:t>
              </w:r>
            </w:hyperlink>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gridSpan w:val="3"/>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gridSpan w:val="4"/>
            <w:shd w:val="clear" w:color="auto" w:fill="CCEEFF"/>
          </w:tcPr>
          <w:p>
            <w:pPr>
              <w:spacing w:after="0"/>
              <w:rPr>
                <w:sz w:val="20"/>
                <w:szCs w:val="20"/>
                <w:color w:val="auto"/>
              </w:rPr>
            </w:pPr>
          </w:p>
        </w:tc>
        <w:tc>
          <w:tcPr>
            <w:tcW w:w="14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CCEEFF"/>
            </w:tcBorders>
            <w:shd w:val="clear" w:color="auto" w:fill="CCEEFF"/>
          </w:tcPr>
          <w:p>
            <w:pPr>
              <w:spacing w:after="0"/>
              <w:rPr>
                <w:sz w:val="20"/>
                <w:szCs w:val="20"/>
                <w:color w:val="auto"/>
              </w:rPr>
            </w:pPr>
          </w:p>
        </w:tc>
      </w:tr>
      <w:tr>
        <w:trPr>
          <w:trHeight w:val="257"/>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11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20"/>
            <w:shd w:val="clear" w:color="auto" w:fill="CCEEFF"/>
          </w:tcPr>
          <w:p>
            <w:pPr>
              <w:spacing w:after="0" w:line="202"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Specimen Common Stock Certificate</w:t>
              </w:r>
            </w:hyperlink>
          </w:p>
        </w:tc>
        <w:tc>
          <w:tcPr>
            <w:tcW w:w="15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November 20, 2020</w:t>
            </w:r>
          </w:p>
        </w:tc>
      </w:tr>
      <w:tr>
        <w:trPr>
          <w:trHeight w:val="257"/>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11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20"/>
            <w:shd w:val="clear" w:color="auto" w:fill="CCEEFF"/>
          </w:tcPr>
          <w:p>
            <w:pPr>
              <w:spacing w:after="0" w:line="202"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Specimen Warrant Certificate</w:t>
              </w:r>
            </w:hyperlink>
          </w:p>
        </w:tc>
        <w:tc>
          <w:tcPr>
            <w:tcW w:w="15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November 20, 2020</w:t>
            </w:r>
          </w:p>
        </w:tc>
      </w:tr>
      <w:tr>
        <w:trPr>
          <w:trHeight w:val="203"/>
        </w:trPr>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203"/>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20"/>
            <w:shd w:val="clear" w:color="auto" w:fill="CCEEFF"/>
          </w:tcPr>
          <w:p>
            <w:pPr>
              <w:spacing w:after="0" w:line="202"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Eos Energy Enterprises, Inc. 5%/6% Convertible</w:t>
              </w:r>
            </w:hyperlink>
          </w:p>
        </w:tc>
        <w:tc>
          <w:tcPr>
            <w:tcW w:w="15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July 7, 2021</w:t>
            </w:r>
          </w:p>
        </w:tc>
      </w:tr>
      <w:tr>
        <w:trPr>
          <w:trHeight w:val="243"/>
        </w:trPr>
        <w:tc>
          <w:tcPr>
            <w:tcW w:w="1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right w:val="single" w:sz="8" w:color="CCEEFF"/>
            </w:tcBorders>
            <w:shd w:val="clear" w:color="auto" w:fill="CCEEFF"/>
          </w:tcPr>
          <w:p>
            <w:pPr>
              <w:spacing w:after="0"/>
              <w:rPr>
                <w:sz w:val="21"/>
                <w:szCs w:val="21"/>
                <w:color w:val="auto"/>
              </w:rPr>
            </w:pPr>
          </w:p>
        </w:tc>
        <w:tc>
          <w:tcPr>
            <w:tcW w:w="3520" w:type="dxa"/>
            <w:vAlign w:val="bottom"/>
            <w:tcBorders>
              <w:top w:val="single" w:sz="8" w:color="0000FF"/>
            </w:tcBorders>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Senior PIK Toggle Note due 2026</w:t>
              </w:r>
            </w:hyperlink>
          </w:p>
        </w:tc>
        <w:tc>
          <w:tcPr>
            <w:tcW w:w="280" w:type="dxa"/>
            <w:vAlign w:val="bottom"/>
            <w:tcBorders>
              <w:top w:val="single" w:sz="8" w:color="CCEEFF"/>
            </w:tcBorders>
            <w:gridSpan w:val="5"/>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r>
      <w:tr>
        <w:trPr>
          <w:trHeight w:val="203"/>
        </w:trPr>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203"/>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20"/>
            <w:shd w:val="clear" w:color="auto" w:fill="CCEEFF"/>
          </w:tcPr>
          <w:p>
            <w:pPr>
              <w:spacing w:after="0" w:line="202"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Warrant Agreement, dated May 19, 2020, by and</w:t>
              </w:r>
            </w:hyperlink>
          </w:p>
        </w:tc>
        <w:tc>
          <w:tcPr>
            <w:tcW w:w="15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May 22, 2020</w:t>
            </w: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3540" w:type="dxa"/>
            <w:vAlign w:val="bottom"/>
            <w:tcBorders>
              <w:top w:val="single" w:sz="8" w:color="0000FF"/>
            </w:tcBorders>
            <w:gridSpan w:val="16"/>
            <w:shd w:val="clear" w:color="auto" w:fill="CCEEFF"/>
          </w:tcPr>
          <w:p>
            <w:pPr>
              <w:spacing w:after="0" w:line="182"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between the Registrant and Continental Stock</w:t>
              </w:r>
            </w:hyperlink>
          </w:p>
        </w:tc>
        <w:tc>
          <w:tcPr>
            <w:tcW w:w="260" w:type="dxa"/>
            <w:vAlign w:val="bottom"/>
            <w:tcBorders>
              <w:top w:val="single" w:sz="8" w:color="CCEEFF"/>
            </w:tcBorders>
            <w:gridSpan w:val="4"/>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230"/>
        </w:trPr>
        <w:tc>
          <w:tcPr>
            <w:tcW w:w="1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3320" w:type="dxa"/>
            <w:vAlign w:val="bottom"/>
            <w:tcBorders>
              <w:top w:val="single" w:sz="8" w:color="0000FF"/>
            </w:tcBorders>
            <w:gridSpan w:val="12"/>
            <w:shd w:val="clear" w:color="auto" w:fill="CCEEFF"/>
          </w:tcPr>
          <w:p>
            <w:pPr>
              <w:spacing w:after="0" w:line="182"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Transfer &amp; Trust Company</w:t>
              </w:r>
            </w:hyperlink>
          </w:p>
        </w:tc>
        <w:tc>
          <w:tcPr>
            <w:tcW w:w="480" w:type="dxa"/>
            <w:vAlign w:val="bottom"/>
            <w:tcBorders>
              <w:top w:val="single" w:sz="8" w:color="CCEEFF"/>
            </w:tcBorders>
            <w:gridSpan w:val="8"/>
            <w:shd w:val="clear" w:color="auto" w:fill="CCEEFF"/>
          </w:tcPr>
          <w:p>
            <w:pPr>
              <w:spacing w:after="0"/>
              <w:rPr>
                <w:sz w:val="20"/>
                <w:szCs w:val="20"/>
                <w:color w:val="auto"/>
              </w:rPr>
            </w:pPr>
          </w:p>
        </w:tc>
        <w:tc>
          <w:tcPr>
            <w:tcW w:w="14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CCEEFF"/>
            </w:tcBorders>
            <w:shd w:val="clear" w:color="auto" w:fill="CCEEFF"/>
          </w:tcPr>
          <w:p>
            <w:pPr>
              <w:spacing w:after="0"/>
              <w:rPr>
                <w:sz w:val="20"/>
                <w:szCs w:val="20"/>
                <w:color w:val="auto"/>
              </w:rPr>
            </w:pPr>
          </w:p>
        </w:tc>
      </w:tr>
      <w:tr>
        <w:trPr>
          <w:trHeight w:val="270"/>
        </w:trPr>
        <w:tc>
          <w:tcPr>
            <w:tcW w:w="1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700" w:type="dxa"/>
            <w:vAlign w:val="bottom"/>
            <w:tcBorders>
              <w:top w:val="single" w:sz="8" w:color="0000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r>
      <w:tr>
        <w:trPr>
          <w:trHeight w:val="250"/>
        </w:trPr>
        <w:tc>
          <w:tcPr>
            <w:tcW w:w="116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800" w:type="dxa"/>
            <w:vAlign w:val="bottom"/>
            <w:tcBorders>
              <w:bottom w:val="single" w:sz="8" w:color="0000FF"/>
            </w:tcBorders>
            <w:gridSpan w:val="2"/>
            <w:shd w:val="clear" w:color="auto" w:fill="CCEEFF"/>
          </w:tcPr>
          <w:p>
            <w:pPr>
              <w:spacing w:after="0" w:line="202"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Description of Securities</w:t>
              </w:r>
            </w:hyperlink>
          </w:p>
        </w:tc>
        <w:tc>
          <w:tcPr>
            <w:tcW w:w="2000" w:type="dxa"/>
            <w:vAlign w:val="bottom"/>
            <w:tcBorders>
              <w:bottom w:val="single" w:sz="8" w:color="CCEEFF"/>
            </w:tcBorders>
            <w:gridSpan w:val="18"/>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10-K</w:t>
            </w:r>
          </w:p>
        </w:tc>
        <w:tc>
          <w:tcPr>
            <w:tcW w:w="1560" w:type="dxa"/>
            <w:vAlign w:val="bottom"/>
            <w:tcBorders>
              <w:bottom w:val="single" w:sz="8" w:color="CCEEFF"/>
            </w:tcBorders>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February 25, 2022</w:t>
            </w:r>
          </w:p>
        </w:tc>
      </w:tr>
      <w:tr>
        <w:trPr>
          <w:trHeight w:val="45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3800" w:type="dxa"/>
            <w:vAlign w:val="bottom"/>
            <w:gridSpan w:val="20"/>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Indenture, dated April 7, 2022, between the</w:t>
              </w:r>
            </w:hyperlink>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Form 8-K</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13, 2022</w:t>
            </w: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Company and Wilmington Trust, National</w:t>
              </w:r>
            </w:hyperlink>
          </w:p>
        </w:tc>
        <w:tc>
          <w:tcPr>
            <w:tcW w:w="660" w:type="dxa"/>
            <w:vAlign w:val="bottom"/>
            <w:gridSpan w:val="10"/>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8572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ind w:left="1260"/>
        <w:spacing w:after="0"/>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Association, as trustee (incorporated by reference</w:t>
        </w:r>
      </w:hyperlink>
    </w:p>
    <w:p>
      <w:pPr>
        <w:spacing w:after="0" w:line="27" w:lineRule="exact"/>
        <w:rPr>
          <w:sz w:val="20"/>
          <w:szCs w:val="20"/>
          <w:color w:val="auto"/>
        </w:rPr>
      </w:pPr>
    </w:p>
    <w:p>
      <w:pPr>
        <w:ind w:left="1260"/>
        <w:spacing w:after="0"/>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to Exhibit 10.1 of the Registrant’s Current Report</w:t>
        </w:r>
      </w:hyperlink>
    </w:p>
    <w:p>
      <w:pPr>
        <w:spacing w:after="0" w:line="9" w:lineRule="exact"/>
        <w:rPr>
          <w:sz w:val="20"/>
          <w:szCs w:val="20"/>
          <w:color w:val="auto"/>
        </w:rPr>
      </w:pPr>
    </w:p>
    <w:p>
      <w:pPr>
        <w:ind w:left="1260"/>
        <w:spacing w:after="0"/>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on Form 8-K filed with the SEC on April 13,</w:t>
        </w:r>
      </w:hyperlink>
    </w:p>
    <w:p>
      <w:pPr>
        <w:spacing w:after="0" w:line="9" w:lineRule="exact"/>
        <w:rPr>
          <w:sz w:val="20"/>
          <w:szCs w:val="20"/>
          <w:color w:val="auto"/>
        </w:rPr>
      </w:pPr>
    </w:p>
    <w:p>
      <w:pPr>
        <w:ind w:left="1260"/>
        <w:spacing w:after="0"/>
        <w:rPr>
          <w:rFonts w:ascii="Times New Roman" w:cs="Times New Roman" w:eastAsia="Times New Roman" w:hAnsi="Times New Roman"/>
          <w:sz w:val="18"/>
          <w:szCs w:val="18"/>
          <w:u w:val="single" w:color="auto"/>
          <w:color w:val="0000FF"/>
        </w:rPr>
      </w:pPr>
      <w:hyperlink r:id="rId68">
        <w:r>
          <w:rPr>
            <w:rFonts w:ascii="Times New Roman" w:cs="Times New Roman" w:eastAsia="Times New Roman" w:hAnsi="Times New Roman"/>
            <w:sz w:val="18"/>
            <w:szCs w:val="18"/>
            <w:u w:val="single" w:color="auto"/>
            <w:color w:val="0000FF"/>
          </w:rPr>
          <w:t>2022)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480" w:type="dxa"/>
            <w:vAlign w:val="bottom"/>
          </w:tcPr>
          <w:p>
            <w:pPr>
              <w:spacing w:after="0"/>
              <w:rPr>
                <w:sz w:val="20"/>
                <w:szCs w:val="20"/>
                <w:color w:val="auto"/>
              </w:rPr>
            </w:pPr>
          </w:p>
        </w:tc>
      </w:tr>
      <w:tr>
        <w:trPr>
          <w:trHeight w:val="248"/>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38"/>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00" w:type="dxa"/>
            <w:vAlign w:val="bottom"/>
          </w:tcPr>
          <w:p>
            <w:pPr>
              <w:spacing w:after="0"/>
              <w:rPr>
                <w:sz w:val="20"/>
                <w:szCs w:val="20"/>
                <w:color w:val="auto"/>
              </w:rPr>
            </w:pPr>
          </w:p>
        </w:tc>
        <w:tc>
          <w:tcPr>
            <w:tcW w:w="3300" w:type="dxa"/>
            <w:vAlign w:val="bottom"/>
            <w:gridSpan w:val="22"/>
          </w:tcPr>
          <w:p>
            <w:pPr>
              <w:ind w:left="38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Schedule/Form</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5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7"/>
        </w:trPr>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6"/>
        </w:trPr>
        <w:tc>
          <w:tcPr>
            <w:tcW w:w="11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640" w:type="dxa"/>
            <w:vAlign w:val="bottom"/>
            <w:tcBorders>
              <w:bottom w:val="single" w:sz="8" w:color="0000FF"/>
            </w:tcBorders>
            <w:gridSpan w:val="20"/>
            <w:shd w:val="clear" w:color="auto" w:fill="CCEEFF"/>
          </w:tcPr>
          <w:p>
            <w:pPr>
              <w:spacing w:after="0" w:line="196"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Convertible Promissory Note, dated as of June 13,</w:t>
              </w:r>
            </w:hyperlink>
          </w:p>
        </w:tc>
        <w:tc>
          <w:tcPr>
            <w:tcW w:w="160" w:type="dxa"/>
            <w:vAlign w:val="bottom"/>
            <w:tcBorders>
              <w:bottom w:val="single" w:sz="8" w:color="CCEEFF"/>
            </w:tcBorders>
            <w:gridSpan w:val="3"/>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tcBorders>
              <w:bottom w:val="single" w:sz="8" w:color="CCEEFF"/>
            </w:tcBorders>
            <w:gridSpan w:val="2"/>
            <w:shd w:val="clear" w:color="auto" w:fill="CCEEFF"/>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June 13, 2022</w:t>
            </w: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460" w:type="dxa"/>
            <w:vAlign w:val="bottom"/>
            <w:tcBorders>
              <w:bottom w:val="single" w:sz="8" w:color="0000FF"/>
            </w:tcBorders>
            <w:gridSpan w:val="14"/>
            <w:shd w:val="clear" w:color="auto" w:fill="CCEEFF"/>
          </w:tcPr>
          <w:p>
            <w:pPr>
              <w:spacing w:after="0" w:line="196"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2022, between Eos Energy Enterprises, Inc. and</w:t>
              </w:r>
            </w:hyperlink>
          </w:p>
        </w:tc>
        <w:tc>
          <w:tcPr>
            <w:tcW w:w="340" w:type="dxa"/>
            <w:vAlign w:val="bottom"/>
            <w:tcBorders>
              <w:bottom w:val="single" w:sz="8" w:color="CCEEFF"/>
            </w:tcBorders>
            <w:gridSpan w:val="9"/>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243"/>
        </w:trPr>
        <w:tc>
          <w:tcPr>
            <w:tcW w:w="11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YA II PN, LTD.</w:t>
              </w:r>
            </w:hyperlink>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6"/>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440" w:type="dxa"/>
            <w:vAlign w:val="bottom"/>
            <w:tcBorders>
              <w:top w:val="single" w:sz="8" w:color="CCEEFF"/>
            </w:tcBorders>
          </w:tcPr>
          <w:p>
            <w:pPr>
              <w:spacing w:after="0"/>
              <w:rPr>
                <w:sz w:val="22"/>
                <w:szCs w:val="22"/>
                <w:color w:val="auto"/>
              </w:rPr>
            </w:pPr>
          </w:p>
        </w:tc>
        <w:tc>
          <w:tcPr>
            <w:tcW w:w="54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03"/>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23"/>
            <w:shd w:val="clear" w:color="auto" w:fill="CCEEFF"/>
          </w:tcPr>
          <w:p>
            <w:pPr>
              <w:spacing w:after="0" w:line="202"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Convertible Promissory Note dated as of</w:t>
              </w:r>
            </w:hyperlink>
          </w:p>
        </w:tc>
        <w:tc>
          <w:tcPr>
            <w:tcW w:w="15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December 29, 2022</w:t>
            </w:r>
          </w:p>
        </w:tc>
      </w:tr>
      <w:tr>
        <w:trPr>
          <w:trHeight w:val="20"/>
        </w:trPr>
        <w:tc>
          <w:tcPr>
            <w:tcW w:w="1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CCEEFF"/>
            </w:tcBorders>
            <w:shd w:val="clear" w:color="auto" w:fill="0000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r>
        <w:trPr>
          <w:trHeight w:val="196"/>
        </w:trPr>
        <w:tc>
          <w:tcPr>
            <w:tcW w:w="1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December 29, 2022 between Eos Energy</w:t>
              </w:r>
            </w:hyperlink>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44"/>
        </w:trPr>
        <w:tc>
          <w:tcPr>
            <w:tcW w:w="1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right w:val="single" w:sz="8" w:color="CCEEFF"/>
            </w:tcBorders>
            <w:shd w:val="clear" w:color="auto" w:fill="CCEEFF"/>
          </w:tcPr>
          <w:p>
            <w:pPr>
              <w:spacing w:after="0"/>
              <w:rPr>
                <w:sz w:val="21"/>
                <w:szCs w:val="21"/>
                <w:color w:val="auto"/>
              </w:rPr>
            </w:pPr>
          </w:p>
        </w:tc>
        <w:tc>
          <w:tcPr>
            <w:tcW w:w="2980" w:type="dxa"/>
            <w:vAlign w:val="bottom"/>
            <w:tcBorders>
              <w:top w:val="single" w:sz="8" w:color="0000FF"/>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Enterprises, Inc. and YA II PN, LTD.</w:t>
              </w:r>
            </w:hyperlink>
          </w:p>
        </w:tc>
        <w:tc>
          <w:tcPr>
            <w:tcW w:w="820" w:type="dxa"/>
            <w:vAlign w:val="bottom"/>
            <w:tcBorders>
              <w:top w:val="single" w:sz="8" w:color="CCEEFF"/>
            </w:tcBorders>
            <w:gridSpan w:val="14"/>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r>
      <w:tr>
        <w:trPr>
          <w:trHeight w:val="257"/>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23"/>
            <w:shd w:val="clear" w:color="auto" w:fill="CCEEFF"/>
          </w:tcPr>
          <w:p>
            <w:pPr>
              <w:spacing w:after="0" w:line="202"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Sponsor Earnout Letter</w:t>
              </w:r>
            </w:hyperlink>
          </w:p>
        </w:tc>
        <w:tc>
          <w:tcPr>
            <w:tcW w:w="15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10.8</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November 20, 2020</w:t>
            </w:r>
          </w:p>
        </w:tc>
      </w:tr>
      <w:tr>
        <w:trPr>
          <w:trHeight w:val="203"/>
        </w:trPr>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23"/>
            <w:shd w:val="clear" w:color="auto" w:fill="CCEEFF"/>
          </w:tcPr>
          <w:p>
            <w:pPr>
              <w:spacing w:after="0" w:line="202"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Eos Energy Enterprises, Inc. 2020 Incentive Plan</w:t>
              </w:r>
            </w:hyperlink>
          </w:p>
        </w:tc>
        <w:tc>
          <w:tcPr>
            <w:tcW w:w="15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10.10</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November 20, 2020</w:t>
            </w:r>
          </w:p>
        </w:tc>
      </w:tr>
      <w:tr>
        <w:trPr>
          <w:trHeight w:val="256"/>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23"/>
            <w:shd w:val="clear" w:color="auto" w:fill="CCEEFF"/>
          </w:tcPr>
          <w:p>
            <w:pPr>
              <w:spacing w:after="0" w:line="202"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Form of Indemnity Agreement</w:t>
              </w:r>
            </w:hyperlink>
          </w:p>
        </w:tc>
        <w:tc>
          <w:tcPr>
            <w:tcW w:w="15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10.13</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November 20, 2020</w:t>
            </w:r>
          </w:p>
        </w:tc>
      </w:tr>
      <w:tr>
        <w:trPr>
          <w:trHeight w:val="216"/>
        </w:trPr>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203"/>
        </w:trPr>
        <w:tc>
          <w:tcPr>
            <w:tcW w:w="116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680" w:type="dxa"/>
            <w:vAlign w:val="bottom"/>
            <w:tcBorders>
              <w:bottom w:val="single" w:sz="8" w:color="0000FF"/>
            </w:tcBorders>
            <w:gridSpan w:val="21"/>
            <w:shd w:val="clear" w:color="auto" w:fill="CCEEFF"/>
          </w:tcPr>
          <w:p>
            <w:pPr>
              <w:spacing w:after="0" w:line="202"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Employment Agreement, dated February 24, 2021,</w:t>
              </w:r>
            </w:hyperlink>
          </w:p>
        </w:tc>
        <w:tc>
          <w:tcPr>
            <w:tcW w:w="120" w:type="dxa"/>
            <w:vAlign w:val="bottom"/>
            <w:tcBorders>
              <w:bottom w:val="single" w:sz="8" w:color="CCEEFF"/>
            </w:tcBorders>
            <w:gridSpan w:val="2"/>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tcBorders>
              <w:bottom w:val="single" w:sz="8" w:color="CCEEFF"/>
            </w:tcBorders>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March 2, 2021</w:t>
            </w:r>
          </w:p>
        </w:tc>
      </w:tr>
      <w:tr>
        <w:trPr>
          <w:trHeight w:val="196"/>
        </w:trPr>
        <w:tc>
          <w:tcPr>
            <w:tcW w:w="1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by and between the Company and Joseph</w:t>
              </w:r>
            </w:hyperlink>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43"/>
        </w:trPr>
        <w:tc>
          <w:tcPr>
            <w:tcW w:w="1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right w:val="single" w:sz="8" w:color="CCEEFF"/>
            </w:tcBorders>
            <w:shd w:val="clear" w:color="auto" w:fill="CCEEFF"/>
          </w:tcPr>
          <w:p>
            <w:pPr>
              <w:spacing w:after="0"/>
              <w:rPr>
                <w:sz w:val="21"/>
                <w:szCs w:val="21"/>
                <w:color w:val="auto"/>
              </w:rPr>
            </w:pPr>
          </w:p>
        </w:tc>
        <w:tc>
          <w:tcPr>
            <w:tcW w:w="2980" w:type="dxa"/>
            <w:vAlign w:val="bottom"/>
            <w:tcBorders>
              <w:top w:val="single" w:sz="8" w:color="0000FF"/>
              <w:right w:val="single" w:sz="8" w:color="CCEEFF"/>
            </w:tcBorders>
            <w:gridSpan w:val="9"/>
            <w:shd w:val="clear" w:color="auto" w:fill="CCEEFF"/>
          </w:tcPr>
          <w:p>
            <w:pPr>
              <w:spacing w:after="0" w:line="19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Mastrangelo</w:t>
              </w:r>
            </w:hyperlink>
          </w:p>
        </w:tc>
        <w:tc>
          <w:tcPr>
            <w:tcW w:w="820" w:type="dxa"/>
            <w:vAlign w:val="bottom"/>
            <w:tcBorders>
              <w:top w:val="single" w:sz="8" w:color="CCEEFF"/>
            </w:tcBorders>
            <w:gridSpan w:val="14"/>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r>
      <w:tr>
        <w:trPr>
          <w:trHeight w:val="216"/>
        </w:trPr>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203"/>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23"/>
            <w:shd w:val="clear" w:color="auto" w:fill="CCEEFF"/>
          </w:tcPr>
          <w:p>
            <w:pPr>
              <w:spacing w:after="0" w:line="202"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Offer Letter, dated February 19, 2021, by and</w:t>
              </w:r>
            </w:hyperlink>
          </w:p>
        </w:tc>
        <w:tc>
          <w:tcPr>
            <w:tcW w:w="15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March 12, 2021</w:t>
            </w:r>
          </w:p>
        </w:tc>
      </w:tr>
      <w:tr>
        <w:trPr>
          <w:trHeight w:val="20"/>
        </w:trPr>
        <w:tc>
          <w:tcPr>
            <w:tcW w:w="1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CCEE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0" w:type="dxa"/>
            <w:vAlign w:val="bottom"/>
            <w:gridSpan w:val="4"/>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r>
        <w:trPr>
          <w:trHeight w:val="243"/>
        </w:trPr>
        <w:tc>
          <w:tcPr>
            <w:tcW w:w="11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between the Company and Jody Markopoulos</w:t>
              </w:r>
            </w:hyperlink>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7"/>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03"/>
        </w:trPr>
        <w:tc>
          <w:tcPr>
            <w:tcW w:w="116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500" w:type="dxa"/>
            <w:vAlign w:val="bottom"/>
            <w:tcBorders>
              <w:bottom w:val="single" w:sz="8" w:color="0000FF"/>
            </w:tcBorders>
            <w:gridSpan w:val="16"/>
            <w:shd w:val="clear" w:color="auto" w:fill="CCEEFF"/>
          </w:tcPr>
          <w:p>
            <w:pPr>
              <w:spacing w:after="0" w:line="202"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Employment Agreement, dated March 25, 2021,</w:t>
              </w:r>
            </w:hyperlink>
          </w:p>
        </w:tc>
        <w:tc>
          <w:tcPr>
            <w:tcW w:w="300" w:type="dxa"/>
            <w:vAlign w:val="bottom"/>
            <w:tcBorders>
              <w:bottom w:val="single" w:sz="8" w:color="CCEEFF"/>
            </w:tcBorders>
            <w:gridSpan w:val="7"/>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tcBorders>
              <w:bottom w:val="single" w:sz="8" w:color="CCEEFF"/>
            </w:tcBorders>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March 31, 2021</w:t>
            </w:r>
          </w:p>
        </w:tc>
      </w:tr>
      <w:tr>
        <w:trPr>
          <w:trHeight w:val="243"/>
        </w:trPr>
        <w:tc>
          <w:tcPr>
            <w:tcW w:w="11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by and between the Company and Sagar Kurada</w:t>
              </w:r>
            </w:hyperlink>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7"/>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23"/>
            <w:shd w:val="clear" w:color="auto" w:fill="CCEEFF"/>
          </w:tcPr>
          <w:p>
            <w:pPr>
              <w:spacing w:after="0" w:line="202"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Unit Purchase Agreement, dated April 8, 2021</w:t>
              </w:r>
            </w:hyperlink>
          </w:p>
        </w:tc>
        <w:tc>
          <w:tcPr>
            <w:tcW w:w="15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April 14, 2021</w:t>
            </w:r>
          </w:p>
        </w:tc>
      </w:tr>
      <w:tr>
        <w:trPr>
          <w:trHeight w:val="216"/>
        </w:trPr>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89"/>
        </w:trPr>
        <w:tc>
          <w:tcPr>
            <w:tcW w:w="11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right w:val="single" w:sz="8" w:color="CCEEFF"/>
            </w:tcBorders>
            <w:shd w:val="clear" w:color="auto" w:fill="CCEEFF"/>
          </w:tcPr>
          <w:p>
            <w:pPr>
              <w:spacing w:after="0"/>
              <w:rPr>
                <w:sz w:val="16"/>
                <w:szCs w:val="16"/>
                <w:color w:val="auto"/>
              </w:rPr>
            </w:pPr>
          </w:p>
        </w:tc>
        <w:tc>
          <w:tcPr>
            <w:tcW w:w="3800" w:type="dxa"/>
            <w:vAlign w:val="bottom"/>
            <w:gridSpan w:val="23"/>
            <w:shd w:val="clear" w:color="auto" w:fill="CCEEFF"/>
          </w:tcPr>
          <w:p>
            <w:pPr>
              <w:spacing w:after="0" w:line="169"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Form of Transition Services Agreement (Included</w:t>
              </w:r>
            </w:hyperlink>
          </w:p>
        </w:tc>
        <w:tc>
          <w:tcPr>
            <w:tcW w:w="158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gridSpan w:val="2"/>
            <w:shd w:val="clear" w:color="auto" w:fill="CCEEFF"/>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April 14, 2021</w:t>
            </w:r>
          </w:p>
        </w:tc>
      </w:tr>
      <w:tr>
        <w:trPr>
          <w:trHeight w:val="230"/>
        </w:trPr>
        <w:tc>
          <w:tcPr>
            <w:tcW w:w="1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3600" w:type="dxa"/>
            <w:vAlign w:val="bottom"/>
            <w:tcBorders>
              <w:top w:val="single" w:sz="8" w:color="0000FF"/>
            </w:tcBorders>
            <w:gridSpan w:val="19"/>
            <w:shd w:val="clear" w:color="auto" w:fill="CCEEFF"/>
          </w:tcPr>
          <w:p>
            <w:pPr>
              <w:spacing w:after="0" w:line="182"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in Exhibit 10.08)</w:t>
              </w:r>
            </w:hyperlink>
          </w:p>
        </w:tc>
        <w:tc>
          <w:tcPr>
            <w:tcW w:w="200" w:type="dxa"/>
            <w:vAlign w:val="bottom"/>
            <w:tcBorders>
              <w:top w:val="single" w:sz="8" w:color="CCEEFF"/>
            </w:tcBorders>
            <w:gridSpan w:val="4"/>
            <w:shd w:val="clear" w:color="auto" w:fill="CCEEFF"/>
          </w:tcPr>
          <w:p>
            <w:pPr>
              <w:spacing w:after="0"/>
              <w:rPr>
                <w:sz w:val="20"/>
                <w:szCs w:val="20"/>
                <w:color w:val="auto"/>
              </w:rPr>
            </w:pPr>
          </w:p>
        </w:tc>
        <w:tc>
          <w:tcPr>
            <w:tcW w:w="14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CCEEFF"/>
            </w:tcBorders>
            <w:shd w:val="clear" w:color="auto" w:fill="CCEEFF"/>
          </w:tcPr>
          <w:p>
            <w:pPr>
              <w:spacing w:after="0"/>
              <w:rPr>
                <w:sz w:val="20"/>
                <w:szCs w:val="20"/>
                <w:color w:val="auto"/>
              </w:rPr>
            </w:pPr>
          </w:p>
        </w:tc>
      </w:tr>
      <w:tr>
        <w:trPr>
          <w:trHeight w:val="270"/>
        </w:trPr>
        <w:tc>
          <w:tcPr>
            <w:tcW w:w="1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r>
      <w:tr>
        <w:trPr>
          <w:trHeight w:val="189"/>
        </w:trPr>
        <w:tc>
          <w:tcPr>
            <w:tcW w:w="1160" w:type="dxa"/>
            <w:vAlign w:val="bottom"/>
            <w:tcBorders>
              <w:bottom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3120" w:type="dxa"/>
            <w:vAlign w:val="bottom"/>
            <w:tcBorders>
              <w:bottom w:val="single" w:sz="8" w:color="0000FF"/>
            </w:tcBorders>
            <w:gridSpan w:val="10"/>
            <w:shd w:val="clear" w:color="auto" w:fill="CCEEFF"/>
          </w:tcPr>
          <w:p>
            <w:pPr>
              <w:spacing w:after="0" w:line="169" w:lineRule="exact"/>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Amended and Restated Registration Rights</w:t>
              </w:r>
            </w:hyperlink>
          </w:p>
        </w:tc>
        <w:tc>
          <w:tcPr>
            <w:tcW w:w="680" w:type="dxa"/>
            <w:vAlign w:val="bottom"/>
            <w:tcBorders>
              <w:bottom w:val="single" w:sz="8" w:color="CCEEFF"/>
            </w:tcBorders>
            <w:gridSpan w:val="13"/>
            <w:shd w:val="clear" w:color="auto" w:fill="CCEEFF"/>
          </w:tcPr>
          <w:p>
            <w:pPr>
              <w:spacing w:after="0"/>
              <w:rPr>
                <w:sz w:val="16"/>
                <w:szCs w:val="16"/>
                <w:color w:val="auto"/>
              </w:rPr>
            </w:pPr>
          </w:p>
        </w:tc>
        <w:tc>
          <w:tcPr>
            <w:tcW w:w="1580" w:type="dxa"/>
            <w:vAlign w:val="bottom"/>
            <w:tcBorders>
              <w:bottom w:val="single" w:sz="8" w:color="CCEEFF"/>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tcBorders>
              <w:bottom w:val="single" w:sz="8" w:color="CCEEFF"/>
            </w:tcBorders>
            <w:gridSpan w:val="2"/>
            <w:shd w:val="clear" w:color="auto" w:fill="CCEEFF"/>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tcBorders>
              <w:bottom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4.01</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May 10, 2021</w:t>
            </w:r>
          </w:p>
        </w:tc>
      </w:tr>
      <w:tr>
        <w:trPr>
          <w:trHeight w:val="183"/>
        </w:trPr>
        <w:tc>
          <w:tcPr>
            <w:tcW w:w="11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800" w:type="dxa"/>
            <w:vAlign w:val="bottom"/>
            <w:gridSpan w:val="23"/>
            <w:shd w:val="clear" w:color="auto" w:fill="CCEEFF"/>
          </w:tcPr>
          <w:p>
            <w:pPr>
              <w:spacing w:after="0" w:line="182"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Agreement, dated May 10, 2021, by and between</w:t>
              </w:r>
            </w:hyperlink>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3560" w:type="dxa"/>
            <w:vAlign w:val="bottom"/>
            <w:tcBorders>
              <w:top w:val="single" w:sz="8" w:color="0000FF"/>
            </w:tcBorders>
            <w:gridSpan w:val="18"/>
            <w:shd w:val="clear" w:color="auto" w:fill="CCEEFF"/>
          </w:tcPr>
          <w:p>
            <w:pPr>
              <w:spacing w:after="0" w:line="182"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the Registrant, B. Riley Principal Sponsor Co. II,</w:t>
              </w:r>
            </w:hyperlink>
          </w:p>
        </w:tc>
        <w:tc>
          <w:tcPr>
            <w:tcW w:w="240" w:type="dxa"/>
            <w:vAlign w:val="bottom"/>
            <w:tcBorders>
              <w:top w:val="single" w:sz="8" w:color="CCEEFF"/>
            </w:tcBorders>
            <w:gridSpan w:val="5"/>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230"/>
        </w:trPr>
        <w:tc>
          <w:tcPr>
            <w:tcW w:w="1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3540" w:type="dxa"/>
            <w:vAlign w:val="bottom"/>
            <w:tcBorders>
              <w:top w:val="single" w:sz="8" w:color="0000FF"/>
            </w:tcBorders>
            <w:gridSpan w:val="17"/>
            <w:shd w:val="clear" w:color="auto" w:fill="CCEEFF"/>
          </w:tcPr>
          <w:p>
            <w:pPr>
              <w:spacing w:after="0" w:line="182"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LLC and the other parties thereto</w:t>
              </w:r>
            </w:hyperlink>
          </w:p>
        </w:tc>
        <w:tc>
          <w:tcPr>
            <w:tcW w:w="260" w:type="dxa"/>
            <w:vAlign w:val="bottom"/>
            <w:tcBorders>
              <w:top w:val="single" w:sz="8" w:color="CCEEFF"/>
            </w:tcBorders>
            <w:gridSpan w:val="6"/>
            <w:shd w:val="clear" w:color="auto" w:fill="CCEEFF"/>
          </w:tcPr>
          <w:p>
            <w:pPr>
              <w:spacing w:after="0"/>
              <w:rPr>
                <w:sz w:val="20"/>
                <w:szCs w:val="20"/>
                <w:color w:val="auto"/>
              </w:rPr>
            </w:pPr>
          </w:p>
        </w:tc>
        <w:tc>
          <w:tcPr>
            <w:tcW w:w="14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CCEEFF"/>
            </w:tcBorders>
            <w:shd w:val="clear" w:color="auto" w:fill="CCEEFF"/>
          </w:tcPr>
          <w:p>
            <w:pPr>
              <w:spacing w:after="0"/>
              <w:rPr>
                <w:sz w:val="20"/>
                <w:szCs w:val="20"/>
                <w:color w:val="auto"/>
              </w:rPr>
            </w:pPr>
          </w:p>
        </w:tc>
      </w:tr>
      <w:tr>
        <w:trPr>
          <w:trHeight w:val="216"/>
        </w:trPr>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189"/>
        </w:trPr>
        <w:tc>
          <w:tcPr>
            <w:tcW w:w="1160" w:type="dxa"/>
            <w:vAlign w:val="bottom"/>
            <w:tcBorders>
              <w:bottom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3120" w:type="dxa"/>
            <w:vAlign w:val="bottom"/>
            <w:tcBorders>
              <w:bottom w:val="single" w:sz="8" w:color="0000FF"/>
            </w:tcBorders>
            <w:gridSpan w:val="10"/>
            <w:shd w:val="clear" w:color="auto" w:fill="CCEEFF"/>
          </w:tcPr>
          <w:p>
            <w:pPr>
              <w:spacing w:after="0" w:line="169"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Amended and Restated Registration Rights</w:t>
              </w:r>
            </w:hyperlink>
          </w:p>
        </w:tc>
        <w:tc>
          <w:tcPr>
            <w:tcW w:w="680" w:type="dxa"/>
            <w:vAlign w:val="bottom"/>
            <w:tcBorders>
              <w:bottom w:val="single" w:sz="8" w:color="CCEEFF"/>
            </w:tcBorders>
            <w:gridSpan w:val="13"/>
            <w:shd w:val="clear" w:color="auto" w:fill="CCEEFF"/>
          </w:tcPr>
          <w:p>
            <w:pPr>
              <w:spacing w:after="0"/>
              <w:rPr>
                <w:sz w:val="16"/>
                <w:szCs w:val="16"/>
                <w:color w:val="auto"/>
              </w:rPr>
            </w:pPr>
          </w:p>
        </w:tc>
        <w:tc>
          <w:tcPr>
            <w:tcW w:w="1580" w:type="dxa"/>
            <w:vAlign w:val="bottom"/>
            <w:tcBorders>
              <w:bottom w:val="single" w:sz="8" w:color="CCEEFF"/>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tcBorders>
              <w:bottom w:val="single" w:sz="8" w:color="CCEEFF"/>
            </w:tcBorders>
            <w:gridSpan w:val="2"/>
            <w:shd w:val="clear" w:color="auto" w:fill="CCEEFF"/>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tcBorders>
              <w:bottom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4.02</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May 10, 2021</w:t>
            </w:r>
          </w:p>
        </w:tc>
      </w:tr>
      <w:tr>
        <w:trPr>
          <w:trHeight w:val="183"/>
        </w:trPr>
        <w:tc>
          <w:tcPr>
            <w:tcW w:w="11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3800" w:type="dxa"/>
            <w:vAlign w:val="bottom"/>
            <w:gridSpan w:val="23"/>
            <w:shd w:val="clear" w:color="auto" w:fill="CCEEFF"/>
          </w:tcPr>
          <w:p>
            <w:pPr>
              <w:spacing w:after="0" w:line="182"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Agreement, dated May 10, 2021, by and among</w:t>
              </w:r>
            </w:hyperlink>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3440" w:type="dxa"/>
            <w:vAlign w:val="bottom"/>
            <w:tcBorders>
              <w:top w:val="single" w:sz="8" w:color="0000FF"/>
            </w:tcBorders>
            <w:gridSpan w:val="13"/>
            <w:shd w:val="clear" w:color="auto" w:fill="CCEEFF"/>
          </w:tcPr>
          <w:p>
            <w:pPr>
              <w:spacing w:after="0" w:line="182"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the Company and the security holders party</w:t>
              </w:r>
            </w:hyperlink>
          </w:p>
        </w:tc>
        <w:tc>
          <w:tcPr>
            <w:tcW w:w="360" w:type="dxa"/>
            <w:vAlign w:val="bottom"/>
            <w:tcBorders>
              <w:top w:val="single" w:sz="8" w:color="CCEEFF"/>
            </w:tcBorders>
            <w:gridSpan w:val="10"/>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3140" w:type="dxa"/>
            <w:vAlign w:val="bottom"/>
            <w:tcBorders>
              <w:top w:val="single" w:sz="8" w:color="0000FF"/>
            </w:tcBorders>
            <w:gridSpan w:val="11"/>
            <w:shd w:val="clear" w:color="auto" w:fill="CCEEFF"/>
          </w:tcPr>
          <w:p>
            <w:pPr>
              <w:spacing w:after="0" w:line="182"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thereto</w:t>
              </w:r>
            </w:hyperlink>
          </w:p>
        </w:tc>
        <w:tc>
          <w:tcPr>
            <w:tcW w:w="660" w:type="dxa"/>
            <w:vAlign w:val="bottom"/>
            <w:tcBorders>
              <w:top w:val="single" w:sz="8" w:color="CCEEFF"/>
            </w:tcBorders>
            <w:gridSpan w:val="12"/>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480" w:type="dxa"/>
            <w:vAlign w:val="bottom"/>
          </w:tcPr>
          <w:p>
            <w:pPr>
              <w:spacing w:after="0"/>
              <w:rPr>
                <w:sz w:val="20"/>
                <w:szCs w:val="20"/>
                <w:color w:val="auto"/>
              </w:rPr>
            </w:pPr>
          </w:p>
        </w:tc>
      </w:tr>
      <w:tr>
        <w:trPr>
          <w:trHeight w:val="248"/>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38"/>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20" w:type="dxa"/>
            <w:vAlign w:val="bottom"/>
          </w:tcPr>
          <w:p>
            <w:pPr>
              <w:spacing w:after="0"/>
              <w:rPr>
                <w:sz w:val="20"/>
                <w:szCs w:val="20"/>
                <w:color w:val="auto"/>
              </w:rPr>
            </w:pPr>
          </w:p>
        </w:tc>
        <w:tc>
          <w:tcPr>
            <w:tcW w:w="3380" w:type="dxa"/>
            <w:vAlign w:val="bottom"/>
            <w:gridSpan w:val="20"/>
          </w:tcPr>
          <w:p>
            <w:pPr>
              <w:ind w:left="4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Schedule/Form</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5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7"/>
        </w:trPr>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3"/>
        </w:trPr>
        <w:tc>
          <w:tcPr>
            <w:tcW w:w="11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10.11</w:t>
            </w:r>
          </w:p>
        </w:tc>
        <w:tc>
          <w:tcPr>
            <w:tcW w:w="100" w:type="dxa"/>
            <w:vAlign w:val="bottom"/>
            <w:tcBorders>
              <w:right w:val="single" w:sz="8" w:color="CCEEFF"/>
            </w:tcBorders>
            <w:shd w:val="clear" w:color="auto" w:fill="CCEEFF"/>
          </w:tcPr>
          <w:p>
            <w:pPr>
              <w:spacing w:after="0"/>
              <w:rPr>
                <w:sz w:val="15"/>
                <w:szCs w:val="15"/>
                <w:color w:val="auto"/>
              </w:rPr>
            </w:pPr>
          </w:p>
        </w:tc>
        <w:tc>
          <w:tcPr>
            <w:tcW w:w="3700" w:type="dxa"/>
            <w:vAlign w:val="bottom"/>
            <w:gridSpan w:val="20"/>
            <w:shd w:val="clear" w:color="auto" w:fill="CCEEFF"/>
          </w:tcPr>
          <w:p>
            <w:pPr>
              <w:spacing w:after="0" w:line="169"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Investment Agreement, dated as of July 6, 2021,</w:t>
              </w:r>
            </w:hyperlink>
          </w:p>
        </w:tc>
        <w:tc>
          <w:tcPr>
            <w:tcW w:w="10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gridSpan w:val="2"/>
            <w:shd w:val="clear" w:color="auto" w:fill="CCEEFF"/>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July 7, 2021</w:t>
            </w:r>
          </w:p>
        </w:tc>
      </w:tr>
      <w:tr>
        <w:trPr>
          <w:trHeight w:val="183"/>
        </w:trPr>
        <w:tc>
          <w:tcPr>
            <w:tcW w:w="1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3520" w:type="dxa"/>
            <w:vAlign w:val="bottom"/>
            <w:tcBorders>
              <w:top w:val="single" w:sz="8" w:color="0000FF"/>
            </w:tcBorders>
            <w:gridSpan w:val="14"/>
            <w:shd w:val="clear" w:color="auto" w:fill="CCEEFF"/>
          </w:tcPr>
          <w:p>
            <w:pPr>
              <w:spacing w:after="0" w:line="182"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by and among Eos Energy Enterprises, Inc. and</w:t>
              </w:r>
            </w:hyperlink>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gridSpan w:val="2"/>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230"/>
        </w:trPr>
        <w:tc>
          <w:tcPr>
            <w:tcW w:w="1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3420" w:type="dxa"/>
            <w:vAlign w:val="bottom"/>
            <w:tcBorders>
              <w:top w:val="single" w:sz="8" w:color="0000FF"/>
            </w:tcBorders>
            <w:gridSpan w:val="9"/>
            <w:shd w:val="clear" w:color="auto" w:fill="CCEEFF"/>
          </w:tcPr>
          <w:p>
            <w:pPr>
              <w:spacing w:after="0" w:line="182"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Spring Greek Capital, LLC</w:t>
              </w:r>
            </w:hyperlink>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gridSpan w:val="2"/>
            <w:shd w:val="clear" w:color="auto" w:fill="CCEEFF"/>
          </w:tcPr>
          <w:p>
            <w:pPr>
              <w:spacing w:after="0"/>
              <w:rPr>
                <w:sz w:val="20"/>
                <w:szCs w:val="20"/>
                <w:color w:val="auto"/>
              </w:rPr>
            </w:pPr>
          </w:p>
        </w:tc>
        <w:tc>
          <w:tcPr>
            <w:tcW w:w="40" w:type="dxa"/>
            <w:vAlign w:val="bottom"/>
            <w:tcBorders>
              <w:top w:val="single" w:sz="8" w:color="CCEEFF"/>
              <w:right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gridSpan w:val="2"/>
            <w:shd w:val="clear" w:color="auto" w:fill="CCEEFF"/>
          </w:tcPr>
          <w:p>
            <w:pPr>
              <w:spacing w:after="0"/>
              <w:rPr>
                <w:sz w:val="20"/>
                <w:szCs w:val="20"/>
                <w:color w:val="auto"/>
              </w:rPr>
            </w:pPr>
          </w:p>
        </w:tc>
        <w:tc>
          <w:tcPr>
            <w:tcW w:w="14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CCEEFF"/>
            </w:tcBorders>
            <w:shd w:val="clear" w:color="auto" w:fill="CCEEFF"/>
          </w:tcPr>
          <w:p>
            <w:pPr>
              <w:spacing w:after="0"/>
              <w:rPr>
                <w:sz w:val="20"/>
                <w:szCs w:val="20"/>
                <w:color w:val="auto"/>
              </w:rPr>
            </w:pPr>
          </w:p>
        </w:tc>
      </w:tr>
      <w:tr>
        <w:trPr>
          <w:trHeight w:val="257"/>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660" w:type="dxa"/>
            <w:vAlign w:val="bottom"/>
            <w:tcBorders>
              <w:top w:val="single" w:sz="8" w:color="CCEEFF"/>
            </w:tcBorders>
          </w:tcPr>
          <w:p>
            <w:pPr>
              <w:spacing w:after="0"/>
              <w:rPr>
                <w:sz w:val="22"/>
                <w:szCs w:val="22"/>
                <w:color w:val="auto"/>
              </w:rPr>
            </w:pPr>
          </w:p>
        </w:tc>
        <w:tc>
          <w:tcPr>
            <w:tcW w:w="6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189"/>
        </w:trPr>
        <w:tc>
          <w:tcPr>
            <w:tcW w:w="11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10.12</w:t>
            </w:r>
          </w:p>
        </w:tc>
        <w:tc>
          <w:tcPr>
            <w:tcW w:w="100" w:type="dxa"/>
            <w:vAlign w:val="bottom"/>
            <w:tcBorders>
              <w:right w:val="single" w:sz="8" w:color="CCEEFF"/>
            </w:tcBorders>
            <w:shd w:val="clear" w:color="auto" w:fill="CCEEFF"/>
          </w:tcPr>
          <w:p>
            <w:pPr>
              <w:spacing w:after="0"/>
              <w:rPr>
                <w:sz w:val="16"/>
                <w:szCs w:val="16"/>
                <w:color w:val="auto"/>
              </w:rPr>
            </w:pPr>
          </w:p>
        </w:tc>
        <w:tc>
          <w:tcPr>
            <w:tcW w:w="3800" w:type="dxa"/>
            <w:vAlign w:val="bottom"/>
            <w:gridSpan w:val="21"/>
            <w:shd w:val="clear" w:color="auto" w:fill="CCEEFF"/>
          </w:tcPr>
          <w:p>
            <w:pPr>
              <w:spacing w:after="0" w:line="169"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Master Equipment Financing Agreement, dated</w:t>
              </w:r>
            </w:hyperlink>
          </w:p>
        </w:tc>
        <w:tc>
          <w:tcPr>
            <w:tcW w:w="158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gridSpan w:val="2"/>
            <w:shd w:val="clear" w:color="auto" w:fill="CCEEFF"/>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October 5, 2021</w:t>
            </w:r>
          </w:p>
        </w:tc>
      </w:tr>
      <w:tr>
        <w:trPr>
          <w:trHeight w:val="230"/>
        </w:trPr>
        <w:tc>
          <w:tcPr>
            <w:tcW w:w="1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3440" w:type="dxa"/>
            <w:vAlign w:val="bottom"/>
            <w:tcBorders>
              <w:top w:val="single" w:sz="8" w:color="0000FF"/>
            </w:tcBorders>
            <w:gridSpan w:val="10"/>
            <w:shd w:val="clear" w:color="auto" w:fill="CCEEFF"/>
          </w:tcPr>
          <w:p>
            <w:pPr>
              <w:spacing w:after="0" w:line="182"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September 30, 2021</w:t>
              </w:r>
            </w:hyperlink>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gridSpan w:val="2"/>
            <w:shd w:val="clear" w:color="auto" w:fill="CCEEFF"/>
          </w:tcPr>
          <w:p>
            <w:pPr>
              <w:spacing w:after="0"/>
              <w:rPr>
                <w:sz w:val="20"/>
                <w:szCs w:val="20"/>
                <w:color w:val="auto"/>
              </w:rPr>
            </w:pPr>
          </w:p>
        </w:tc>
        <w:tc>
          <w:tcPr>
            <w:tcW w:w="40" w:type="dxa"/>
            <w:vAlign w:val="bottom"/>
            <w:tcBorders>
              <w:top w:val="single" w:sz="8" w:color="CCEEFF"/>
              <w:right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gridSpan w:val="2"/>
            <w:shd w:val="clear" w:color="auto" w:fill="CCEEFF"/>
          </w:tcPr>
          <w:p>
            <w:pPr>
              <w:spacing w:after="0"/>
              <w:rPr>
                <w:sz w:val="20"/>
                <w:szCs w:val="20"/>
                <w:color w:val="auto"/>
              </w:rPr>
            </w:pPr>
          </w:p>
        </w:tc>
        <w:tc>
          <w:tcPr>
            <w:tcW w:w="14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CCEEFF"/>
            </w:tcBorders>
            <w:shd w:val="clear" w:color="auto" w:fill="CCEEFF"/>
          </w:tcPr>
          <w:p>
            <w:pPr>
              <w:spacing w:after="0"/>
              <w:rPr>
                <w:sz w:val="20"/>
                <w:szCs w:val="20"/>
                <w:color w:val="auto"/>
              </w:rPr>
            </w:pPr>
          </w:p>
        </w:tc>
      </w:tr>
      <w:tr>
        <w:trPr>
          <w:trHeight w:val="216"/>
        </w:trPr>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10.13</w:t>
            </w: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Guaranty Agreement, dated September 30, 2021</w:t>
              </w:r>
            </w:hyperlink>
          </w:p>
        </w:tc>
        <w:tc>
          <w:tcPr>
            <w:tcW w:w="15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October 5, 2021</w:t>
            </w:r>
          </w:p>
        </w:tc>
      </w:tr>
      <w:tr>
        <w:trPr>
          <w:trHeight w:val="257"/>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03"/>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10.14</w:t>
            </w: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Separation Agreement, dated December 13, 2021,</w:t>
              </w:r>
            </w:hyperlink>
          </w:p>
        </w:tc>
        <w:tc>
          <w:tcPr>
            <w:tcW w:w="15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10.01</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December 14, 2021</w:t>
            </w:r>
          </w:p>
        </w:tc>
      </w:tr>
      <w:tr>
        <w:trPr>
          <w:trHeight w:val="243"/>
        </w:trPr>
        <w:tc>
          <w:tcPr>
            <w:tcW w:w="1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right w:val="single" w:sz="8" w:color="CCEEFF"/>
            </w:tcBorders>
            <w:shd w:val="clear" w:color="auto" w:fill="CCEEFF"/>
          </w:tcPr>
          <w:p>
            <w:pPr>
              <w:spacing w:after="0"/>
              <w:rPr>
                <w:sz w:val="21"/>
                <w:szCs w:val="21"/>
                <w:color w:val="auto"/>
              </w:rPr>
            </w:pPr>
          </w:p>
        </w:tc>
        <w:tc>
          <w:tcPr>
            <w:tcW w:w="3600" w:type="dxa"/>
            <w:vAlign w:val="bottom"/>
            <w:tcBorders>
              <w:top w:val="single" w:sz="8" w:color="0000FF"/>
            </w:tcBorders>
            <w:gridSpan w:val="17"/>
            <w:shd w:val="clear" w:color="auto" w:fill="CCEEFF"/>
          </w:tcPr>
          <w:p>
            <w:pPr>
              <w:spacing w:after="0" w:line="19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by and between the Company and Sagar Kurada</w:t>
              </w:r>
            </w:hyperlink>
          </w:p>
        </w:tc>
        <w:tc>
          <w:tcPr>
            <w:tcW w:w="200" w:type="dxa"/>
            <w:vAlign w:val="bottom"/>
            <w:tcBorders>
              <w:top w:val="single" w:sz="8" w:color="CCEEFF"/>
            </w:tcBorders>
            <w:gridSpan w:val="4"/>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r>
      <w:tr>
        <w:trPr>
          <w:trHeight w:val="257"/>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03"/>
        </w:trPr>
        <w:tc>
          <w:tcPr>
            <w:tcW w:w="116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320" w:type="dxa"/>
            <w:vAlign w:val="bottom"/>
            <w:tcBorders>
              <w:bottom w:val="single" w:sz="8" w:color="0000FF"/>
            </w:tcBorders>
            <w:gridSpan w:val="7"/>
            <w:shd w:val="clear" w:color="auto" w:fill="CCEEFF"/>
          </w:tcPr>
          <w:p>
            <w:pPr>
              <w:spacing w:after="0" w:line="202"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Employment Agreement, dated December 13,</w:t>
              </w:r>
            </w:hyperlink>
          </w:p>
        </w:tc>
        <w:tc>
          <w:tcPr>
            <w:tcW w:w="480" w:type="dxa"/>
            <w:vAlign w:val="bottom"/>
            <w:tcBorders>
              <w:bottom w:val="single" w:sz="8" w:color="CCEEFF"/>
            </w:tcBorders>
            <w:gridSpan w:val="14"/>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tcBorders>
              <w:bottom w:val="single" w:sz="8" w:color="CCEEFF"/>
            </w:tcBorders>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10.02</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December 14, 2021</w:t>
            </w: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540" w:type="dxa"/>
            <w:vAlign w:val="bottom"/>
            <w:tcBorders>
              <w:bottom w:val="single" w:sz="8" w:color="0000FF"/>
            </w:tcBorders>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2021, by and between the Company and Randall</w:t>
              </w:r>
            </w:hyperlink>
          </w:p>
        </w:tc>
        <w:tc>
          <w:tcPr>
            <w:tcW w:w="260" w:type="dxa"/>
            <w:vAlign w:val="bottom"/>
            <w:tcBorders>
              <w:bottom w:val="single" w:sz="8" w:color="CCEEFF"/>
            </w:tcBorders>
            <w:gridSpan w:val="6"/>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244"/>
        </w:trPr>
        <w:tc>
          <w:tcPr>
            <w:tcW w:w="11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B. Gonzales</w:t>
              </w:r>
            </w:hyperlink>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7"/>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500" w:type="dxa"/>
            <w:vAlign w:val="bottom"/>
            <w:tcBorders>
              <w:top w:val="single" w:sz="8" w:color="CCEEFF"/>
            </w:tcBorders>
          </w:tcPr>
          <w:p>
            <w:pPr>
              <w:spacing w:after="0"/>
              <w:rPr>
                <w:sz w:val="22"/>
                <w:szCs w:val="22"/>
                <w:color w:val="auto"/>
              </w:rPr>
            </w:pPr>
          </w:p>
        </w:tc>
        <w:tc>
          <w:tcPr>
            <w:tcW w:w="660" w:type="dxa"/>
            <w:vAlign w:val="bottom"/>
            <w:tcBorders>
              <w:top w:val="single" w:sz="8" w:color="CCEEFF"/>
            </w:tcBorders>
          </w:tcPr>
          <w:p>
            <w:pPr>
              <w:spacing w:after="0"/>
              <w:rPr>
                <w:sz w:val="22"/>
                <w:szCs w:val="22"/>
                <w:color w:val="auto"/>
              </w:rPr>
            </w:pPr>
          </w:p>
        </w:tc>
        <w:tc>
          <w:tcPr>
            <w:tcW w:w="6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02"/>
        </w:trPr>
        <w:tc>
          <w:tcPr>
            <w:tcW w:w="116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10.16</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580" w:type="dxa"/>
            <w:vAlign w:val="bottom"/>
            <w:tcBorders>
              <w:bottom w:val="single" w:sz="8" w:color="0000FF"/>
              <w:right w:val="single" w:sz="8" w:color="CCEEFF"/>
            </w:tcBorders>
            <w:gridSpan w:val="16"/>
            <w:shd w:val="clear" w:color="auto" w:fill="CCEEFF"/>
          </w:tcPr>
          <w:p>
            <w:pPr>
              <w:spacing w:after="0" w:line="202"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Employment Letter, dated December 29, 2021 by</w:t>
              </w:r>
            </w:hyperlink>
          </w:p>
        </w:tc>
        <w:tc>
          <w:tcPr>
            <w:tcW w:w="220" w:type="dxa"/>
            <w:vAlign w:val="bottom"/>
            <w:tcBorders>
              <w:bottom w:val="single" w:sz="8" w:color="CCEEFF"/>
            </w:tcBorders>
            <w:gridSpan w:val="5"/>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tcBorders>
              <w:bottom w:val="single" w:sz="8" w:color="CCEEFF"/>
            </w:tcBorders>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February 14, 2022</w:t>
            </w:r>
          </w:p>
        </w:tc>
      </w:tr>
      <w:tr>
        <w:trPr>
          <w:trHeight w:val="196"/>
        </w:trPr>
        <w:tc>
          <w:tcPr>
            <w:tcW w:w="1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and between the Company and John Tedone.</w:t>
              </w:r>
            </w:hyperlink>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
        </w:trPr>
        <w:tc>
          <w:tcPr>
            <w:tcW w:w="1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0" w:type="dxa"/>
            <w:vAlign w:val="bottom"/>
            <w:gridSpan w:val="4"/>
            <w:shd w:val="clear" w:color="auto" w:fill="0000FF"/>
          </w:tcPr>
          <w:p>
            <w:pPr>
              <w:spacing w:after="0" w:line="20" w:lineRule="exact"/>
              <w:rPr>
                <w:sz w:val="1"/>
                <w:szCs w:val="1"/>
                <w:color w:val="auto"/>
              </w:rPr>
            </w:pPr>
          </w:p>
        </w:tc>
        <w:tc>
          <w:tcPr>
            <w:tcW w:w="620" w:type="dxa"/>
            <w:vAlign w:val="bottom"/>
            <w:tcBorders>
              <w:right w:val="single" w:sz="8" w:color="CCEEFF"/>
            </w:tcBorders>
            <w:shd w:val="clear" w:color="auto" w:fill="0000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80" w:type="dxa"/>
            <w:vAlign w:val="bottom"/>
            <w:tcBorders>
              <w:right w:val="single" w:sz="8" w:color="CCEEFF"/>
            </w:tcBorders>
            <w:gridSpan w:val="3"/>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500" w:type="dxa"/>
            <w:vAlign w:val="bottom"/>
            <w:tcBorders>
              <w:bottom w:val="single" w:sz="8" w:color="0000FF"/>
            </w:tcBorders>
            <w:gridSpan w:val="13"/>
            <w:shd w:val="clear" w:color="auto" w:fill="CCEEFF"/>
          </w:tcPr>
          <w:p>
            <w:pPr>
              <w:spacing w:after="0" w:line="196"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(incorporated by reference to Exhibit 10.1 of the</w:t>
              </w:r>
            </w:hyperlink>
          </w:p>
        </w:tc>
        <w:tc>
          <w:tcPr>
            <w:tcW w:w="300" w:type="dxa"/>
            <w:vAlign w:val="bottom"/>
            <w:tcBorders>
              <w:bottom w:val="single" w:sz="8" w:color="CCEEFF"/>
            </w:tcBorders>
            <w:gridSpan w:val="8"/>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360" w:type="dxa"/>
            <w:vAlign w:val="bottom"/>
            <w:tcBorders>
              <w:bottom w:val="single" w:sz="8" w:color="0000FF"/>
            </w:tcBorders>
            <w:gridSpan w:val="8"/>
            <w:shd w:val="clear" w:color="auto" w:fill="CCEEFF"/>
          </w:tcPr>
          <w:p>
            <w:pPr>
              <w:spacing w:after="0" w:line="196"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Registrant’s Current Report on Form 8-K filed</w:t>
              </w:r>
            </w:hyperlink>
          </w:p>
        </w:tc>
        <w:tc>
          <w:tcPr>
            <w:tcW w:w="440" w:type="dxa"/>
            <w:vAlign w:val="bottom"/>
            <w:tcBorders>
              <w:bottom w:val="single" w:sz="8" w:color="CCEEFF"/>
            </w:tcBorders>
            <w:gridSpan w:val="13"/>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244"/>
        </w:trPr>
        <w:tc>
          <w:tcPr>
            <w:tcW w:w="11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with the SEC on February 14, 2022)</w:t>
              </w:r>
            </w:hyperlink>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6"/>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6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03"/>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10.17</w:t>
            </w: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Standby Equity Purchase Agreement, dated April</w:t>
              </w:r>
            </w:hyperlink>
          </w:p>
        </w:tc>
        <w:tc>
          <w:tcPr>
            <w:tcW w:w="15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April 28, 2022</w:t>
            </w:r>
          </w:p>
        </w:tc>
      </w:tr>
      <w:tr>
        <w:trPr>
          <w:trHeight w:val="20"/>
        </w:trPr>
        <w:tc>
          <w:tcPr>
            <w:tcW w:w="1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2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CCEEFF"/>
            </w:tcBorders>
            <w:gridSpan w:val="5"/>
            <w:shd w:val="clear" w:color="auto" w:fill="0000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640" w:type="dxa"/>
            <w:vAlign w:val="bottom"/>
            <w:tcBorders>
              <w:bottom w:val="single" w:sz="8" w:color="0000FF"/>
            </w:tcBorders>
            <w:gridSpan w:val="18"/>
            <w:shd w:val="clear" w:color="auto" w:fill="CCEEFF"/>
          </w:tcPr>
          <w:p>
            <w:pPr>
              <w:spacing w:after="0" w:line="19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28, 2022, by and between Eos Energy Enterprises,</w:t>
              </w:r>
            </w:hyperlink>
          </w:p>
        </w:tc>
        <w:tc>
          <w:tcPr>
            <w:tcW w:w="160" w:type="dxa"/>
            <w:vAlign w:val="bottom"/>
            <w:tcBorders>
              <w:bottom w:val="single" w:sz="8" w:color="CCEEFF"/>
            </w:tcBorders>
            <w:gridSpan w:val="3"/>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660" w:type="dxa"/>
            <w:vAlign w:val="bottom"/>
            <w:tcBorders>
              <w:bottom w:val="single" w:sz="8" w:color="0000FF"/>
            </w:tcBorders>
            <w:gridSpan w:val="19"/>
            <w:shd w:val="clear" w:color="auto" w:fill="CCEEFF"/>
          </w:tcPr>
          <w:p>
            <w:pPr>
              <w:spacing w:after="0" w:line="19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Inc. and YA II PN, Ltd. (incorporated by reference</w:t>
              </w:r>
            </w:hyperlink>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580" w:type="dxa"/>
            <w:vAlign w:val="bottom"/>
            <w:tcBorders>
              <w:bottom w:val="single" w:sz="8" w:color="0000FF"/>
              <w:right w:val="single" w:sz="8" w:color="CCEEFF"/>
            </w:tcBorders>
            <w:gridSpan w:val="16"/>
            <w:shd w:val="clear" w:color="auto" w:fill="CCEEFF"/>
          </w:tcPr>
          <w:p>
            <w:pPr>
              <w:spacing w:after="0" w:line="196" w:lineRule="exact"/>
              <w:rPr>
                <w:rFonts w:ascii="Times New Roman" w:cs="Times New Roman" w:eastAsia="Times New Roman" w:hAnsi="Times New Roman"/>
                <w:sz w:val="18"/>
                <w:szCs w:val="18"/>
                <w:color w:val="0000FF"/>
                <w:w w:val="98"/>
              </w:rPr>
            </w:pPr>
            <w:hyperlink r:id="rId89">
              <w:r>
                <w:rPr>
                  <w:rFonts w:ascii="Times New Roman" w:cs="Times New Roman" w:eastAsia="Times New Roman" w:hAnsi="Times New Roman"/>
                  <w:sz w:val="18"/>
                  <w:szCs w:val="18"/>
                  <w:color w:val="0000FF"/>
                  <w:w w:val="98"/>
                </w:rPr>
                <w:t>to Exhibit 10.1 of the Registrant’s Current Report</w:t>
              </w:r>
            </w:hyperlink>
          </w:p>
        </w:tc>
        <w:tc>
          <w:tcPr>
            <w:tcW w:w="220" w:type="dxa"/>
            <w:vAlign w:val="bottom"/>
            <w:tcBorders>
              <w:bottom w:val="single" w:sz="8" w:color="CCEEFF"/>
            </w:tcBorders>
            <w:gridSpan w:val="5"/>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on Form 8-K filed with the SEC on April 28,</w:t>
              </w:r>
            </w:hyperlink>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43"/>
        </w:trPr>
        <w:tc>
          <w:tcPr>
            <w:tcW w:w="1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right w:val="single" w:sz="8" w:color="CCEEFF"/>
            </w:tcBorders>
            <w:shd w:val="clear" w:color="auto" w:fill="CCEEFF"/>
          </w:tcPr>
          <w:p>
            <w:pPr>
              <w:spacing w:after="0"/>
              <w:rPr>
                <w:sz w:val="21"/>
                <w:szCs w:val="21"/>
                <w:color w:val="auto"/>
              </w:rPr>
            </w:pPr>
          </w:p>
        </w:tc>
        <w:tc>
          <w:tcPr>
            <w:tcW w:w="880" w:type="dxa"/>
            <w:vAlign w:val="bottom"/>
            <w:tcBorders>
              <w:top w:val="single" w:sz="8" w:color="0000FF"/>
            </w:tcBorders>
            <w:gridSpan w:val="2"/>
            <w:shd w:val="clear" w:color="auto" w:fill="CCEEFF"/>
          </w:tcPr>
          <w:p>
            <w:pPr>
              <w:spacing w:after="0" w:line="19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2022)</w:t>
              </w:r>
            </w:hyperlink>
          </w:p>
        </w:tc>
        <w:tc>
          <w:tcPr>
            <w:tcW w:w="580" w:type="dxa"/>
            <w:vAlign w:val="bottom"/>
            <w:tcBorders>
              <w:top w:val="single" w:sz="8" w:color="0000FF"/>
            </w:tcBorders>
            <w:shd w:val="clear" w:color="auto" w:fill="CCEEFF"/>
          </w:tcPr>
          <w:p>
            <w:pPr>
              <w:spacing w:after="0"/>
              <w:rPr>
                <w:sz w:val="21"/>
                <w:szCs w:val="21"/>
                <w:color w:val="auto"/>
              </w:rPr>
            </w:pPr>
          </w:p>
        </w:tc>
        <w:tc>
          <w:tcPr>
            <w:tcW w:w="500" w:type="dxa"/>
            <w:vAlign w:val="bottom"/>
            <w:tcBorders>
              <w:top w:val="single" w:sz="8" w:color="0000FF"/>
            </w:tcBorders>
            <w:shd w:val="clear" w:color="auto" w:fill="CCEEFF"/>
          </w:tcPr>
          <w:p>
            <w:pPr>
              <w:spacing w:after="0"/>
              <w:rPr>
                <w:sz w:val="21"/>
                <w:szCs w:val="21"/>
                <w:color w:val="auto"/>
              </w:rPr>
            </w:pPr>
          </w:p>
        </w:tc>
        <w:tc>
          <w:tcPr>
            <w:tcW w:w="660" w:type="dxa"/>
            <w:vAlign w:val="bottom"/>
            <w:tcBorders>
              <w:top w:val="single" w:sz="8" w:color="0000FF"/>
            </w:tcBorders>
            <w:shd w:val="clear" w:color="auto" w:fill="CCEEFF"/>
          </w:tcPr>
          <w:p>
            <w:pPr>
              <w:spacing w:after="0"/>
              <w:rPr>
                <w:sz w:val="21"/>
                <w:szCs w:val="21"/>
                <w:color w:val="auto"/>
              </w:rPr>
            </w:pPr>
          </w:p>
        </w:tc>
        <w:tc>
          <w:tcPr>
            <w:tcW w:w="620" w:type="dxa"/>
            <w:vAlign w:val="bottom"/>
            <w:tcBorders>
              <w:top w:val="single" w:sz="8" w:color="0000FF"/>
              <w:right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right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r>
      <w:tr>
        <w:trPr>
          <w:trHeight w:val="257"/>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6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500" w:type="dxa"/>
            <w:vAlign w:val="bottom"/>
            <w:tcBorders>
              <w:top w:val="single" w:sz="8" w:color="CCEEFF"/>
            </w:tcBorders>
          </w:tcPr>
          <w:p>
            <w:pPr>
              <w:spacing w:after="0"/>
              <w:rPr>
                <w:sz w:val="22"/>
                <w:szCs w:val="22"/>
                <w:color w:val="auto"/>
              </w:rPr>
            </w:pPr>
          </w:p>
        </w:tc>
        <w:tc>
          <w:tcPr>
            <w:tcW w:w="660" w:type="dxa"/>
            <w:vAlign w:val="bottom"/>
            <w:tcBorders>
              <w:top w:val="single" w:sz="8" w:color="CCEEFF"/>
            </w:tcBorders>
          </w:tcPr>
          <w:p>
            <w:pPr>
              <w:spacing w:after="0"/>
              <w:rPr>
                <w:sz w:val="22"/>
                <w:szCs w:val="22"/>
                <w:color w:val="auto"/>
              </w:rPr>
            </w:pPr>
          </w:p>
        </w:tc>
        <w:tc>
          <w:tcPr>
            <w:tcW w:w="6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03"/>
        </w:trPr>
        <w:tc>
          <w:tcPr>
            <w:tcW w:w="116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10.18</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460" w:type="dxa"/>
            <w:vAlign w:val="bottom"/>
            <w:tcBorders>
              <w:bottom w:val="single" w:sz="8" w:color="0000FF"/>
            </w:tcBorders>
            <w:gridSpan w:val="11"/>
            <w:shd w:val="clear" w:color="auto" w:fill="CCEEFF"/>
          </w:tcPr>
          <w:p>
            <w:pPr>
              <w:spacing w:after="0" w:line="202"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Joinder to Investment Agreement, dated May 1,</w:t>
              </w:r>
            </w:hyperlink>
          </w:p>
        </w:tc>
        <w:tc>
          <w:tcPr>
            <w:tcW w:w="340" w:type="dxa"/>
            <w:vAlign w:val="bottom"/>
            <w:tcBorders>
              <w:bottom w:val="single" w:sz="8" w:color="CCEEFF"/>
            </w:tcBorders>
            <w:gridSpan w:val="10"/>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10-Q</w:t>
            </w:r>
          </w:p>
        </w:tc>
        <w:tc>
          <w:tcPr>
            <w:tcW w:w="1560" w:type="dxa"/>
            <w:vAlign w:val="bottom"/>
            <w:tcBorders>
              <w:bottom w:val="single" w:sz="8" w:color="CCEEFF"/>
            </w:tcBorders>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May 9, 2022</w:t>
            </w:r>
          </w:p>
        </w:tc>
      </w:tr>
      <w:tr>
        <w:trPr>
          <w:trHeight w:val="196"/>
        </w:trPr>
        <w:tc>
          <w:tcPr>
            <w:tcW w:w="1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2022 among Eos Energy Enterprises, Inc., Spring</w:t>
              </w:r>
            </w:hyperlink>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
        </w:trPr>
        <w:tc>
          <w:tcPr>
            <w:tcW w:w="1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60" w:type="dxa"/>
            <w:vAlign w:val="bottom"/>
            <w:gridSpan w:val="11"/>
            <w:shd w:val="clear" w:color="auto" w:fill="0000FF"/>
          </w:tcPr>
          <w:p>
            <w:pPr>
              <w:spacing w:after="0" w:line="20" w:lineRule="exact"/>
              <w:rPr>
                <w:sz w:val="1"/>
                <w:szCs w:val="1"/>
                <w:color w:val="auto"/>
              </w:rPr>
            </w:pPr>
          </w:p>
        </w:tc>
        <w:tc>
          <w:tcPr>
            <w:tcW w:w="120" w:type="dxa"/>
            <w:vAlign w:val="bottom"/>
            <w:tcBorders>
              <w:right w:val="single" w:sz="8" w:color="CCEEFF"/>
            </w:tcBorders>
            <w:gridSpan w:val="5"/>
            <w:shd w:val="clear" w:color="auto" w:fill="0000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60" w:type="dxa"/>
            <w:vAlign w:val="bottom"/>
            <w:gridSpan w:val="3"/>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r>
        <w:trPr>
          <w:trHeight w:val="243"/>
        </w:trPr>
        <w:tc>
          <w:tcPr>
            <w:tcW w:w="11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Creek Capital, LLC and Wood River Capital, LLC</w:t>
              </w:r>
            </w:hyperlink>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7"/>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03"/>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21"/>
            <w:shd w:val="clear" w:color="auto" w:fill="CCEEFF"/>
          </w:tcPr>
          <w:p>
            <w:pPr>
              <w:spacing w:after="0" w:line="202"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Amendment No. 1 to the Standby Equity Purchase</w:t>
              </w:r>
            </w:hyperlink>
          </w:p>
        </w:tc>
        <w:tc>
          <w:tcPr>
            <w:tcW w:w="15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June 13, 2022</w:t>
            </w:r>
          </w:p>
        </w:tc>
      </w:tr>
      <w:tr>
        <w:trPr>
          <w:trHeight w:val="196"/>
        </w:trPr>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3640" w:type="dxa"/>
            <w:vAlign w:val="bottom"/>
            <w:tcBorders>
              <w:top w:val="single" w:sz="8" w:color="0000FF"/>
            </w:tcBorders>
            <w:gridSpan w:val="18"/>
            <w:shd w:val="clear" w:color="auto" w:fill="CCEEFF"/>
          </w:tcPr>
          <w:p>
            <w:pPr>
              <w:spacing w:after="0" w:line="19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Agreement, dated as of April 28, 2022, between</w:t>
              </w:r>
            </w:hyperlink>
          </w:p>
        </w:tc>
        <w:tc>
          <w:tcPr>
            <w:tcW w:w="160" w:type="dxa"/>
            <w:vAlign w:val="bottom"/>
            <w:tcBorders>
              <w:top w:val="single" w:sz="8" w:color="CCEEFF"/>
            </w:tcBorders>
            <w:gridSpan w:val="3"/>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r>
      <w:tr>
        <w:trPr>
          <w:trHeight w:val="20"/>
        </w:trPr>
        <w:tc>
          <w:tcPr>
            <w:tcW w:w="1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60" w:type="dxa"/>
            <w:vAlign w:val="bottom"/>
            <w:gridSpan w:val="11"/>
            <w:shd w:val="clear" w:color="auto" w:fill="0000FF"/>
          </w:tcPr>
          <w:p>
            <w:pPr>
              <w:spacing w:after="0" w:line="20" w:lineRule="exact"/>
              <w:rPr>
                <w:sz w:val="1"/>
                <w:szCs w:val="1"/>
                <w:color w:val="auto"/>
              </w:rPr>
            </w:pPr>
          </w:p>
        </w:tc>
        <w:tc>
          <w:tcPr>
            <w:tcW w:w="120" w:type="dxa"/>
            <w:vAlign w:val="bottom"/>
            <w:tcBorders>
              <w:right w:val="single" w:sz="8" w:color="CCEEFF"/>
            </w:tcBorders>
            <w:gridSpan w:val="5"/>
            <w:shd w:val="clear" w:color="auto" w:fill="CCEEFF"/>
          </w:tcPr>
          <w:p>
            <w:pPr>
              <w:spacing w:after="0" w:line="20" w:lineRule="exact"/>
              <w:rPr>
                <w:sz w:val="1"/>
                <w:szCs w:val="1"/>
                <w:color w:val="auto"/>
              </w:rPr>
            </w:pPr>
          </w:p>
        </w:tc>
        <w:tc>
          <w:tcPr>
            <w:tcW w:w="220" w:type="dxa"/>
            <w:vAlign w:val="bottom"/>
            <w:gridSpan w:val="5"/>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r>
        <w:trPr>
          <w:trHeight w:val="196"/>
        </w:trPr>
        <w:tc>
          <w:tcPr>
            <w:tcW w:w="1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Eos Energy Enterprises, Inc. and YA II PN, LTD.</w:t>
              </w:r>
            </w:hyperlink>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620" w:type="dxa"/>
            <w:vAlign w:val="bottom"/>
            <w:tcBorders>
              <w:top w:val="single" w:sz="8" w:color="0000FF"/>
              <w:right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480" w:type="dxa"/>
            <w:vAlign w:val="bottom"/>
          </w:tcPr>
          <w:p>
            <w:pPr>
              <w:spacing w:after="0"/>
              <w:rPr>
                <w:sz w:val="20"/>
                <w:szCs w:val="20"/>
                <w:color w:val="auto"/>
              </w:rPr>
            </w:pPr>
          </w:p>
        </w:tc>
      </w:tr>
      <w:tr>
        <w:trPr>
          <w:trHeight w:val="248"/>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38"/>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24"/>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Schedule/Form</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5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7"/>
        </w:trPr>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6"/>
        </w:trPr>
        <w:tc>
          <w:tcPr>
            <w:tcW w:w="11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360" w:type="dxa"/>
            <w:vAlign w:val="bottom"/>
            <w:tcBorders>
              <w:bottom w:val="single" w:sz="8" w:color="0000FF"/>
            </w:tcBorders>
            <w:gridSpan w:val="15"/>
            <w:shd w:val="clear" w:color="auto" w:fill="CCEEFF"/>
          </w:tcPr>
          <w:p>
            <w:pPr>
              <w:spacing w:after="0" w:line="19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Supplemental Agreement, dated as of June 13,</w:t>
              </w:r>
            </w:hyperlink>
          </w:p>
        </w:tc>
        <w:tc>
          <w:tcPr>
            <w:tcW w:w="440" w:type="dxa"/>
            <w:vAlign w:val="bottom"/>
            <w:tcBorders>
              <w:bottom w:val="single" w:sz="8" w:color="CCEEFF"/>
            </w:tcBorders>
            <w:gridSpan w:val="12"/>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tcBorders>
              <w:bottom w:val="single" w:sz="8" w:color="CCEEFF"/>
            </w:tcBorders>
            <w:gridSpan w:val="2"/>
            <w:shd w:val="clear" w:color="auto" w:fill="CCEEFF"/>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tcBorders>
              <w:bottom w:val="single" w:sz="8" w:color="CCEEFF"/>
            </w:tcBorders>
            <w:shd w:val="clear" w:color="auto" w:fill="CCEEFF"/>
          </w:tcPr>
          <w:p>
            <w:pPr>
              <w:jc w:val="right"/>
              <w:ind w:right="105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June 13, 2022</w:t>
            </w:r>
          </w:p>
        </w:tc>
      </w:tr>
      <w:tr>
        <w:trPr>
          <w:trHeight w:val="196"/>
        </w:trPr>
        <w:tc>
          <w:tcPr>
            <w:tcW w:w="1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2022, to the Standby Equity Purchase Agreement</w:t>
              </w:r>
            </w:hyperlink>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6"/>
        </w:trPr>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3560" w:type="dxa"/>
            <w:vAlign w:val="bottom"/>
            <w:tcBorders>
              <w:top w:val="single" w:sz="8" w:color="0000FF"/>
            </w:tcBorders>
            <w:gridSpan w:val="21"/>
            <w:shd w:val="clear" w:color="auto" w:fill="CCEEFF"/>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dated as of April 28, 2022 between Eos Energy</w:t>
              </w:r>
            </w:hyperlink>
          </w:p>
        </w:tc>
        <w:tc>
          <w:tcPr>
            <w:tcW w:w="240" w:type="dxa"/>
            <w:vAlign w:val="bottom"/>
            <w:tcBorders>
              <w:top w:val="single" w:sz="8" w:color="CCEEFF"/>
            </w:tcBorders>
            <w:gridSpan w:val="6"/>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r>
      <w:tr>
        <w:trPr>
          <w:trHeight w:val="244"/>
        </w:trPr>
        <w:tc>
          <w:tcPr>
            <w:tcW w:w="1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right w:val="single" w:sz="8" w:color="CCEEFF"/>
            </w:tcBorders>
            <w:shd w:val="clear" w:color="auto" w:fill="CCEEFF"/>
          </w:tcPr>
          <w:p>
            <w:pPr>
              <w:spacing w:after="0"/>
              <w:rPr>
                <w:sz w:val="21"/>
                <w:szCs w:val="21"/>
                <w:color w:val="auto"/>
              </w:rPr>
            </w:pPr>
          </w:p>
        </w:tc>
        <w:tc>
          <w:tcPr>
            <w:tcW w:w="3400" w:type="dxa"/>
            <w:vAlign w:val="bottom"/>
            <w:tcBorders>
              <w:top w:val="single" w:sz="8" w:color="0000FF"/>
            </w:tcBorders>
            <w:gridSpan w:val="16"/>
            <w:shd w:val="clear" w:color="auto" w:fill="CCEEFF"/>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Enterprises, Inc. and YA II PN, LTD.</w:t>
              </w:r>
            </w:hyperlink>
          </w:p>
        </w:tc>
        <w:tc>
          <w:tcPr>
            <w:tcW w:w="400" w:type="dxa"/>
            <w:vAlign w:val="bottom"/>
            <w:tcBorders>
              <w:top w:val="single" w:sz="8" w:color="CCEEFF"/>
            </w:tcBorders>
            <w:gridSpan w:val="11"/>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r>
      <w:tr>
        <w:trPr>
          <w:trHeight w:val="257"/>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780" w:type="dxa"/>
            <w:vAlign w:val="bottom"/>
            <w:tcBorders>
              <w:top w:val="single" w:sz="8" w:color="0000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02"/>
        </w:trPr>
        <w:tc>
          <w:tcPr>
            <w:tcW w:w="116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10.21</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340" w:type="dxa"/>
            <w:vAlign w:val="bottom"/>
            <w:tcBorders>
              <w:bottom w:val="single" w:sz="8" w:color="0000FF"/>
            </w:tcBorders>
            <w:gridSpan w:val="14"/>
            <w:shd w:val="clear" w:color="auto" w:fill="CCEEFF"/>
          </w:tcPr>
          <w:p>
            <w:pPr>
              <w:spacing w:after="0" w:line="202"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Senior Secured Term Loan Credit Agreement,</w:t>
              </w:r>
            </w:hyperlink>
          </w:p>
        </w:tc>
        <w:tc>
          <w:tcPr>
            <w:tcW w:w="460" w:type="dxa"/>
            <w:vAlign w:val="bottom"/>
            <w:tcBorders>
              <w:bottom w:val="single" w:sz="8" w:color="CCEEFF"/>
            </w:tcBorders>
            <w:gridSpan w:val="13"/>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tcBorders>
              <w:bottom w:val="single" w:sz="8" w:color="CCEEFF"/>
            </w:tcBorders>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tcBorders>
              <w:bottom w:val="single" w:sz="8" w:color="CCEEFF"/>
            </w:tcBorders>
            <w:shd w:val="clear" w:color="auto" w:fill="CCEEFF"/>
          </w:tcPr>
          <w:p>
            <w:pPr>
              <w:jc w:val="right"/>
              <w:ind w:right="105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August 1, 2022</w:t>
            </w: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240" w:type="dxa"/>
            <w:vAlign w:val="bottom"/>
            <w:tcBorders>
              <w:bottom w:val="single" w:sz="8" w:color="0000FF"/>
            </w:tcBorders>
            <w:gridSpan w:val="11"/>
            <w:shd w:val="clear" w:color="auto" w:fill="CCEEFF"/>
          </w:tcPr>
          <w:p>
            <w:pPr>
              <w:spacing w:after="0" w:line="196" w:lineRule="exact"/>
              <w:rPr>
                <w:rFonts w:ascii="Times New Roman" w:cs="Times New Roman" w:eastAsia="Times New Roman" w:hAnsi="Times New Roman"/>
                <w:sz w:val="18"/>
                <w:szCs w:val="18"/>
                <w:color w:val="0000FF"/>
                <w:w w:val="99"/>
              </w:rPr>
            </w:pPr>
            <w:hyperlink r:id="rId94">
              <w:r>
                <w:rPr>
                  <w:rFonts w:ascii="Times New Roman" w:cs="Times New Roman" w:eastAsia="Times New Roman" w:hAnsi="Times New Roman"/>
                  <w:sz w:val="18"/>
                  <w:szCs w:val="18"/>
                  <w:color w:val="0000FF"/>
                  <w:w w:val="99"/>
                </w:rPr>
                <w:t>dated as of July 29, 2022, by and among Eos</w:t>
              </w:r>
            </w:hyperlink>
          </w:p>
        </w:tc>
        <w:tc>
          <w:tcPr>
            <w:tcW w:w="560" w:type="dxa"/>
            <w:vAlign w:val="bottom"/>
            <w:tcBorders>
              <w:bottom w:val="single" w:sz="8" w:color="CCEEFF"/>
            </w:tcBorders>
            <w:gridSpan w:val="16"/>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640" w:type="dxa"/>
            <w:vAlign w:val="bottom"/>
            <w:tcBorders>
              <w:bottom w:val="single" w:sz="8" w:color="0000FF"/>
            </w:tcBorders>
            <w:gridSpan w:val="24"/>
            <w:shd w:val="clear" w:color="auto" w:fill="CCEEFF"/>
          </w:tcPr>
          <w:p>
            <w:pPr>
              <w:spacing w:after="0" w:line="19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Energy Enterprises, Inc., the lenders party thereto,</w:t>
              </w:r>
            </w:hyperlink>
          </w:p>
        </w:tc>
        <w:tc>
          <w:tcPr>
            <w:tcW w:w="160" w:type="dxa"/>
            <w:vAlign w:val="bottom"/>
            <w:tcBorders>
              <w:bottom w:val="single" w:sz="8" w:color="CCEEFF"/>
            </w:tcBorders>
            <w:gridSpan w:val="3"/>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and ACP Post Oak Credit I LLC, as administrative</w:t>
              </w:r>
            </w:hyperlink>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43"/>
        </w:trPr>
        <w:tc>
          <w:tcPr>
            <w:tcW w:w="1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right w:val="single" w:sz="8" w:color="CCEEFF"/>
            </w:tcBorders>
            <w:shd w:val="clear" w:color="auto" w:fill="CCEEFF"/>
          </w:tcPr>
          <w:p>
            <w:pPr>
              <w:spacing w:after="0"/>
              <w:rPr>
                <w:sz w:val="21"/>
                <w:szCs w:val="21"/>
                <w:color w:val="auto"/>
              </w:rPr>
            </w:pPr>
          </w:p>
        </w:tc>
        <w:tc>
          <w:tcPr>
            <w:tcW w:w="3660" w:type="dxa"/>
            <w:vAlign w:val="bottom"/>
            <w:tcBorders>
              <w:top w:val="single" w:sz="8" w:color="0000FF"/>
            </w:tcBorders>
            <w:gridSpan w:val="25"/>
            <w:shd w:val="clear" w:color="auto" w:fill="CCEEFF"/>
          </w:tcPr>
          <w:p>
            <w:pPr>
              <w:spacing w:after="0" w:line="196"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agent and collateral agent.</w:t>
              </w:r>
            </w:hyperlink>
          </w:p>
        </w:tc>
        <w:tc>
          <w:tcPr>
            <w:tcW w:w="140" w:type="dxa"/>
            <w:vAlign w:val="bottom"/>
            <w:tcBorders>
              <w:top w:val="single" w:sz="8" w:color="CCEEFF"/>
            </w:tcBorders>
            <w:gridSpan w:val="2"/>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r>
      <w:tr>
        <w:trPr>
          <w:trHeight w:val="257"/>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03"/>
        </w:trPr>
        <w:tc>
          <w:tcPr>
            <w:tcW w:w="116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10.22</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520" w:type="dxa"/>
            <w:vAlign w:val="bottom"/>
            <w:tcBorders>
              <w:bottom w:val="single" w:sz="8" w:color="0000FF"/>
            </w:tcBorders>
            <w:gridSpan w:val="20"/>
            <w:shd w:val="clear" w:color="auto" w:fill="CCEEFF"/>
          </w:tcPr>
          <w:p>
            <w:pPr>
              <w:spacing w:after="0" w:line="202"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Guarantee and Collateral Agreement, dated as of</w:t>
              </w:r>
            </w:hyperlink>
          </w:p>
        </w:tc>
        <w:tc>
          <w:tcPr>
            <w:tcW w:w="280" w:type="dxa"/>
            <w:vAlign w:val="bottom"/>
            <w:tcBorders>
              <w:bottom w:val="single" w:sz="8" w:color="CCEEFF"/>
            </w:tcBorders>
            <w:gridSpan w:val="7"/>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tcBorders>
              <w:bottom w:val="single" w:sz="8" w:color="CCEEFF"/>
            </w:tcBorders>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tcBorders>
              <w:bottom w:val="single" w:sz="8" w:color="CCEEFF"/>
            </w:tcBorders>
            <w:shd w:val="clear" w:color="auto" w:fill="CCEEFF"/>
          </w:tcPr>
          <w:p>
            <w:pPr>
              <w:jc w:val="right"/>
              <w:ind w:right="1050"/>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August 1, 2022</w:t>
            </w:r>
          </w:p>
        </w:tc>
      </w:tr>
      <w:tr>
        <w:trPr>
          <w:trHeight w:val="196"/>
        </w:trPr>
        <w:tc>
          <w:tcPr>
            <w:tcW w:w="1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July 29, 2022, by and among Eos Energy</w:t>
              </w:r>
            </w:hyperlink>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
        </w:trPr>
        <w:tc>
          <w:tcPr>
            <w:tcW w:w="1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gridSpan w:val="3"/>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620" w:type="dxa"/>
            <w:vAlign w:val="bottom"/>
            <w:tcBorders>
              <w:bottom w:val="single" w:sz="8" w:color="0000FF"/>
            </w:tcBorders>
            <w:gridSpan w:val="23"/>
            <w:shd w:val="clear" w:color="auto" w:fill="CCEEFF"/>
          </w:tcPr>
          <w:p>
            <w:pPr>
              <w:spacing w:after="0" w:line="196" w:lineRule="exact"/>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Enterprises, Inc., the other grantors named therein</w:t>
              </w:r>
            </w:hyperlink>
          </w:p>
        </w:tc>
        <w:tc>
          <w:tcPr>
            <w:tcW w:w="180" w:type="dxa"/>
            <w:vAlign w:val="bottom"/>
            <w:tcBorders>
              <w:bottom w:val="single" w:sz="8" w:color="CCEEFF"/>
            </w:tcBorders>
            <w:gridSpan w:val="4"/>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320" w:type="dxa"/>
            <w:vAlign w:val="bottom"/>
            <w:tcBorders>
              <w:bottom w:val="single" w:sz="8" w:color="0000FF"/>
            </w:tcBorders>
            <w:gridSpan w:val="13"/>
            <w:shd w:val="clear" w:color="auto" w:fill="CCEEFF"/>
          </w:tcPr>
          <w:p>
            <w:pPr>
              <w:spacing w:after="0" w:line="19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and ACP Post Oak Credit I LLC, as collateral</w:t>
              </w:r>
            </w:hyperlink>
          </w:p>
        </w:tc>
        <w:tc>
          <w:tcPr>
            <w:tcW w:w="480" w:type="dxa"/>
            <w:vAlign w:val="bottom"/>
            <w:tcBorders>
              <w:bottom w:val="single" w:sz="8" w:color="CCEEFF"/>
            </w:tcBorders>
            <w:gridSpan w:val="14"/>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243"/>
        </w:trPr>
        <w:tc>
          <w:tcPr>
            <w:tcW w:w="11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agent</w:t>
              </w:r>
            </w:hyperlink>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7"/>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03"/>
        </w:trPr>
        <w:tc>
          <w:tcPr>
            <w:tcW w:w="116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10.23</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320" w:type="dxa"/>
            <w:vAlign w:val="bottom"/>
            <w:tcBorders>
              <w:bottom w:val="single" w:sz="8" w:color="0000FF"/>
            </w:tcBorders>
            <w:gridSpan w:val="13"/>
            <w:shd w:val="clear" w:color="auto" w:fill="CCEEFF"/>
          </w:tcPr>
          <w:p>
            <w:pPr>
              <w:spacing w:after="0" w:line="202"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Commitment Increase Agreement, dated as of</w:t>
              </w:r>
            </w:hyperlink>
          </w:p>
        </w:tc>
        <w:tc>
          <w:tcPr>
            <w:tcW w:w="480" w:type="dxa"/>
            <w:vAlign w:val="bottom"/>
            <w:tcBorders>
              <w:bottom w:val="single" w:sz="8" w:color="CCEEFF"/>
            </w:tcBorders>
            <w:gridSpan w:val="14"/>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tcBorders>
              <w:bottom w:val="single" w:sz="8" w:color="CCEEFF"/>
            </w:tcBorders>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tcBorders>
              <w:bottom w:val="single" w:sz="8" w:color="CCEEFF"/>
            </w:tcBorders>
            <w:shd w:val="clear" w:color="auto" w:fill="CCEEFF"/>
          </w:tcPr>
          <w:p>
            <w:pPr>
              <w:jc w:val="right"/>
              <w:ind w:right="105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August 5, 2022</w:t>
            </w: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100" w:type="dxa"/>
            <w:vAlign w:val="bottom"/>
            <w:tcBorders>
              <w:bottom w:val="single" w:sz="8" w:color="0000FF"/>
            </w:tcBorders>
            <w:gridSpan w:val="9"/>
            <w:shd w:val="clear" w:color="auto" w:fill="CCEEFF"/>
          </w:tcPr>
          <w:p>
            <w:pPr>
              <w:spacing w:after="0" w:line="19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August 4, 2022, by and among Eos Energy</w:t>
              </w:r>
            </w:hyperlink>
          </w:p>
        </w:tc>
        <w:tc>
          <w:tcPr>
            <w:tcW w:w="700" w:type="dxa"/>
            <w:vAlign w:val="bottom"/>
            <w:tcBorders>
              <w:bottom w:val="single" w:sz="8" w:color="CCEEFF"/>
            </w:tcBorders>
            <w:gridSpan w:val="18"/>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Enterprises, Inc., the guarantors party thereto,</w:t>
              </w:r>
            </w:hyperlink>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
        </w:trPr>
        <w:tc>
          <w:tcPr>
            <w:tcW w:w="1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60" w:type="dxa"/>
            <w:vAlign w:val="bottom"/>
            <w:gridSpan w:val="3"/>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360" w:type="dxa"/>
            <w:vAlign w:val="bottom"/>
            <w:tcBorders>
              <w:bottom w:val="single" w:sz="8" w:color="0000FF"/>
            </w:tcBorders>
            <w:gridSpan w:val="15"/>
            <w:shd w:val="clear" w:color="auto" w:fill="CCEEFF"/>
          </w:tcPr>
          <w:p>
            <w:pPr>
              <w:spacing w:after="0" w:line="19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ACP Post Oak Credit I LLC, as administrative</w:t>
              </w:r>
            </w:hyperlink>
          </w:p>
        </w:tc>
        <w:tc>
          <w:tcPr>
            <w:tcW w:w="440" w:type="dxa"/>
            <w:vAlign w:val="bottom"/>
            <w:tcBorders>
              <w:bottom w:val="single" w:sz="8" w:color="CCEEFF"/>
            </w:tcBorders>
            <w:gridSpan w:val="12"/>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480" w:type="dxa"/>
            <w:vAlign w:val="bottom"/>
            <w:tcBorders>
              <w:bottom w:val="single" w:sz="8" w:color="0000FF"/>
            </w:tcBorders>
            <w:gridSpan w:val="19"/>
            <w:shd w:val="clear" w:color="auto" w:fill="CCEEFF"/>
          </w:tcPr>
          <w:p>
            <w:pPr>
              <w:spacing w:after="0" w:line="19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agent and lender, and certain other lenders party</w:t>
              </w:r>
            </w:hyperlink>
          </w:p>
        </w:tc>
        <w:tc>
          <w:tcPr>
            <w:tcW w:w="320" w:type="dxa"/>
            <w:vAlign w:val="bottom"/>
            <w:tcBorders>
              <w:bottom w:val="single" w:sz="8" w:color="CCEEFF"/>
            </w:tcBorders>
            <w:gridSpan w:val="8"/>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243"/>
        </w:trPr>
        <w:tc>
          <w:tcPr>
            <w:tcW w:w="11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thereto</w:t>
              </w:r>
            </w:hyperlink>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7"/>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03"/>
        </w:trPr>
        <w:tc>
          <w:tcPr>
            <w:tcW w:w="116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10.24</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440" w:type="dxa"/>
            <w:vAlign w:val="bottom"/>
            <w:tcBorders>
              <w:bottom w:val="single" w:sz="8" w:color="0000FF"/>
            </w:tcBorders>
            <w:gridSpan w:val="17"/>
            <w:shd w:val="clear" w:color="auto" w:fill="CCEEFF"/>
          </w:tcPr>
          <w:p>
            <w:pPr>
              <w:spacing w:after="0" w:line="202"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Sales Agreement, dated August 5, 2022, by and</w:t>
              </w:r>
            </w:hyperlink>
          </w:p>
        </w:tc>
        <w:tc>
          <w:tcPr>
            <w:tcW w:w="360" w:type="dxa"/>
            <w:vAlign w:val="bottom"/>
            <w:tcBorders>
              <w:bottom w:val="single" w:sz="8" w:color="CCEEFF"/>
            </w:tcBorders>
            <w:gridSpan w:val="10"/>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tcBorders>
              <w:bottom w:val="single" w:sz="8" w:color="CCEEFF"/>
            </w:tcBorders>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tcBorders>
              <w:bottom w:val="single" w:sz="8" w:color="CCEEFF"/>
            </w:tcBorders>
            <w:shd w:val="clear" w:color="auto" w:fill="CCEEFF"/>
          </w:tcPr>
          <w:p>
            <w:pPr>
              <w:jc w:val="right"/>
              <w:ind w:right="1050"/>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August 5, 2022</w:t>
            </w:r>
          </w:p>
        </w:tc>
      </w:tr>
      <w:tr>
        <w:trPr>
          <w:trHeight w:val="196"/>
        </w:trPr>
        <w:tc>
          <w:tcPr>
            <w:tcW w:w="1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between Eos Energy Enterprises, Inc. and Cowen</w:t>
              </w:r>
            </w:hyperlink>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43"/>
        </w:trPr>
        <w:tc>
          <w:tcPr>
            <w:tcW w:w="1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right w:val="single" w:sz="8" w:color="CCEEFF"/>
            </w:tcBorders>
            <w:shd w:val="clear" w:color="auto" w:fill="CCEEFF"/>
          </w:tcPr>
          <w:p>
            <w:pPr>
              <w:spacing w:after="0"/>
              <w:rPr>
                <w:sz w:val="21"/>
                <w:szCs w:val="21"/>
                <w:color w:val="auto"/>
              </w:rPr>
            </w:pPr>
          </w:p>
        </w:tc>
        <w:tc>
          <w:tcPr>
            <w:tcW w:w="3560" w:type="dxa"/>
            <w:vAlign w:val="bottom"/>
            <w:tcBorders>
              <w:top w:val="single" w:sz="8" w:color="0000FF"/>
            </w:tcBorders>
            <w:gridSpan w:val="21"/>
            <w:shd w:val="clear" w:color="auto" w:fill="CCEEFF"/>
          </w:tcPr>
          <w:p>
            <w:pPr>
              <w:spacing w:after="0" w:line="19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and Company, LLC</w:t>
              </w:r>
            </w:hyperlink>
          </w:p>
        </w:tc>
        <w:tc>
          <w:tcPr>
            <w:tcW w:w="240" w:type="dxa"/>
            <w:vAlign w:val="bottom"/>
            <w:tcBorders>
              <w:top w:val="single" w:sz="8" w:color="CCEEFF"/>
            </w:tcBorders>
            <w:gridSpan w:val="6"/>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r>
      <w:tr>
        <w:trPr>
          <w:trHeight w:val="257"/>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03"/>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10.25</w:t>
            </w: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27"/>
            <w:shd w:val="clear" w:color="auto" w:fill="CCEEFF"/>
          </w:tcPr>
          <w:p>
            <w:pPr>
              <w:spacing w:after="0" w:line="202"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Amended Director Compensation Policy, dated as</w:t>
              </w:r>
            </w:hyperlink>
          </w:p>
        </w:tc>
        <w:tc>
          <w:tcPr>
            <w:tcW w:w="15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shd w:val="clear" w:color="auto" w:fill="CCEEFF"/>
          </w:tcPr>
          <w:p>
            <w:pPr>
              <w:jc w:val="right"/>
              <w:ind w:right="105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September 9, 2022</w:t>
            </w:r>
          </w:p>
        </w:tc>
      </w:tr>
      <w:tr>
        <w:trPr>
          <w:trHeight w:val="243"/>
        </w:trPr>
        <w:tc>
          <w:tcPr>
            <w:tcW w:w="1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right w:val="single" w:sz="8" w:color="CCEEFF"/>
            </w:tcBorders>
            <w:shd w:val="clear" w:color="auto" w:fill="CCEEFF"/>
          </w:tcPr>
          <w:p>
            <w:pPr>
              <w:spacing w:after="0"/>
              <w:rPr>
                <w:sz w:val="21"/>
                <w:szCs w:val="21"/>
                <w:color w:val="auto"/>
              </w:rPr>
            </w:pPr>
          </w:p>
        </w:tc>
        <w:tc>
          <w:tcPr>
            <w:tcW w:w="3600" w:type="dxa"/>
            <w:vAlign w:val="bottom"/>
            <w:tcBorders>
              <w:top w:val="single" w:sz="8" w:color="0000FF"/>
            </w:tcBorders>
            <w:gridSpan w:val="22"/>
            <w:shd w:val="clear" w:color="auto" w:fill="CCEEFF"/>
          </w:tcPr>
          <w:p>
            <w:pPr>
              <w:spacing w:after="0" w:line="19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of September 7, 2022</w:t>
              </w:r>
            </w:hyperlink>
          </w:p>
        </w:tc>
        <w:tc>
          <w:tcPr>
            <w:tcW w:w="200" w:type="dxa"/>
            <w:vAlign w:val="bottom"/>
            <w:tcBorders>
              <w:top w:val="single" w:sz="8" w:color="CCEEFF"/>
            </w:tcBorders>
            <w:gridSpan w:val="5"/>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r>
      <w:tr>
        <w:trPr>
          <w:trHeight w:val="257"/>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2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03"/>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10.26</w:t>
            </w: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27"/>
            <w:shd w:val="clear" w:color="auto" w:fill="CCEEFF"/>
          </w:tcPr>
          <w:p>
            <w:pPr>
              <w:spacing w:after="0" w:line="202"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Amendment No. 2 to the Standby Equity Purchase</w:t>
              </w:r>
            </w:hyperlink>
          </w:p>
        </w:tc>
        <w:tc>
          <w:tcPr>
            <w:tcW w:w="15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shd w:val="clear" w:color="auto" w:fill="CCEEFF"/>
          </w:tcPr>
          <w:p>
            <w:pPr>
              <w:jc w:val="right"/>
              <w:ind w:right="105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November 14, 2022</w:t>
            </w:r>
          </w:p>
        </w:tc>
      </w:tr>
      <w:tr>
        <w:trPr>
          <w:trHeight w:val="196"/>
        </w:trPr>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3120" w:type="dxa"/>
            <w:vAlign w:val="bottom"/>
            <w:tcBorders>
              <w:top w:val="single" w:sz="8" w:color="0000FF"/>
              <w:bottom w:val="single" w:sz="8" w:color="0000FF"/>
            </w:tcBorders>
            <w:gridSpan w:val="10"/>
            <w:shd w:val="clear" w:color="auto" w:fill="CCEEFF"/>
          </w:tcPr>
          <w:p>
            <w:pPr>
              <w:spacing w:after="0" w:line="19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Agreement dated as of November 14, 2022</w:t>
              </w:r>
            </w:hyperlink>
          </w:p>
        </w:tc>
        <w:tc>
          <w:tcPr>
            <w:tcW w:w="520" w:type="dxa"/>
            <w:vAlign w:val="bottom"/>
            <w:tcBorders>
              <w:top w:val="single" w:sz="8" w:color="0000FF"/>
              <w:bottom w:val="single" w:sz="8" w:color="CCEEFF"/>
            </w:tcBorders>
            <w:gridSpan w:val="14"/>
            <w:shd w:val="clear" w:color="auto" w:fill="CCEEFF"/>
          </w:tcPr>
          <w:p>
            <w:pPr>
              <w:spacing w:after="0"/>
              <w:rPr>
                <w:sz w:val="17"/>
                <w:szCs w:val="17"/>
                <w:color w:val="auto"/>
              </w:rPr>
            </w:pPr>
          </w:p>
        </w:tc>
        <w:tc>
          <w:tcPr>
            <w:tcW w:w="1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14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460" w:type="dxa"/>
            <w:vAlign w:val="bottom"/>
            <w:tcBorders>
              <w:bottom w:val="single" w:sz="8" w:color="0000FF"/>
            </w:tcBorders>
            <w:gridSpan w:val="18"/>
            <w:shd w:val="clear" w:color="auto" w:fill="CCEEFF"/>
          </w:tcPr>
          <w:p>
            <w:pPr>
              <w:spacing w:after="0" w:line="19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between Eos Energy Enterprises, Inc. and YA II</w:t>
              </w:r>
            </w:hyperlink>
          </w:p>
        </w:tc>
        <w:tc>
          <w:tcPr>
            <w:tcW w:w="340" w:type="dxa"/>
            <w:vAlign w:val="bottom"/>
            <w:tcBorders>
              <w:bottom w:val="single" w:sz="8" w:color="CCEEFF"/>
            </w:tcBorders>
            <w:gridSpan w:val="9"/>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27"/>
            <w:shd w:val="clear" w:color="auto" w:fill="CCEEFF"/>
          </w:tcPr>
          <w:p>
            <w:pPr>
              <w:spacing w:after="0" w:line="19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PN, LTD.</w:t>
              </w:r>
            </w:hyperlink>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480" w:type="dxa"/>
            <w:vAlign w:val="bottom"/>
          </w:tcPr>
          <w:p>
            <w:pPr>
              <w:spacing w:after="0"/>
              <w:rPr>
                <w:sz w:val="20"/>
                <w:szCs w:val="20"/>
                <w:color w:val="auto"/>
              </w:rPr>
            </w:pPr>
          </w:p>
        </w:tc>
      </w:tr>
      <w:tr>
        <w:trPr>
          <w:trHeight w:val="248"/>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38"/>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00" w:type="dxa"/>
            <w:vAlign w:val="bottom"/>
          </w:tcPr>
          <w:p>
            <w:pPr>
              <w:spacing w:after="0"/>
              <w:rPr>
                <w:sz w:val="20"/>
                <w:szCs w:val="20"/>
                <w:color w:val="auto"/>
              </w:rPr>
            </w:pPr>
          </w:p>
        </w:tc>
        <w:tc>
          <w:tcPr>
            <w:tcW w:w="3100" w:type="dxa"/>
            <w:vAlign w:val="bottom"/>
            <w:gridSpan w:val="17"/>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Schedule/Form</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5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7"/>
        </w:trPr>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6"/>
        </w:trPr>
        <w:tc>
          <w:tcPr>
            <w:tcW w:w="11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320" w:type="dxa"/>
            <w:vAlign w:val="bottom"/>
            <w:tcBorders>
              <w:bottom w:val="single" w:sz="8" w:color="0000FF"/>
            </w:tcBorders>
            <w:gridSpan w:val="10"/>
            <w:shd w:val="clear" w:color="auto" w:fill="CCEEFF"/>
          </w:tcPr>
          <w:p>
            <w:pPr>
              <w:spacing w:after="0" w:line="196"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Commitment Increase Agreement, dated as of</w:t>
              </w:r>
            </w:hyperlink>
          </w:p>
        </w:tc>
        <w:tc>
          <w:tcPr>
            <w:tcW w:w="480" w:type="dxa"/>
            <w:vAlign w:val="bottom"/>
            <w:tcBorders>
              <w:bottom w:val="single" w:sz="8" w:color="CCEEFF"/>
            </w:tcBorders>
            <w:gridSpan w:val="8"/>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tcBorders>
              <w:bottom w:val="single" w:sz="8" w:color="CCEEFF"/>
            </w:tcBorders>
            <w:gridSpan w:val="2"/>
            <w:shd w:val="clear" w:color="auto" w:fill="CCEEFF"/>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tcBorders>
              <w:bottom w:val="single" w:sz="8" w:color="CCEEFF"/>
            </w:tcBorders>
            <w:shd w:val="clear" w:color="auto" w:fill="CCEEFF"/>
          </w:tcPr>
          <w:p>
            <w:pPr>
              <w:jc w:val="right"/>
              <w:ind w:right="105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December 8, 2022</w:t>
            </w: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320" w:type="dxa"/>
            <w:vAlign w:val="bottom"/>
            <w:tcBorders>
              <w:bottom w:val="single" w:sz="8" w:color="0000FF"/>
            </w:tcBorders>
            <w:gridSpan w:val="10"/>
            <w:shd w:val="clear" w:color="auto" w:fill="CCEEFF"/>
          </w:tcPr>
          <w:p>
            <w:pPr>
              <w:spacing w:after="0" w:line="196" w:lineRule="exact"/>
              <w:rPr>
                <w:rFonts w:ascii="Times New Roman" w:cs="Times New Roman" w:eastAsia="Times New Roman" w:hAnsi="Times New Roman"/>
                <w:sz w:val="18"/>
                <w:szCs w:val="18"/>
                <w:color w:val="0000FF"/>
                <w:w w:val="99"/>
              </w:rPr>
            </w:pPr>
            <w:hyperlink r:id="rId101">
              <w:r>
                <w:rPr>
                  <w:rFonts w:ascii="Times New Roman" w:cs="Times New Roman" w:eastAsia="Times New Roman" w:hAnsi="Times New Roman"/>
                  <w:sz w:val="18"/>
                  <w:szCs w:val="18"/>
                  <w:color w:val="0000FF"/>
                  <w:w w:val="99"/>
                </w:rPr>
                <w:t>December 7, 2022, by and among Eos Energy</w:t>
              </w:r>
            </w:hyperlink>
          </w:p>
        </w:tc>
        <w:tc>
          <w:tcPr>
            <w:tcW w:w="480" w:type="dxa"/>
            <w:vAlign w:val="bottom"/>
            <w:tcBorders>
              <w:bottom w:val="single" w:sz="8" w:color="CCEEFF"/>
            </w:tcBorders>
            <w:gridSpan w:val="8"/>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Enterprises, Inc. the guarantors party thereto, and</w:t>
              </w:r>
            </w:hyperlink>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43"/>
        </w:trPr>
        <w:tc>
          <w:tcPr>
            <w:tcW w:w="1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right w:val="single" w:sz="8" w:color="CCEEFF"/>
            </w:tcBorders>
            <w:shd w:val="clear" w:color="auto" w:fill="CCEEFF"/>
          </w:tcPr>
          <w:p>
            <w:pPr>
              <w:spacing w:after="0"/>
              <w:rPr>
                <w:sz w:val="21"/>
                <w:szCs w:val="21"/>
                <w:color w:val="auto"/>
              </w:rPr>
            </w:pPr>
          </w:p>
        </w:tc>
        <w:tc>
          <w:tcPr>
            <w:tcW w:w="3560" w:type="dxa"/>
            <w:vAlign w:val="bottom"/>
            <w:tcBorders>
              <w:top w:val="single" w:sz="8" w:color="0000FF"/>
            </w:tcBorders>
            <w:gridSpan w:val="13"/>
            <w:shd w:val="clear" w:color="auto" w:fill="CCEEFF"/>
          </w:tcPr>
          <w:p>
            <w:pPr>
              <w:spacing w:after="0" w:line="19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ACP Post Oak Credit LLC.</w:t>
              </w:r>
            </w:hyperlink>
          </w:p>
        </w:tc>
        <w:tc>
          <w:tcPr>
            <w:tcW w:w="240" w:type="dxa"/>
            <w:vAlign w:val="bottom"/>
            <w:tcBorders>
              <w:top w:val="single" w:sz="8" w:color="CCEEFF"/>
            </w:tcBorders>
            <w:gridSpan w:val="5"/>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r>
      <w:tr>
        <w:trPr>
          <w:trHeight w:val="257"/>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03"/>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10.28</w:t>
            </w: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Amendment No. 3 dated as of December 29, 2022</w:t>
              </w:r>
            </w:hyperlink>
          </w:p>
        </w:tc>
        <w:tc>
          <w:tcPr>
            <w:tcW w:w="15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shd w:val="clear" w:color="auto" w:fill="CCEEFF"/>
          </w:tcPr>
          <w:p>
            <w:pPr>
              <w:jc w:val="right"/>
              <w:ind w:right="105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December 29, 2022</w:t>
            </w:r>
          </w:p>
        </w:tc>
      </w:tr>
      <w:tr>
        <w:trPr>
          <w:trHeight w:val="196"/>
        </w:trPr>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3620" w:type="dxa"/>
            <w:vAlign w:val="bottom"/>
            <w:tcBorders>
              <w:top w:val="single" w:sz="8" w:color="0000FF"/>
            </w:tcBorders>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to the Standby Equity Purchase Agreement dated</w:t>
              </w:r>
            </w:hyperlink>
          </w:p>
        </w:tc>
        <w:tc>
          <w:tcPr>
            <w:tcW w:w="180" w:type="dxa"/>
            <w:vAlign w:val="bottom"/>
            <w:tcBorders>
              <w:top w:val="single" w:sz="8" w:color="CCEEFF"/>
            </w:tcBorders>
            <w:gridSpan w:val="3"/>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CCEEFF"/>
            </w:tcBorders>
            <w:shd w:val="clear" w:color="auto" w:fill="CCEEFF"/>
          </w:tcPr>
          <w:p>
            <w:pPr>
              <w:spacing w:after="0"/>
              <w:rPr>
                <w:sz w:val="17"/>
                <w:szCs w:val="17"/>
                <w:color w:val="auto"/>
              </w:rPr>
            </w:pPr>
          </w:p>
        </w:tc>
      </w:tr>
      <w:tr>
        <w:trPr>
          <w:trHeight w:val="196"/>
        </w:trPr>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2980" w:type="dxa"/>
            <w:vAlign w:val="bottom"/>
            <w:tcBorders>
              <w:top w:val="single" w:sz="8" w:color="0000FF"/>
              <w:bottom w:val="single" w:sz="8" w:color="0000FF"/>
            </w:tcBorders>
            <w:gridSpan w:val="6"/>
            <w:shd w:val="clear" w:color="auto" w:fill="CCEEFF"/>
          </w:tcPr>
          <w:p>
            <w:pPr>
              <w:spacing w:after="0" w:line="196"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as of April 28, 2022 between Eos Energy</w:t>
              </w:r>
            </w:hyperlink>
          </w:p>
        </w:tc>
        <w:tc>
          <w:tcPr>
            <w:tcW w:w="560" w:type="dxa"/>
            <w:vAlign w:val="bottom"/>
            <w:tcBorders>
              <w:top w:val="single" w:sz="8" w:color="0000FF"/>
              <w:bottom w:val="single" w:sz="8" w:color="CCEEFF"/>
            </w:tcBorders>
            <w:gridSpan w:val="6"/>
            <w:shd w:val="clear" w:color="auto" w:fill="CCEEFF"/>
          </w:tcPr>
          <w:p>
            <w:pPr>
              <w:spacing w:after="0"/>
              <w:rPr>
                <w:sz w:val="17"/>
                <w:szCs w:val="17"/>
                <w:color w:val="auto"/>
              </w:rPr>
            </w:pPr>
          </w:p>
        </w:tc>
        <w:tc>
          <w:tcPr>
            <w:tcW w:w="260" w:type="dxa"/>
            <w:vAlign w:val="bottom"/>
            <w:tcBorders>
              <w:top w:val="single" w:sz="8" w:color="CCEEFF"/>
              <w:bottom w:val="single" w:sz="8" w:color="CCEEFF"/>
            </w:tcBorders>
            <w:gridSpan w:val="6"/>
            <w:shd w:val="clear" w:color="auto" w:fill="CCEEFF"/>
          </w:tcPr>
          <w:p>
            <w:pPr>
              <w:spacing w:after="0"/>
              <w:rPr>
                <w:sz w:val="17"/>
                <w:szCs w:val="17"/>
                <w:color w:val="auto"/>
              </w:rPr>
            </w:pPr>
          </w:p>
        </w:tc>
        <w:tc>
          <w:tcPr>
            <w:tcW w:w="14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43"/>
        </w:trPr>
        <w:tc>
          <w:tcPr>
            <w:tcW w:w="11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Enterprises, Inc. and YA II PN, LTD.</w:t>
              </w:r>
            </w:hyperlink>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7"/>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03"/>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Second Supplemental Agreement dated as of</w:t>
              </w:r>
            </w:hyperlink>
          </w:p>
        </w:tc>
        <w:tc>
          <w:tcPr>
            <w:tcW w:w="15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shd w:val="clear" w:color="auto" w:fill="CCEEFF"/>
          </w:tcPr>
          <w:p>
            <w:pPr>
              <w:jc w:val="right"/>
              <w:ind w:right="105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December 29, 2022</w:t>
            </w:r>
          </w:p>
        </w:tc>
      </w:tr>
      <w:tr>
        <w:trPr>
          <w:trHeight w:val="196"/>
        </w:trPr>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3040" w:type="dxa"/>
            <w:vAlign w:val="bottom"/>
            <w:tcBorders>
              <w:top w:val="single" w:sz="8" w:color="0000FF"/>
              <w:bottom w:val="single" w:sz="8" w:color="0000FF"/>
            </w:tcBorders>
            <w:gridSpan w:val="7"/>
            <w:shd w:val="clear" w:color="auto" w:fill="CCEEFF"/>
          </w:tcPr>
          <w:p>
            <w:pPr>
              <w:spacing w:after="0" w:line="196" w:lineRule="exact"/>
              <w:rPr>
                <w:rFonts w:ascii="Times New Roman" w:cs="Times New Roman" w:eastAsia="Times New Roman" w:hAnsi="Times New Roman"/>
                <w:sz w:val="18"/>
                <w:szCs w:val="18"/>
                <w:color w:val="0000FF"/>
                <w:w w:val="99"/>
              </w:rPr>
            </w:pPr>
            <w:hyperlink r:id="rId103">
              <w:r>
                <w:rPr>
                  <w:rFonts w:ascii="Times New Roman" w:cs="Times New Roman" w:eastAsia="Times New Roman" w:hAnsi="Times New Roman"/>
                  <w:sz w:val="18"/>
                  <w:szCs w:val="18"/>
                  <w:color w:val="0000FF"/>
                  <w:w w:val="99"/>
                </w:rPr>
                <w:t>December 29, 2022 to the Standby Equity</w:t>
              </w:r>
            </w:hyperlink>
          </w:p>
        </w:tc>
        <w:tc>
          <w:tcPr>
            <w:tcW w:w="200" w:type="dxa"/>
            <w:vAlign w:val="bottom"/>
            <w:tcBorders>
              <w:top w:val="single" w:sz="8" w:color="0000FF"/>
              <w:bottom w:val="single" w:sz="8" w:color="CCEEFF"/>
            </w:tcBorders>
            <w:gridSpan w:val="2"/>
            <w:shd w:val="clear" w:color="auto" w:fill="CCEEFF"/>
          </w:tcPr>
          <w:p>
            <w:pPr>
              <w:spacing w:after="0"/>
              <w:rPr>
                <w:sz w:val="17"/>
                <w:szCs w:val="17"/>
                <w:color w:val="auto"/>
              </w:rPr>
            </w:pPr>
          </w:p>
        </w:tc>
        <w:tc>
          <w:tcPr>
            <w:tcW w:w="560" w:type="dxa"/>
            <w:vAlign w:val="bottom"/>
            <w:tcBorders>
              <w:top w:val="single" w:sz="8" w:color="CCEEFF"/>
              <w:bottom w:val="single" w:sz="8" w:color="CCEEFF"/>
            </w:tcBorders>
            <w:gridSpan w:val="9"/>
            <w:shd w:val="clear" w:color="auto" w:fill="CCEEFF"/>
          </w:tcPr>
          <w:p>
            <w:pPr>
              <w:spacing w:after="0"/>
              <w:rPr>
                <w:sz w:val="17"/>
                <w:szCs w:val="17"/>
                <w:color w:val="auto"/>
              </w:rPr>
            </w:pPr>
          </w:p>
        </w:tc>
        <w:tc>
          <w:tcPr>
            <w:tcW w:w="14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1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Purchase Agreement dated as of April 28, 2022</w:t>
              </w:r>
            </w:hyperlink>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
        </w:trPr>
        <w:tc>
          <w:tcPr>
            <w:tcW w:w="1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460" w:type="dxa"/>
            <w:vAlign w:val="bottom"/>
            <w:tcBorders>
              <w:bottom w:val="single" w:sz="8" w:color="0000FF"/>
              <w:right w:val="single" w:sz="8" w:color="CCEEFF"/>
            </w:tcBorders>
            <w:gridSpan w:val="11"/>
            <w:shd w:val="clear" w:color="auto" w:fill="CCEEFF"/>
          </w:tcPr>
          <w:p>
            <w:pPr>
              <w:spacing w:after="0" w:line="196" w:lineRule="exact"/>
              <w:rPr>
                <w:rFonts w:ascii="Times New Roman" w:cs="Times New Roman" w:eastAsia="Times New Roman" w:hAnsi="Times New Roman"/>
                <w:sz w:val="18"/>
                <w:szCs w:val="18"/>
                <w:color w:val="0000FF"/>
                <w:w w:val="98"/>
              </w:rPr>
            </w:pPr>
            <w:hyperlink r:id="rId103">
              <w:r>
                <w:rPr>
                  <w:rFonts w:ascii="Times New Roman" w:cs="Times New Roman" w:eastAsia="Times New Roman" w:hAnsi="Times New Roman"/>
                  <w:sz w:val="18"/>
                  <w:szCs w:val="18"/>
                  <w:color w:val="0000FF"/>
                  <w:w w:val="98"/>
                </w:rPr>
                <w:t>between Eos Energy Enterprises, Inc. and YA II</w:t>
              </w:r>
            </w:hyperlink>
          </w:p>
        </w:tc>
        <w:tc>
          <w:tcPr>
            <w:tcW w:w="340" w:type="dxa"/>
            <w:vAlign w:val="bottom"/>
            <w:tcBorders>
              <w:bottom w:val="single" w:sz="8" w:color="CCEEFF"/>
            </w:tcBorders>
            <w:gridSpan w:val="7"/>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243"/>
        </w:trPr>
        <w:tc>
          <w:tcPr>
            <w:tcW w:w="11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PN, LTD.</w:t>
              </w:r>
            </w:hyperlink>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7"/>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54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03"/>
        </w:trPr>
        <w:tc>
          <w:tcPr>
            <w:tcW w:w="116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10.30</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660" w:type="dxa"/>
            <w:vAlign w:val="bottom"/>
            <w:tcBorders>
              <w:bottom w:val="single" w:sz="8" w:color="0000FF"/>
            </w:tcBorders>
            <w:gridSpan w:val="16"/>
            <w:shd w:val="clear" w:color="auto" w:fill="CCEEFF"/>
          </w:tcPr>
          <w:p>
            <w:pPr>
              <w:spacing w:after="0" w:line="202"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Separation Agreement, dated January 20, 2023, by</w:t>
              </w:r>
            </w:hyperlink>
          </w:p>
        </w:tc>
        <w:tc>
          <w:tcPr>
            <w:tcW w:w="140" w:type="dxa"/>
            <w:vAlign w:val="bottom"/>
            <w:tcBorders>
              <w:bottom w:val="single" w:sz="8" w:color="CCEEFF"/>
            </w:tcBorders>
            <w:gridSpan w:val="2"/>
            <w:shd w:val="clear" w:color="auto" w:fill="CCEEFF"/>
          </w:tcPr>
          <w:p>
            <w:pPr>
              <w:spacing w:after="0"/>
              <w:rPr>
                <w:sz w:val="17"/>
                <w:szCs w:val="17"/>
                <w:color w:val="auto"/>
              </w:rPr>
            </w:pPr>
          </w:p>
        </w:tc>
        <w:tc>
          <w:tcPr>
            <w:tcW w:w="158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tcBorders>
              <w:bottom w:val="single" w:sz="8" w:color="CCEEFF"/>
            </w:tcBorders>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tcBorders>
              <w:bottom w:val="single" w:sz="8" w:color="CCEEFF"/>
            </w:tcBorders>
            <w:shd w:val="clear" w:color="auto" w:fill="CCEEFF"/>
          </w:tcPr>
          <w:p>
            <w:pPr>
              <w:jc w:val="right"/>
              <w:ind w:right="105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January 20, 203</w:t>
            </w:r>
          </w:p>
        </w:tc>
      </w:tr>
      <w:tr>
        <w:trPr>
          <w:trHeight w:val="243"/>
        </w:trPr>
        <w:tc>
          <w:tcPr>
            <w:tcW w:w="11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and between the Company and Randall Gonzales</w:t>
              </w:r>
            </w:hyperlink>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6"/>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03"/>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18"/>
            <w:shd w:val="clear" w:color="auto" w:fill="CCEEFF"/>
          </w:tcPr>
          <w:p>
            <w:pPr>
              <w:spacing w:after="0" w:line="202"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Employment Agreement, dated January 20, 2023,</w:t>
              </w:r>
            </w:hyperlink>
          </w:p>
        </w:tc>
        <w:tc>
          <w:tcPr>
            <w:tcW w:w="15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Form 8-K</w:t>
            </w:r>
          </w:p>
        </w:tc>
        <w:tc>
          <w:tcPr>
            <w:tcW w:w="1560" w:type="dxa"/>
            <w:vAlign w:val="bottom"/>
            <w:gridSpan w:val="2"/>
            <w:shd w:val="clear" w:color="auto" w:fill="CCEEFF"/>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8"/>
              </w:rPr>
              <w:t>File No. 001-39291</w:t>
            </w:r>
          </w:p>
        </w:tc>
        <w:tc>
          <w:tcPr>
            <w:tcW w:w="1480" w:type="dxa"/>
            <w:vAlign w:val="bottom"/>
            <w:shd w:val="clear" w:color="auto" w:fill="CCEEFF"/>
          </w:tcPr>
          <w:p>
            <w:pPr>
              <w:jc w:val="right"/>
              <w:ind w:right="1050"/>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January 20, 203</w:t>
            </w:r>
          </w:p>
        </w:tc>
      </w:tr>
      <w:tr>
        <w:trPr>
          <w:trHeight w:val="20"/>
        </w:trPr>
        <w:tc>
          <w:tcPr>
            <w:tcW w:w="1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r>
        <w:trPr>
          <w:trHeight w:val="243"/>
        </w:trPr>
        <w:tc>
          <w:tcPr>
            <w:tcW w:w="11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by and between the Company and Nathan Kroeker</w:t>
              </w:r>
            </w:hyperlink>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7"/>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50"/>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Subsidiaries of the Company</w:t>
            </w: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6"/>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03"/>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Consent of Independent Registered Public</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44"/>
        </w:trPr>
        <w:tc>
          <w:tcPr>
            <w:tcW w:w="11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right w:val="single" w:sz="8" w:color="CCEEFF"/>
            </w:tcBorders>
            <w:shd w:val="clear" w:color="auto" w:fill="CCEEFF"/>
          </w:tcPr>
          <w:p>
            <w:pPr>
              <w:spacing w:after="0"/>
              <w:rPr>
                <w:sz w:val="21"/>
                <w:szCs w:val="21"/>
                <w:color w:val="auto"/>
              </w:rPr>
            </w:pPr>
          </w:p>
        </w:tc>
        <w:tc>
          <w:tcPr>
            <w:tcW w:w="3040" w:type="dxa"/>
            <w:vAlign w:val="bottom"/>
            <w:tcBorders>
              <w:top w:val="single" w:sz="8" w:color="0000FF"/>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Accounting Firm</w:t>
            </w:r>
          </w:p>
        </w:tc>
        <w:tc>
          <w:tcPr>
            <w:tcW w:w="760" w:type="dxa"/>
            <w:vAlign w:val="bottom"/>
            <w:tcBorders>
              <w:top w:val="single" w:sz="8" w:color="CCEEFF"/>
            </w:tcBorders>
            <w:gridSpan w:val="11"/>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CCEEFF"/>
            </w:tcBorders>
            <w:shd w:val="clear" w:color="auto" w:fill="CCEEFF"/>
          </w:tcPr>
          <w:p>
            <w:pPr>
              <w:spacing w:after="0"/>
              <w:rPr>
                <w:sz w:val="21"/>
                <w:szCs w:val="21"/>
                <w:color w:val="auto"/>
              </w:rPr>
            </w:pPr>
          </w:p>
        </w:tc>
      </w:tr>
      <w:tr>
        <w:trPr>
          <w:trHeight w:val="256"/>
        </w:trPr>
        <w:tc>
          <w:tcPr>
            <w:tcW w:w="11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540" w:type="dxa"/>
            <w:vAlign w:val="bottom"/>
            <w:tcBorders>
              <w:top w:val="single" w:sz="8" w:color="0000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6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480" w:type="dxa"/>
            <w:vAlign w:val="bottom"/>
            <w:tcBorders>
              <w:top w:val="single" w:sz="8" w:color="CCEEFF"/>
            </w:tcBorders>
          </w:tcPr>
          <w:p>
            <w:pPr>
              <w:spacing w:after="0"/>
              <w:rPr>
                <w:sz w:val="22"/>
                <w:szCs w:val="22"/>
                <w:color w:val="auto"/>
              </w:rPr>
            </w:pPr>
          </w:p>
        </w:tc>
      </w:tr>
      <w:tr>
        <w:trPr>
          <w:trHeight w:val="225"/>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right w:val="single" w:sz="8" w:color="CCEEFF"/>
            </w:tcBorders>
            <w:shd w:val="clear" w:color="auto" w:fill="CCEEFF"/>
          </w:tcPr>
          <w:p>
            <w:pPr>
              <w:spacing w:after="0"/>
              <w:rPr>
                <w:sz w:val="19"/>
                <w:szCs w:val="19"/>
                <w:color w:val="auto"/>
              </w:rPr>
            </w:pPr>
          </w:p>
        </w:tc>
        <w:tc>
          <w:tcPr>
            <w:tcW w:w="38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 of Attorney (included on the signature page</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41"/>
        </w:trPr>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herein)</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45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38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tcBorders>
              <w:top w:val="single" w:sz="8" w:color="0000FF"/>
              <w:bottom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pursuant to Exchange Act Rules 13a-14(a)</w:t>
            </w:r>
          </w:p>
        </w:tc>
        <w:tc>
          <w:tcPr>
            <w:tcW w:w="320" w:type="dxa"/>
            <w:vAlign w:val="bottom"/>
            <w:tcBorders>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and</w:t>
            </w:r>
          </w:p>
        </w:tc>
        <w:tc>
          <w:tcPr>
            <w:tcW w:w="340" w:type="dxa"/>
            <w:vAlign w:val="bottom"/>
            <w:gridSpan w:val="7"/>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5575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6">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FF"/>
        </w:rPr>
        <w:t>15d-14(a), as adopted pursuant to Section 302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FF"/>
        </w:rPr>
        <w:t>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480" w:type="dxa"/>
            <w:vAlign w:val="bottom"/>
          </w:tcPr>
          <w:p>
            <w:pPr>
              <w:spacing w:after="0"/>
              <w:rPr>
                <w:sz w:val="20"/>
                <w:szCs w:val="20"/>
                <w:color w:val="auto"/>
              </w:rPr>
            </w:pPr>
          </w:p>
        </w:tc>
      </w:tr>
      <w:tr>
        <w:trPr>
          <w:trHeight w:val="248"/>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38"/>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60" w:type="dxa"/>
            <w:vAlign w:val="bottom"/>
          </w:tcPr>
          <w:p>
            <w:pPr>
              <w:spacing w:after="0"/>
              <w:rPr>
                <w:sz w:val="20"/>
                <w:szCs w:val="20"/>
                <w:color w:val="auto"/>
              </w:rPr>
            </w:pPr>
          </w:p>
        </w:tc>
        <w:tc>
          <w:tcPr>
            <w:tcW w:w="324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5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Schedule/Form</w:t>
            </w: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5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7"/>
        </w:trPr>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6"/>
        </w:trPr>
        <w:tc>
          <w:tcPr>
            <w:tcW w:w="11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140" w:type="dxa"/>
            <w:vAlign w:val="bottom"/>
            <w:tcBorders>
              <w:bottom w:val="single" w:sz="8" w:color="0000FF"/>
              <w:right w:val="single" w:sz="8" w:color="CCEE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Chief Financial Officer</w:t>
            </w:r>
          </w:p>
        </w:tc>
        <w:tc>
          <w:tcPr>
            <w:tcW w:w="660" w:type="dxa"/>
            <w:vAlign w:val="bottom"/>
            <w:tcBorders>
              <w:bottom w:val="single" w:sz="8" w:color="CCEEFF"/>
            </w:tcBorders>
            <w:gridSpan w:val="6"/>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380" w:type="dxa"/>
            <w:vAlign w:val="bottom"/>
            <w:tcBorders>
              <w:bottom w:val="single" w:sz="8" w:color="0000FF"/>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Exchange Act Rules 13a-14(a) and</w:t>
            </w:r>
          </w:p>
        </w:tc>
        <w:tc>
          <w:tcPr>
            <w:tcW w:w="420" w:type="dxa"/>
            <w:vAlign w:val="bottom"/>
            <w:tcBorders>
              <w:bottom w:val="single" w:sz="8" w:color="CCEEFF"/>
            </w:tcBorders>
            <w:gridSpan w:val="5"/>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520" w:type="dxa"/>
            <w:vAlign w:val="bottom"/>
            <w:tcBorders>
              <w:bottom w:val="single" w:sz="8" w:color="0000FF"/>
            </w:tcBorders>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15d-14(a), as adopted pursuant to Section 302 of</w:t>
            </w:r>
          </w:p>
        </w:tc>
        <w:tc>
          <w:tcPr>
            <w:tcW w:w="280" w:type="dxa"/>
            <w:vAlign w:val="bottom"/>
            <w:tcBorders>
              <w:bottom w:val="single" w:sz="8" w:color="CCEEFF"/>
            </w:tcBorders>
            <w:gridSpan w:val="3"/>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244"/>
        </w:trPr>
        <w:tc>
          <w:tcPr>
            <w:tcW w:w="11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70"/>
        </w:trPr>
        <w:tc>
          <w:tcPr>
            <w:tcW w:w="11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1760" w:type="dxa"/>
            <w:vAlign w:val="bottom"/>
            <w:tcBorders>
              <w:top w:val="single" w:sz="8" w:color="0000FF"/>
            </w:tcBorders>
          </w:tcPr>
          <w:p>
            <w:pPr>
              <w:spacing w:after="0"/>
              <w:rPr>
                <w:sz w:val="23"/>
                <w:szCs w:val="23"/>
                <w:color w:val="auto"/>
              </w:rPr>
            </w:pPr>
          </w:p>
        </w:tc>
        <w:tc>
          <w:tcPr>
            <w:tcW w:w="8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480" w:type="dxa"/>
            <w:vAlign w:val="bottom"/>
            <w:tcBorders>
              <w:top w:val="single" w:sz="8" w:color="CCEEFF"/>
            </w:tcBorders>
          </w:tcPr>
          <w:p>
            <w:pPr>
              <w:spacing w:after="0"/>
              <w:rPr>
                <w:sz w:val="23"/>
                <w:szCs w:val="23"/>
                <w:color w:val="auto"/>
              </w:rPr>
            </w:pPr>
          </w:p>
        </w:tc>
      </w:tr>
      <w:tr>
        <w:trPr>
          <w:trHeight w:val="203"/>
        </w:trPr>
        <w:tc>
          <w:tcPr>
            <w:tcW w:w="1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right w:val="single" w:sz="8" w:color="CCEEFF"/>
            </w:tcBorders>
            <w:shd w:val="clear" w:color="auto" w:fill="CCEEFF"/>
          </w:tcPr>
          <w:p>
            <w:pPr>
              <w:spacing w:after="0"/>
              <w:rPr>
                <w:sz w:val="17"/>
                <w:szCs w:val="17"/>
                <w:color w:val="auto"/>
              </w:rPr>
            </w:pPr>
          </w:p>
        </w:tc>
        <w:tc>
          <w:tcPr>
            <w:tcW w:w="3800" w:type="dxa"/>
            <w:vAlign w:val="bottom"/>
            <w:gridSpan w:val="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the Chief Executive Officer</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
        </w:trPr>
        <w:tc>
          <w:tcPr>
            <w:tcW w:w="11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5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420" w:type="dxa"/>
            <w:vAlign w:val="bottom"/>
            <w:tcBorders>
              <w:bottom w:val="single" w:sz="8" w:color="0000FF"/>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380" w:type="dxa"/>
            <w:vAlign w:val="bottom"/>
            <w:tcBorders>
              <w:bottom w:val="single" w:sz="8" w:color="CCEEFF"/>
            </w:tcBorders>
            <w:gridSpan w:val="4"/>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680" w:type="dxa"/>
            <w:vAlign w:val="bottom"/>
            <w:tcBorders>
              <w:bottom w:val="single" w:sz="8" w:color="0000FF"/>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906 of the Sarbanes-Oxley Act</w:t>
            </w:r>
          </w:p>
        </w:tc>
        <w:tc>
          <w:tcPr>
            <w:tcW w:w="120" w:type="dxa"/>
            <w:vAlign w:val="bottom"/>
            <w:tcBorders>
              <w:bottom w:val="single" w:sz="8" w:color="CCEEFF"/>
            </w:tcBorders>
            <w:gridSpan w:val="2"/>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244"/>
        </w:trPr>
        <w:tc>
          <w:tcPr>
            <w:tcW w:w="11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16"/>
        </w:trPr>
        <w:tc>
          <w:tcPr>
            <w:tcW w:w="1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203"/>
        </w:trPr>
        <w:tc>
          <w:tcPr>
            <w:tcW w:w="116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140" w:type="dxa"/>
            <w:vAlign w:val="bottom"/>
            <w:tcBorders>
              <w:bottom w:val="single" w:sz="8" w:color="0000FF"/>
              <w:right w:val="single" w:sz="8" w:color="CCEEFF"/>
            </w:tcBorders>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the Chief Financial Officer</w:t>
            </w:r>
          </w:p>
        </w:tc>
        <w:tc>
          <w:tcPr>
            <w:tcW w:w="660" w:type="dxa"/>
            <w:vAlign w:val="bottom"/>
            <w:tcBorders>
              <w:bottom w:val="single" w:sz="8" w:color="CCEEFF"/>
            </w:tcBorders>
            <w:gridSpan w:val="6"/>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420" w:type="dxa"/>
            <w:vAlign w:val="bottom"/>
            <w:tcBorders>
              <w:bottom w:val="single" w:sz="8" w:color="0000FF"/>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380" w:type="dxa"/>
            <w:vAlign w:val="bottom"/>
            <w:tcBorders>
              <w:bottom w:val="single" w:sz="8" w:color="CCEEFF"/>
            </w:tcBorders>
            <w:gridSpan w:val="4"/>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3680" w:type="dxa"/>
            <w:vAlign w:val="bottom"/>
            <w:tcBorders>
              <w:bottom w:val="single" w:sz="8" w:color="0000FF"/>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906 of the Sarbanes-Oxley Act</w:t>
            </w:r>
          </w:p>
        </w:tc>
        <w:tc>
          <w:tcPr>
            <w:tcW w:w="120" w:type="dxa"/>
            <w:vAlign w:val="bottom"/>
            <w:tcBorders>
              <w:bottom w:val="single" w:sz="8" w:color="CCEEFF"/>
            </w:tcBorders>
            <w:gridSpan w:val="2"/>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r>
      <w:tr>
        <w:trPr>
          <w:trHeight w:val="244"/>
        </w:trPr>
        <w:tc>
          <w:tcPr>
            <w:tcW w:w="11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3800" w:type="dxa"/>
            <w:vAlign w:val="bottom"/>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03"/>
        </w:trPr>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176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r>
      <w:tr>
        <w:trPr>
          <w:trHeight w:val="250"/>
        </w:trPr>
        <w:tc>
          <w:tcPr>
            <w:tcW w:w="1260" w:type="dxa"/>
            <w:vAlign w:val="bottom"/>
            <w:tcBorders>
              <w:bottom w:val="single" w:sz="8" w:color="CCEEFF"/>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80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03"/>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25"/>
        </w:trPr>
        <w:tc>
          <w:tcPr>
            <w:tcW w:w="12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38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41"/>
        </w:trPr>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5"/>
        </w:trPr>
        <w:tc>
          <w:tcPr>
            <w:tcW w:w="12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38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41"/>
        </w:trPr>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5"/>
        </w:trPr>
        <w:tc>
          <w:tcPr>
            <w:tcW w:w="12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8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41"/>
        </w:trPr>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5"/>
        </w:trPr>
        <w:tc>
          <w:tcPr>
            <w:tcW w:w="126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8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41"/>
        </w:trPr>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3800" w:type="dxa"/>
            <w:vAlign w:val="bottom"/>
            <w:tcBorders>
              <w:bottom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Document</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162"/>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25"/>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right w:val="single" w:sz="8" w:color="CCEEFF"/>
            </w:tcBorders>
            <w:shd w:val="clear" w:color="auto" w:fill="CCEEFF"/>
          </w:tcPr>
          <w:p>
            <w:pPr>
              <w:spacing w:after="0"/>
              <w:rPr>
                <w:sz w:val="19"/>
                <w:szCs w:val="19"/>
                <w:color w:val="auto"/>
              </w:rPr>
            </w:pPr>
          </w:p>
        </w:tc>
        <w:tc>
          <w:tcPr>
            <w:tcW w:w="38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for the cover page of this Annual</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8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on Form 10-K, included in the Exhibit 101</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4"/>
        </w:trPr>
        <w:tc>
          <w:tcPr>
            <w:tcW w:w="116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38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Document Set</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7"/>
        </w:trPr>
        <w:tc>
          <w:tcPr>
            <w:tcW w:w="11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8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ind w:left="1260" w:right="60" w:hanging="1234"/>
        <w:spacing w:after="0" w:line="281" w:lineRule="auto"/>
        <w:tabs>
          <w:tab w:leader="none" w:pos="1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 w:lineRule="exact"/>
        <w:rPr>
          <w:sz w:val="20"/>
          <w:szCs w:val="20"/>
          <w:color w:val="auto"/>
        </w:rPr>
      </w:pPr>
    </w:p>
    <w:p>
      <w:pPr>
        <w:ind w:left="1260" w:hanging="1234"/>
        <w:spacing w:after="0"/>
        <w:tabs>
          <w:tab w:leader="none" w:pos="1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ind w:left="1260" w:right="100" w:hanging="1234"/>
        <w:spacing w:after="0" w:line="266" w:lineRule="auto"/>
        <w:tabs>
          <w:tab w:leader="none" w:pos="1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25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PAGE</w:t>
            </w:r>
          </w:p>
        </w:tc>
      </w:tr>
      <w:tr>
        <w:trPr>
          <w:trHeight w:val="27"/>
        </w:trPr>
        <w:tc>
          <w:tcPr>
            <w:tcW w:w="14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9120" w:type="dxa"/>
            <w:vAlign w:val="bottom"/>
            <w:tcBorders>
              <w:bottom w:val="single" w:sz="8" w:color="CCEEFF"/>
            </w:tcBorders>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720" w:type="dxa"/>
            <w:vAlign w:val="bottom"/>
            <w:tcBorders>
              <w:bottom w:val="single" w:sz="8" w:color="CCEEFF"/>
            </w:tcBorders>
            <w:shd w:val="clear" w:color="auto" w:fill="CCEEFF"/>
          </w:tcPr>
          <w:p>
            <w:pPr>
              <w:spacing w:after="0"/>
              <w:rPr>
                <w:sz w:val="20"/>
                <w:szCs w:val="20"/>
                <w:color w:val="auto"/>
              </w:rPr>
            </w:pPr>
          </w:p>
        </w:tc>
      </w:tr>
      <w:tr>
        <w:trPr>
          <w:trHeight w:val="202"/>
        </w:trPr>
        <w:tc>
          <w:tcPr>
            <w:tcW w:w="140" w:type="dxa"/>
            <w:vAlign w:val="bottom"/>
          </w:tcPr>
          <w:p>
            <w:pPr>
              <w:spacing w:after="0"/>
              <w:rPr>
                <w:sz w:val="17"/>
                <w:szCs w:val="17"/>
                <w:color w:val="auto"/>
              </w:rPr>
            </w:pPr>
          </w:p>
        </w:tc>
        <w:tc>
          <w:tcPr>
            <w:tcW w:w="898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auto"/>
              </w:rPr>
              <w:t>Report of Independent Registered Public Accounting Firm (PCAOB ID No. 34)</w:t>
            </w:r>
          </w:p>
        </w:tc>
        <w:tc>
          <w:tcPr>
            <w:tcW w:w="17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F-2</w:t>
            </w:r>
          </w:p>
        </w:tc>
      </w:tr>
      <w:tr>
        <w:trPr>
          <w:trHeight w:val="48"/>
        </w:trPr>
        <w:tc>
          <w:tcPr>
            <w:tcW w:w="140" w:type="dxa"/>
            <w:vAlign w:val="bottom"/>
          </w:tcPr>
          <w:p>
            <w:pPr>
              <w:spacing w:after="0"/>
              <w:rPr>
                <w:sz w:val="4"/>
                <w:szCs w:val="4"/>
                <w:color w:val="auto"/>
              </w:rPr>
            </w:pPr>
          </w:p>
        </w:tc>
        <w:tc>
          <w:tcPr>
            <w:tcW w:w="314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02"/>
        </w:trPr>
        <w:tc>
          <w:tcPr>
            <w:tcW w:w="140" w:type="dxa"/>
            <w:vAlign w:val="bottom"/>
            <w:shd w:val="clear" w:color="auto" w:fill="CCEEFF"/>
          </w:tcPr>
          <w:p>
            <w:pPr>
              <w:spacing w:after="0"/>
              <w:rPr>
                <w:sz w:val="17"/>
                <w:szCs w:val="17"/>
                <w:color w:val="auto"/>
              </w:rPr>
            </w:pPr>
          </w:p>
        </w:tc>
        <w:tc>
          <w:tcPr>
            <w:tcW w:w="8980" w:type="dxa"/>
            <w:vAlign w:val="bottom"/>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Consolidated Balance Sheets as of December 31, 2022 and 2021</w:t>
            </w:r>
          </w:p>
        </w:tc>
        <w:tc>
          <w:tcPr>
            <w:tcW w:w="17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F-4</w:t>
            </w:r>
          </w:p>
        </w:tc>
      </w:tr>
      <w:tr>
        <w:trPr>
          <w:trHeight w:val="48"/>
        </w:trPr>
        <w:tc>
          <w:tcPr>
            <w:tcW w:w="1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auto"/>
            </w:tcBorders>
            <w:shd w:val="clear" w:color="auto" w:fill="CCEEFF"/>
          </w:tcPr>
          <w:p>
            <w:pPr>
              <w:spacing w:after="0"/>
              <w:rPr>
                <w:sz w:val="4"/>
                <w:szCs w:val="4"/>
                <w:color w:val="auto"/>
              </w:rPr>
            </w:pPr>
          </w:p>
        </w:tc>
        <w:tc>
          <w:tcPr>
            <w:tcW w:w="108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r>
      <w:tr>
        <w:trPr>
          <w:trHeight w:val="202"/>
        </w:trPr>
        <w:tc>
          <w:tcPr>
            <w:tcW w:w="140" w:type="dxa"/>
            <w:vAlign w:val="bottom"/>
          </w:tcPr>
          <w:p>
            <w:pPr>
              <w:spacing w:after="0"/>
              <w:rPr>
                <w:sz w:val="17"/>
                <w:szCs w:val="17"/>
                <w:color w:val="auto"/>
              </w:rPr>
            </w:pPr>
          </w:p>
        </w:tc>
        <w:tc>
          <w:tcPr>
            <w:tcW w:w="898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auto"/>
              </w:rPr>
              <w:t>Consolidated Statements of Operations and Comprehensive Loss for the Years Ended December 31, 2022 and 2021</w:t>
            </w:r>
          </w:p>
        </w:tc>
        <w:tc>
          <w:tcPr>
            <w:tcW w:w="17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F-6</w:t>
            </w:r>
          </w:p>
        </w:tc>
      </w:tr>
      <w:tr>
        <w:trPr>
          <w:trHeight w:val="48"/>
        </w:trPr>
        <w:tc>
          <w:tcPr>
            <w:tcW w:w="140" w:type="dxa"/>
            <w:vAlign w:val="bottom"/>
          </w:tcPr>
          <w:p>
            <w:pPr>
              <w:spacing w:after="0"/>
              <w:rPr>
                <w:sz w:val="4"/>
                <w:szCs w:val="4"/>
                <w:color w:val="auto"/>
              </w:rPr>
            </w:pPr>
          </w:p>
        </w:tc>
        <w:tc>
          <w:tcPr>
            <w:tcW w:w="314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860" w:type="dxa"/>
            <w:vAlign w:val="bottom"/>
            <w:tcBorders>
              <w:top w:val="single" w:sz="8" w:color="auto"/>
            </w:tcBorders>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auto"/>
            </w:tcBorders>
            <w:gridSpan w:val="5"/>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99"/>
              </w:rPr>
              <w:t>Consolidated Statements of Shareholders' (Deficit) Equity for the Years Ended December 31, 2022 and 2021</w:t>
            </w:r>
          </w:p>
        </w:tc>
        <w:tc>
          <w:tcPr>
            <w:tcW w:w="1160" w:type="dxa"/>
            <w:vAlign w:val="bottom"/>
            <w:tcBorders>
              <w:bottom w:val="single" w:sz="8" w:color="CCEEFF"/>
            </w:tcBorders>
            <w:gridSpan w:val="2"/>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F-7</w:t>
            </w:r>
          </w:p>
        </w:tc>
      </w:tr>
      <w:tr>
        <w:trPr>
          <w:trHeight w:val="202"/>
        </w:trPr>
        <w:tc>
          <w:tcPr>
            <w:tcW w:w="140" w:type="dxa"/>
            <w:vAlign w:val="bottom"/>
          </w:tcPr>
          <w:p>
            <w:pPr>
              <w:spacing w:after="0"/>
              <w:rPr>
                <w:sz w:val="17"/>
                <w:szCs w:val="17"/>
                <w:color w:val="auto"/>
              </w:rPr>
            </w:pPr>
          </w:p>
        </w:tc>
        <w:tc>
          <w:tcPr>
            <w:tcW w:w="898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2022 and 2021</w:t>
            </w:r>
          </w:p>
        </w:tc>
        <w:tc>
          <w:tcPr>
            <w:tcW w:w="17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F-8</w:t>
            </w:r>
          </w:p>
        </w:tc>
      </w:tr>
      <w:tr>
        <w:trPr>
          <w:trHeight w:val="48"/>
        </w:trPr>
        <w:tc>
          <w:tcPr>
            <w:tcW w:w="140" w:type="dxa"/>
            <w:vAlign w:val="bottom"/>
          </w:tcPr>
          <w:p>
            <w:pPr>
              <w:spacing w:after="0"/>
              <w:rPr>
                <w:sz w:val="4"/>
                <w:szCs w:val="4"/>
                <w:color w:val="auto"/>
              </w:rPr>
            </w:pPr>
          </w:p>
        </w:tc>
        <w:tc>
          <w:tcPr>
            <w:tcW w:w="314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860" w:type="dxa"/>
            <w:vAlign w:val="bottom"/>
            <w:tcBorders>
              <w:top w:val="single" w:sz="8" w:color="auto"/>
            </w:tcBorders>
          </w:tcPr>
          <w:p>
            <w:pPr>
              <w:spacing w:after="0"/>
              <w:rPr>
                <w:sz w:val="4"/>
                <w:szCs w:val="4"/>
                <w:color w:val="auto"/>
              </w:rPr>
            </w:pPr>
          </w:p>
        </w:tc>
        <w:tc>
          <w:tcPr>
            <w:tcW w:w="1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03"/>
        </w:trPr>
        <w:tc>
          <w:tcPr>
            <w:tcW w:w="140" w:type="dxa"/>
            <w:vAlign w:val="bottom"/>
            <w:shd w:val="clear" w:color="auto" w:fill="CCEEFF"/>
          </w:tcPr>
          <w:p>
            <w:pPr>
              <w:spacing w:after="0"/>
              <w:rPr>
                <w:sz w:val="17"/>
                <w:szCs w:val="17"/>
                <w:color w:val="auto"/>
              </w:rPr>
            </w:pPr>
          </w:p>
        </w:tc>
        <w:tc>
          <w:tcPr>
            <w:tcW w:w="8980" w:type="dxa"/>
            <w:vAlign w:val="bottom"/>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7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F-10 to F-44</w:t>
            </w:r>
          </w:p>
        </w:tc>
      </w:tr>
      <w:tr>
        <w:trPr>
          <w:trHeight w:val="48"/>
        </w:trPr>
        <w:tc>
          <w:tcPr>
            <w:tcW w:w="1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auto"/>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Eos Energy Enterprises, Inc.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Eos Energy Enterprises, Inc. (the "Company") as of December 31, 2022 and 2021, the related consolidated statements of operations and comprehensive loss, shareholders’ (deficit)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suffered recurring losses from operations that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Convertible Notes Payable - </w:t>
      </w:r>
      <w:r>
        <w:rPr>
          <w:rFonts w:ascii="Times New Roman" w:cs="Times New Roman" w:eastAsia="Times New Roman" w:hAnsi="Times New Roman"/>
          <w:sz w:val="18"/>
          <w:szCs w:val="18"/>
          <w:b w:val="1"/>
          <w:bCs w:val="1"/>
          <w:i w:val="1"/>
          <w:iCs w:val="1"/>
          <w:color w:val="auto"/>
        </w:rPr>
        <w:t>Refer to Note 13 to the financial statements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2021 Convertible Notes contain an embedded conversion feature that is required to be bifurcated from the 2021 Convertible Notes and measured at fair value at each reporting period.</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the embedded conversion feature using a binomial lattice model at the inception and on subsequent valuation dates. This model incorporates inputs such as the stock price of the Company, dividend yield, risk-free interest rate, the effective debt yield, and expected volatility. The effective debt yield and the expected volatility involve unobservable inputs.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Unlike the fair value of financial instruments that are readily observable and therefore more easily independently corroborated, the valuation of the embedded conversion feature is inherently subjective and involves the use of complex modeling tools. Auditing the embedded conversion feature fair value requires a high degree of auditor judgment and an increased extent of effort, including the need to involve our fair value specialists.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valuation of the embedded conversion feature in the 2021 Convertible Notes included the following, among others:</w:t>
      </w:r>
    </w:p>
    <w:p>
      <w:pPr>
        <w:spacing w:after="0" w:line="144" w:lineRule="exact"/>
        <w:rPr>
          <w:sz w:val="20"/>
          <w:szCs w:val="20"/>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management’s valuation methodology and the significant assumptions used in determining the fair value of the embedded conversion feature by:</w:t>
      </w:r>
    </w:p>
    <w:p>
      <w:pPr>
        <w:spacing w:after="0" w:line="94" w:lineRule="exact"/>
        <w:rPr>
          <w:rFonts w:ascii="Times New Roman" w:cs="Times New Roman" w:eastAsia="Times New Roman" w:hAnsi="Times New Roman"/>
          <w:sz w:val="18"/>
          <w:szCs w:val="18"/>
          <w:color w:val="auto"/>
        </w:rPr>
      </w:pPr>
    </w:p>
    <w:p>
      <w:pPr>
        <w:ind w:left="1300" w:hanging="320"/>
        <w:spacing w:after="0" w:line="282" w:lineRule="auto"/>
        <w:tabs>
          <w:tab w:leader="none" w:pos="132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underlying the fair value of the embedded conversion feature and the mathematical accuracy of the calculation.</w:t>
      </w:r>
    </w:p>
    <w:p>
      <w:pPr>
        <w:spacing w:after="0" w:line="94"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1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 independent estimate of the inputs and compared those to the inputs used in the fair value of the embedded conversion feature.</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competency and objectivity of management’s expert engaged by the Company to perform the valuation of the embedded conversion feature.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8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Restricted cash</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Inventory, net</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Vendor deposits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Notes receivable, net</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Contract assets, current</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current assets</w:t>
      </w:r>
    </w:p>
    <w:p>
      <w:pPr>
        <w:spacing w:after="0" w:line="67" w:lineRule="exact"/>
        <w:rPr>
          <w:sz w:val="20"/>
          <w:szCs w:val="20"/>
          <w:color w:val="auto"/>
        </w:rPr>
      </w:pPr>
    </w:p>
    <w:p>
      <w:pPr>
        <w:ind w:left="20" w:right="240"/>
        <w:spacing w:after="0" w:line="313" w:lineRule="auto"/>
        <w:rPr>
          <w:sz w:val="20"/>
          <w:szCs w:val="20"/>
          <w:color w:val="auto"/>
        </w:rPr>
      </w:pPr>
      <w:r>
        <w:rPr>
          <w:rFonts w:ascii="Times New Roman" w:cs="Times New Roman" w:eastAsia="Times New Roman" w:hAnsi="Times New Roman"/>
          <w:sz w:val="18"/>
          <w:szCs w:val="18"/>
          <w:color w:val="auto"/>
        </w:rPr>
        <w:t>Property, plant and equipment, net Intangible assets, net Goodwill</w:t>
      </w:r>
    </w:p>
    <w:p>
      <w:pPr>
        <w:ind w:left="20"/>
        <w:spacing w:after="0"/>
        <w:rPr>
          <w:sz w:val="20"/>
          <w:szCs w:val="20"/>
          <w:color w:val="auto"/>
        </w:rPr>
      </w:pPr>
      <w:r>
        <w:rPr>
          <w:rFonts w:ascii="Times New Roman" w:cs="Times New Roman" w:eastAsia="Times New Roman" w:hAnsi="Times New Roman"/>
          <w:sz w:val="18"/>
          <w:szCs w:val="18"/>
          <w:color w:val="auto"/>
        </w:rPr>
        <w:t>Notes receivable, 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Operating lease right-of-use asset, net</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restricted cash</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assets, net</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center"/>
        <w:ind w:right="344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ind w:right="34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7" w:lineRule="exact"/>
        <w:rPr>
          <w:sz w:val="20"/>
          <w:szCs w:val="20"/>
          <w:color w:val="auto"/>
        </w:rPr>
      </w:pPr>
    </w:p>
    <w:p>
      <w:pPr>
        <w:jc w:val="center"/>
        <w:ind w:right="344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36830</wp:posOffset>
            </wp:positionV>
            <wp:extent cx="20485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57"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46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540"/>
        </w:trPr>
        <w:tc>
          <w:tcPr>
            <w:tcW w:w="4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17,076</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104,831</w:t>
            </w:r>
          </w:p>
        </w:tc>
      </w:tr>
      <w:tr>
        <w:trPr>
          <w:trHeight w:val="270"/>
        </w:trPr>
        <w:tc>
          <w:tcPr>
            <w:tcW w:w="4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70"/>
        </w:trPr>
        <w:tc>
          <w:tcPr>
            <w:tcW w:w="4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70"/>
        </w:trPr>
        <w:tc>
          <w:tcPr>
            <w:tcW w:w="4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w:t>
            </w:r>
          </w:p>
        </w:tc>
      </w:tr>
      <w:tr>
        <w:trPr>
          <w:trHeight w:val="270"/>
        </w:trPr>
        <w:tc>
          <w:tcPr>
            <w:tcW w:w="4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16,653</w:t>
            </w:r>
          </w:p>
        </w:tc>
      </w:tr>
      <w:tr>
        <w:trPr>
          <w:trHeight w:val="270"/>
        </w:trPr>
        <w:tc>
          <w:tcPr>
            <w:tcW w:w="4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70"/>
        </w:trPr>
        <w:tc>
          <w:tcPr>
            <w:tcW w:w="4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70"/>
        </w:trPr>
        <w:tc>
          <w:tcPr>
            <w:tcW w:w="4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r>
      <w:tr>
        <w:trPr>
          <w:trHeight w:val="270"/>
        </w:trPr>
        <w:tc>
          <w:tcPr>
            <w:tcW w:w="4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r>
      <w:tr>
        <w:trPr>
          <w:trHeight w:val="27"/>
        </w:trPr>
        <w:tc>
          <w:tcPr>
            <w:tcW w:w="4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142,572</w:t>
            </w:r>
          </w:p>
        </w:tc>
      </w:tr>
      <w:tr>
        <w:trPr>
          <w:trHeight w:val="270"/>
        </w:trPr>
        <w:tc>
          <w:tcPr>
            <w:tcW w:w="4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12,890</w:t>
            </w:r>
          </w:p>
        </w:tc>
      </w:tr>
      <w:tr>
        <w:trPr>
          <w:trHeight w:val="270"/>
        </w:trPr>
        <w:tc>
          <w:tcPr>
            <w:tcW w:w="4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70"/>
        </w:trPr>
        <w:tc>
          <w:tcPr>
            <w:tcW w:w="4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w:t>
            </w:r>
          </w:p>
        </w:tc>
      </w:tr>
      <w:tr>
        <w:trPr>
          <w:trHeight w:val="270"/>
        </w:trPr>
        <w:tc>
          <w:tcPr>
            <w:tcW w:w="4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r>
      <w:tr>
        <w:trPr>
          <w:trHeight w:val="270"/>
        </w:trPr>
        <w:tc>
          <w:tcPr>
            <w:tcW w:w="4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r>
      <w:tr>
        <w:trPr>
          <w:trHeight w:val="270"/>
        </w:trPr>
        <w:tc>
          <w:tcPr>
            <w:tcW w:w="4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27"/>
        </w:trPr>
        <w:tc>
          <w:tcPr>
            <w:tcW w:w="4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106,788</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169,175</w:t>
            </w:r>
          </w:p>
        </w:tc>
      </w:tr>
      <w:tr>
        <w:trPr>
          <w:trHeight w:val="27"/>
        </w:trPr>
        <w:tc>
          <w:tcPr>
            <w:tcW w:w="4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-3479800</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-3136900</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-2794000</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-2451100</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-2108200</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-1765300</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-1413510</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-1070610</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-727710</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-385445</wp:posOffset>
            </wp:positionV>
            <wp:extent cx="71323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51435</wp:posOffset>
            </wp:positionV>
            <wp:extent cx="71323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67" w:lineRule="exact"/>
        <w:rPr>
          <w:sz w:val="20"/>
          <w:szCs w:val="20"/>
          <w:color w:val="auto"/>
        </w:rPr>
      </w:pPr>
    </w:p>
    <w:p>
      <w:pPr>
        <w:sectPr>
          <w:pgSz w:w="11900" w:h="16838" w:orient="portrait"/>
          <w:cols w:equalWidth="0" w:num="2">
            <w:col w:w="2740" w:space="720"/>
            <w:col w:w="7780"/>
          </w:cols>
          <w:pgMar w:left="320" w:top="121" w:right="339" w:bottom="823"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8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12,531</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7,674</w:t>
            </w:r>
          </w:p>
        </w:tc>
      </w:tr>
      <w:tr>
        <w:trPr>
          <w:trHeight w:val="27"/>
        </w:trPr>
        <w:tc>
          <w:tcPr>
            <w:tcW w:w="8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 - related parties</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7"/>
        </w:trPr>
        <w:tc>
          <w:tcPr>
            <w:tcW w:w="8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 payable, current</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 current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r>
      <w:tr>
        <w:trPr>
          <w:trHeight w:val="27"/>
        </w:trPr>
        <w:tc>
          <w:tcPr>
            <w:tcW w:w="8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Convertible notes payable - related party</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27"/>
        </w:trPr>
        <w:tc>
          <w:tcPr>
            <w:tcW w:w="8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6"/>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60,576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29,917</w:t>
            </w:r>
          </w:p>
        </w:tc>
      </w:tr>
      <w:tr>
        <w:trPr>
          <w:trHeight w:val="27"/>
        </w:trPr>
        <w:tc>
          <w:tcPr>
            <w:tcW w:w="80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r>
      <w:tr>
        <w:trPr>
          <w:trHeight w:val="27"/>
        </w:trPr>
        <w:tc>
          <w:tcPr>
            <w:tcW w:w="8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payable</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13,769</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87,321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w:t>
            </w:r>
          </w:p>
        </w:tc>
      </w:tr>
      <w:tr>
        <w:trPr>
          <w:trHeight w:val="27"/>
        </w:trPr>
        <w:tc>
          <w:tcPr>
            <w:tcW w:w="8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Convertible notes payable - related party</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84,148</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Contract liabilities, long-term</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Warrants - related party</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liabilities</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80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178,923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106,811</w:t>
            </w:r>
          </w:p>
        </w:tc>
      </w:tr>
      <w:tr>
        <w:trPr>
          <w:trHeight w:val="236"/>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239,499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136,728</w:t>
            </w:r>
          </w:p>
        </w:tc>
      </w:tr>
    </w:tbl>
    <w:p>
      <w:pPr>
        <w:spacing w:after="0" w:line="200" w:lineRule="exact"/>
        <w:rPr>
          <w:sz w:val="20"/>
          <w:szCs w:val="20"/>
          <w:color w:val="auto"/>
        </w:rPr>
      </w:pPr>
    </w:p>
    <w:p>
      <w:pPr>
        <w:sectPr>
          <w:pgSz w:w="11900" w:h="16838" w:orient="portrait"/>
          <w:cols w:equalWidth="0" w:num="1">
            <w:col w:w="11240"/>
          </w:cols>
          <w:pgMar w:left="320" w:top="121" w:right="339" w:bottom="823" w:gutter="0" w:footer="0" w:header="0"/>
          <w:type w:val="continuous"/>
        </w:sect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823"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Pr>
          <w:p>
            <w:pPr>
              <w:spacing w:after="0"/>
              <w:rPr>
                <w:sz w:val="20"/>
                <w:szCs w:val="20"/>
                <w:color w:val="auto"/>
              </w:rPr>
            </w:pPr>
          </w:p>
        </w:tc>
      </w:tr>
      <w:tr>
        <w:trPr>
          <w:trHeight w:val="27"/>
        </w:trPr>
        <w:tc>
          <w:tcPr>
            <w:tcW w:w="8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8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17)</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70"/>
        </w:trPr>
        <w:tc>
          <w:tcPr>
            <w:tcW w:w="8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8020" w:type="dxa"/>
            <w:vAlign w:val="bottom"/>
            <w:tcBorders>
              <w:bottom w:val="single" w:sz="8" w:color="CCEEFF"/>
            </w:tcBorders>
            <w:shd w:val="clear" w:color="auto" w:fill="CCEEFF"/>
          </w:tcPr>
          <w:p>
            <w:pPr>
              <w:ind w:left="2400"/>
              <w:spacing w:after="0"/>
              <w:rPr>
                <w:sz w:val="20"/>
                <w:szCs w:val="20"/>
                <w:color w:val="auto"/>
              </w:rPr>
            </w:pPr>
            <w:r>
              <w:rPr>
                <w:rFonts w:ascii="Times New Roman" w:cs="Times New Roman" w:eastAsia="Times New Roman" w:hAnsi="Times New Roman"/>
                <w:sz w:val="18"/>
                <w:szCs w:val="18"/>
                <w:b w:val="1"/>
                <w:bCs w:val="1"/>
                <w:color w:val="auto"/>
              </w:rPr>
              <w:t>SHAREHOLDERS' (DEFICIT) EQUITY</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300,000,000 and 200,000,000 shares authorized, 82,653,781 and</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53,786,632 shares outstanding at December 31, 2022 and 2021, respectively</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 shares outstanding at December 31, 2022</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2021</w:t>
            </w:r>
          </w:p>
        </w:tc>
        <w:tc>
          <w:tcPr>
            <w:tcW w:w="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513,614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448,969</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(646,340)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(416,527)</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shareholders' (deficit) equity</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32,447</w:t>
            </w:r>
          </w:p>
        </w:tc>
      </w:tr>
      <w:tr>
        <w:trPr>
          <w:trHeight w:val="264"/>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 equity</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106,788</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169,175</w:t>
            </w: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17,924</w:t>
            </w:r>
          </w:p>
        </w:tc>
        <w:tc>
          <w:tcPr>
            <w:tcW w:w="8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153,260</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19,154</w:t>
            </w:r>
          </w:p>
        </w:tc>
        <w:tc>
          <w:tcPr>
            <w:tcW w:w="0" w:type="dxa"/>
            <w:vAlign w:val="bottom"/>
          </w:tcPr>
          <w:p>
            <w:pPr>
              <w:spacing w:after="0"/>
              <w:rPr>
                <w:sz w:val="1"/>
                <w:szCs w:val="1"/>
                <w:color w:val="auto"/>
              </w:rPr>
            </w:pPr>
          </w:p>
        </w:tc>
      </w:tr>
      <w:tr>
        <w:trPr>
          <w:trHeight w:val="243"/>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60,623</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pre-existing agreement</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30,368</w:t>
            </w:r>
          </w:p>
        </w:tc>
        <w:tc>
          <w:tcPr>
            <w:tcW w:w="0" w:type="dxa"/>
            <w:vAlign w:val="bottom"/>
          </w:tcPr>
          <w:p>
            <w:pPr>
              <w:spacing w:after="0"/>
              <w:rPr>
                <w:sz w:val="1"/>
                <w:szCs w:val="1"/>
                <w:color w:val="auto"/>
              </w:rPr>
            </w:pPr>
          </w:p>
        </w:tc>
      </w:tr>
      <w:tr>
        <w:trPr>
          <w:trHeight w:val="243"/>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from write-down of property, plant and equipment</w:t>
            </w:r>
          </w:p>
        </w:tc>
        <w:tc>
          <w:tcPr>
            <w:tcW w:w="3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Grant (income)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37"/>
        </w:trPr>
        <w:tc>
          <w:tcPr>
            <w:tcW w:w="72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3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239,182</w:t>
            </w: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139,322</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(221,258)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(134,724)</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3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(7,915)</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43"/>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3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Remeasurement of equity method investment</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0" w:type="dxa"/>
            <w:vAlign w:val="bottom"/>
          </w:tcPr>
          <w:p>
            <w:pPr>
              <w:spacing w:after="0"/>
              <w:rPr>
                <w:sz w:val="1"/>
                <w:szCs w:val="1"/>
                <w:color w:val="auto"/>
              </w:rPr>
            </w:pPr>
          </w:p>
        </w:tc>
      </w:tr>
      <w:tr>
        <w:trPr>
          <w:trHeight w:val="243"/>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change in fair value of derivatives - related parties</w:t>
            </w:r>
          </w:p>
        </w:tc>
        <w:tc>
          <w:tcPr>
            <w:tcW w:w="3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from equity in unconsolidated joint venture</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43"/>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gain on debt (extinguishment)/forgiveness</w:t>
            </w:r>
          </w:p>
        </w:tc>
        <w:tc>
          <w:tcPr>
            <w:tcW w:w="3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income</w:t>
            </w:r>
          </w:p>
        </w:tc>
        <w:tc>
          <w:tcPr>
            <w:tcW w:w="3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0" w:type="dxa"/>
            <w:vAlign w:val="bottom"/>
          </w:tcPr>
          <w:p>
            <w:pPr>
              <w:spacing w:after="0"/>
              <w:rPr>
                <w:sz w:val="1"/>
                <w:szCs w:val="1"/>
                <w:color w:val="auto"/>
              </w:rPr>
            </w:pPr>
          </w:p>
        </w:tc>
      </w:tr>
      <w:tr>
        <w:trPr>
          <w:trHeight w:val="237"/>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(229,762)</w:t>
            </w:r>
          </w:p>
        </w:tc>
        <w:tc>
          <w:tcPr>
            <w:tcW w:w="8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(124,216)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(229,813)</w:t>
            </w: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(124,216)</w:t>
            </w: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34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3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(229,807)</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(124,216)</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loss per share attributable to common shareholders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2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62,439,857</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52,664,349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62,439,857</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52,664,349</w:t>
            </w:r>
          </w:p>
        </w:tc>
        <w:tc>
          <w:tcPr>
            <w:tcW w:w="0" w:type="dxa"/>
            <w:vAlign w:val="bottom"/>
          </w:tcPr>
          <w:p>
            <w:pPr>
              <w:spacing w:after="0"/>
              <w:rPr>
                <w:sz w:val="1"/>
                <w:szCs w:val="1"/>
                <w:color w:val="auto"/>
              </w:rPr>
            </w:pPr>
          </w:p>
        </w:tc>
      </w:tr>
      <w:tr>
        <w:trPr>
          <w:trHeight w:val="27"/>
        </w:trPr>
        <w:tc>
          <w:tcPr>
            <w:tcW w:w="7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(DEFICIT) EQUITY</w:t>
      </w:r>
    </w:p>
    <w:p>
      <w:pPr>
        <w:spacing w:after="0" w:line="6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Contingently</w:t>
            </w: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2120" w:type="dxa"/>
            <w:vAlign w:val="bottom"/>
            <w:gridSpan w:val="4"/>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Issuable</w:t>
            </w: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2120" w:type="dxa"/>
            <w:vAlign w:val="bottom"/>
            <w:tcBorders>
              <w:bottom w:val="single" w:sz="8" w:color="auto"/>
            </w:tcBorders>
            <w:gridSpan w:val="4"/>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b w:val="1"/>
                <w:bCs w:val="1"/>
                <w:color w:val="auto"/>
              </w:rPr>
              <w:t>Paid in</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rPr>
              <w:t>Common</w:t>
            </w:r>
          </w:p>
        </w:tc>
        <w:tc>
          <w:tcPr>
            <w:tcW w:w="13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16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8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on December 31, 2020</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48,943,082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395,491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(292,311)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120,785</w:t>
            </w:r>
          </w:p>
        </w:tc>
        <w:tc>
          <w:tcPr>
            <w:tcW w:w="0" w:type="dxa"/>
            <w:vAlign w:val="bottom"/>
          </w:tcPr>
          <w:p>
            <w:pPr>
              <w:spacing w:after="0"/>
              <w:rPr>
                <w:sz w:val="1"/>
                <w:szCs w:val="1"/>
                <w:color w:val="auto"/>
              </w:rPr>
            </w:pPr>
          </w:p>
        </w:tc>
      </w:tr>
      <w:tr>
        <w:trPr>
          <w:trHeight w:val="225"/>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Release of sponsor earnout shares</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from restriction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earnout shares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1,999,185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123,837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1,747,746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20,099</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Cancellation of shares used to</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settle payroll tax withholding</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(124,216)</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(124,216)</w:t>
            </w: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on December 31, 2021</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53,786,632</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448,969</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(416,527)</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32,447</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13,794</w:t>
            </w: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704,178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Cancellation of shares used to</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settle payroll tax withholding</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under</w:t>
            </w: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2022 Promissory Note</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3,393,663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0" w:type="dxa"/>
            <w:vAlign w:val="bottom"/>
          </w:tcPr>
          <w:p>
            <w:pPr>
              <w:spacing w:after="0"/>
              <w:rPr>
                <w:sz w:val="1"/>
                <w:szCs w:val="1"/>
                <w:color w:val="auto"/>
              </w:rPr>
            </w:pPr>
          </w:p>
        </w:tc>
      </w:tr>
      <w:tr>
        <w:trPr>
          <w:trHeight w:val="225"/>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under</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ATM program</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20,539,603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38,626</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under</w:t>
            </w: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SEPA</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3,967,939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0" w:type="dxa"/>
            <w:vAlign w:val="bottom"/>
          </w:tcPr>
          <w:p>
            <w:pPr>
              <w:spacing w:after="0"/>
              <w:rPr>
                <w:sz w:val="1"/>
                <w:szCs w:val="1"/>
                <w:color w:val="auto"/>
              </w:rPr>
            </w:pPr>
          </w:p>
        </w:tc>
      </w:tr>
      <w:tr>
        <w:trPr>
          <w:trHeight w:val="225"/>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Commitment fee for SEPA settled</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by common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465,117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(229,813)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(229,813)</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on December 31, 2022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82,653,781</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513,614</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(646,340)</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(132,711)</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Pr>
          <w:p>
            <w:pPr>
              <w:spacing w:after="0"/>
              <w:rPr>
                <w:sz w:val="20"/>
                <w:szCs w:val="20"/>
                <w:color w:val="auto"/>
              </w:rPr>
            </w:pPr>
          </w:p>
        </w:tc>
      </w:tr>
      <w:tr>
        <w:trPr>
          <w:trHeight w:val="27"/>
        </w:trPr>
        <w:tc>
          <w:tcPr>
            <w:tcW w:w="8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8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(229,813)</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(124,216)</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 to reconcile net loss to net cash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15,058</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r>
      <w:tr>
        <w:trPr>
          <w:trHeight w:val="24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from write-down of property, plant and equipment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4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Remeasurement of equity method investment</w:t>
            </w:r>
          </w:p>
        </w:tc>
        <w:tc>
          <w:tcPr>
            <w:tcW w:w="3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from equity in unconsolidated joint venture</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4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accretion and amortization of debt issuance costs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accretion and amortization of debt issuance costs - related party</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r>
      <w:tr>
        <w:trPr>
          <w:trHeight w:val="24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Commitment fee for SEPA settled by common stock - related party</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Loss (gain) on debt extinguishment/(forgiveness)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4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Gain on change in fair value of derivatives - related parties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(19,282)</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4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43"/>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43"/>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Vendor deposits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Contract assets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43"/>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r>
      <w:tr>
        <w:trPr>
          <w:trHeight w:val="243"/>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expenses-related parties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Provision for firm purchase commitments</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w:t>
            </w:r>
          </w:p>
        </w:tc>
      </w:tr>
      <w:tr>
        <w:trPr>
          <w:trHeight w:val="243"/>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Contract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43"/>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Note payable</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18,695</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r>
      <w:tr>
        <w:trPr>
          <w:trHeight w:val="23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(196,857)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(116,147)</w:t>
            </w:r>
          </w:p>
        </w:tc>
      </w:tr>
      <w:tr>
        <w:trPr>
          <w:trHeight w:val="27"/>
        </w:trPr>
        <w:tc>
          <w:tcPr>
            <w:tcW w:w="8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 in notes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notes receivable</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Business acquisition, net of cash acquired</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3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w:t>
            </w:r>
          </w:p>
        </w:tc>
      </w:tr>
      <w:tr>
        <w:trPr>
          <w:trHeight w:val="23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(17,170)</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(23,336)</w:t>
            </w:r>
          </w:p>
        </w:tc>
      </w:tr>
      <w:tr>
        <w:trPr>
          <w:trHeight w:val="27"/>
        </w:trPr>
        <w:tc>
          <w:tcPr>
            <w:tcW w:w="8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issuance of convertible notes payable – related party, net of discount</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7"/>
        </w:trPr>
        <w:tc>
          <w:tcPr>
            <w:tcW w:w="8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Pr>
          <w:p>
            <w:pPr>
              <w:spacing w:after="0"/>
              <w:rPr>
                <w:sz w:val="20"/>
                <w:szCs w:val="20"/>
                <w:color w:val="auto"/>
              </w:rPr>
            </w:pPr>
          </w:p>
        </w:tc>
      </w:tr>
      <w:tr>
        <w:trPr>
          <w:trHeight w:val="27"/>
        </w:trPr>
        <w:tc>
          <w:tcPr>
            <w:tcW w:w="8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80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debt issuance costs - related party</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received from the Senior Secured Term Loan, net of discount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(4,370)</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other financing</w:t>
            </w:r>
          </w:p>
        </w:tc>
        <w:tc>
          <w:tcPr>
            <w:tcW w:w="3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equipment financing facility</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equipment financing facility</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common stock under ATM program, net of commissions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common stock under SEPA</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exercise of public warrants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20,099</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 of shares from employees for income tax withholding purposes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43"/>
        </w:trPr>
        <w:tc>
          <w:tcPr>
            <w:tcW w:w="8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7"/>
        </w:trPr>
        <w:tc>
          <w:tcPr>
            <w:tcW w:w="80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139,544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123,322</w:t>
            </w:r>
          </w:p>
        </w:tc>
      </w:tr>
      <w:tr>
        <w:trPr>
          <w:trHeight w:val="250"/>
        </w:trPr>
        <w:tc>
          <w:tcPr>
            <w:tcW w:w="80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on cash, cash equivalents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(16,161)</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year</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105,692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121,853</w:t>
            </w:r>
          </w:p>
        </w:tc>
      </w:tr>
      <w:tr>
        <w:trPr>
          <w:trHeight w:val="26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year</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31,223</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105,692</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operating lease assets in exchange for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4,351</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Fixed assets acquired with finance lease</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and unpaid capital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convertible notes for interest paid-in-kind</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common stock under June 2022 Promissory Note</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and unpaid debt issuance costs</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0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7"/>
        </w:trPr>
        <w:tc>
          <w:tcPr>
            <w:tcW w:w="8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Overview</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Eos Energy Enterprises, Inc. (the “Company,” “we,” “us,” “our,” and “Eos”) designs, develops, manufactures, and markets innovative energy storage solutions for utility-scale, microgrid, and commercial &amp; industrial (“C&amp;I”) applications. Eos developed a broad range of intellectual property with multiple patents covering unique battery chemistry, mechanical product design, energy block configuration and a software operating system (Battery Management</w:t>
      </w:r>
    </w:p>
    <w:p>
      <w:pPr>
        <w:spacing w:after="0"/>
        <w:rPr>
          <w:sz w:val="20"/>
          <w:szCs w:val="20"/>
          <w:color w:val="auto"/>
        </w:rPr>
      </w:pPr>
      <w:r>
        <w:rPr>
          <w:rFonts w:ascii="Times New Roman" w:cs="Times New Roman" w:eastAsia="Times New Roman" w:hAnsi="Times New Roman"/>
          <w:sz w:val="18"/>
          <w:szCs w:val="18"/>
          <w:color w:val="auto"/>
        </w:rPr>
        <w:t>System). The Company has only one operating and reportable segment.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Going Concern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growth company in the early commercialization stage of its lifecycle, Eos is subject to inherent risks and uncertainties associated with the</w:t>
      </w:r>
    </w:p>
    <w:p>
      <w:pPr>
        <w:spacing w:after="0" w:line="5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development of an enterprise. In this regard, substantially all of the Company’s efforts to date have been devoted to the development and manufacturing of battery energy storage systems and complimentary products and services, recruitment of management and technical staff, deployment of capital to expand</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operations to meet customer demand and raising capital to fund the Company’s development. As a result of these efforts, the Company has incurred significant losses and negative cash flows from operations since its inception and expects to continue to incur such losses and negative cash flows for the foreseeable future until such time that the Company can reach a scale of profitability to sustain its operations.</w:t>
      </w:r>
    </w:p>
    <w:p>
      <w:pPr>
        <w:spacing w:after="0" w:line="10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In order to execute its development strategy, the Company has historically relied on outside capital through the issuance of equity, debt, and borrowings under financing arrangements (collectively “outside capital”) to fund its cost structure and expects to continue to rely on outside capital for the foreseeable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While the Company believes it will eventually reach a scale of profitability to sustain its operations, there can be no assurance the Company will be</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able to achieve such profitability or do so in a manner that does not require its continued reliance on outside capital. Moreover, while the Company has historically been successful in raising outside capital, there can be no assurance the Company will be able to continue to obtain outside capital in the future or do so on terms that are acceptable to the Company.</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the date the accompanying consolidated financial statements were issued (the “issuance date”), management evaluated the significance of the following negative financial conditions in accordance with Accounting Standard Codification 205-40, Going Concern:</w:t>
      </w:r>
    </w:p>
    <w:p>
      <w:pPr>
        <w:spacing w:after="0" w:line="54" w:lineRule="exact"/>
        <w:rPr>
          <w:sz w:val="20"/>
          <w:szCs w:val="20"/>
          <w:color w:val="auto"/>
        </w:rPr>
      </w:pPr>
    </w:p>
    <w:p>
      <w:pPr>
        <w:jc w:val="both"/>
        <w:ind w:left="66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its inception, the Company has incurred significant losses and negative cash from operations in order to fund its development. During the year ended December 31, 2022, the Company incurred a net loss of $(229,813), incurred negative cash flows from operations of $(196,857), and had an accumulated deficit of $(646,340) as of December 31, 2022.</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December 31, 2022, the Company had $17,076 of unrestricted cash and cash equivalents available to fund the Company’s operations, no additional borrowings available to fund its operations under pre-existing financing arrangements (see Note 13,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and negative working capital of $(5,429), inclusive of $5,560 of outstanding debt that is currently scheduled to mature within the next twelve months beyond the issuance date.</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While the Company has available capacity under certain pre-existing arrangements to issue shares of the Company’s common stock, including under the SEPA and the ATM offering program, (see also Note 20, </w:t>
      </w:r>
      <w:r>
        <w:rPr>
          <w:rFonts w:ascii="Times New Roman" w:cs="Times New Roman" w:eastAsia="Times New Roman" w:hAnsi="Times New Roman"/>
          <w:sz w:val="18"/>
          <w:szCs w:val="18"/>
          <w:i w:val="1"/>
          <w:iCs w:val="1"/>
          <w:color w:val="auto"/>
        </w:rPr>
        <w:t>Shareholders’ Equity</w:t>
      </w:r>
      <w:r>
        <w:rPr>
          <w:rFonts w:ascii="Times New Roman" w:cs="Times New Roman" w:eastAsia="Times New Roman" w:hAnsi="Times New Roman"/>
          <w:sz w:val="18"/>
          <w:szCs w:val="18"/>
          <w:color w:val="auto"/>
        </w:rPr>
        <w:t>) to aid in funding the Company’s operations, the Company’s ability to secure such funding is dependent upon certain conditions, such as investors’ willingness to purchase the Company’s common stock and at a price that is acceptable to the Company. Accordingly, as of the issuance date there is no assurance the Company will be able to secure funding under these pre-existing arrangements or on terms that are acceptable to the Company.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6" w:lineRule="exact"/>
        <w:rPr>
          <w:sz w:val="20"/>
          <w:szCs w:val="20"/>
          <w:color w:val="auto"/>
        </w:rPr>
      </w:pPr>
    </w:p>
    <w:p>
      <w:pPr>
        <w:ind w:left="180" w:hanging="172"/>
        <w:spacing w:after="0"/>
        <w:tabs>
          <w:tab w:leader="none" w:pos="1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 (cont.)</w:t>
      </w:r>
    </w:p>
    <w:p>
      <w:pPr>
        <w:spacing w:after="0" w:line="200" w:lineRule="exact"/>
        <w:rPr>
          <w:rFonts w:ascii="Times New Roman" w:cs="Times New Roman" w:eastAsia="Times New Roman" w:hAnsi="Times New Roman"/>
          <w:sz w:val="18"/>
          <w:szCs w:val="18"/>
          <w:b w:val="1"/>
          <w:bCs w:val="1"/>
          <w:color w:val="auto"/>
        </w:rPr>
      </w:pPr>
    </w:p>
    <w:p>
      <w:pPr>
        <w:spacing w:after="0" w:line="285" w:lineRule="exact"/>
        <w:rPr>
          <w:rFonts w:ascii="Times New Roman" w:cs="Times New Roman" w:eastAsia="Times New Roman" w:hAnsi="Times New Roman"/>
          <w:sz w:val="18"/>
          <w:szCs w:val="18"/>
          <w:b w:val="1"/>
          <w:bCs w:val="1"/>
          <w:color w:val="auto"/>
        </w:rPr>
      </w:pPr>
    </w:p>
    <w:p>
      <w:pPr>
        <w:jc w:val="both"/>
        <w:ind w:left="660" w:hanging="328"/>
        <w:spacing w:after="0" w:line="256" w:lineRule="auto"/>
        <w:tabs>
          <w:tab w:leader="none" w:pos="65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Similarly, while the Company has historically been successful in raising additional outside capital to fund the Company’s operations, as of the issuance date no assurance can be provided the Company will be successful in obtaining additional outside capital or on terms that are acceptable to the Company. In this regard, the Company is currently in the process of negotiating additional outside capital under the U.S. Department of Energy’s (“DOE”) Loan Guarantee Solicitation for Applications for Renewable Energy Projects and Efficient Energy Projects (the “DOE Loan Program”). As of the issuance date, the Company remains in the due diligence phase of negotiations with the DOE, however, there can be no assurance that the Company will be able to secure such loan or on terms that are acceptable to the Company.</w:t>
      </w:r>
    </w:p>
    <w:p>
      <w:pPr>
        <w:spacing w:after="0" w:line="7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to remain in compliance with a quarterly minimum financial liquidity covenant under its Senior Secured Term Loan. While the Company was in compliance with this covenant as of December 31, 2022, and expects to remain in compliance as of March 31, 2023, absent the Company’s ability to secure additional outside capital, the Company may be unable to remain in compliance with this covenant beginning on June 30, 2023 and thereafter. In the event the Company is unable to remain in compliance with the minimum financial liquidity covenant and the other nonfinancial covenants required by the Senior Secured Term Loan, and the Company is further unable to cure such noncompliance or secure a waiver, Atlas may, at its discretion, exercise any and all of its existing rights and remedies, which may include, among other things, entering into a forbearance agreement with the Company, and/or asserting its rights in the Company’s assets securing the loan. Moreover, the Company’s other lenders may exercise similar rights and remedies under the cross-default provisions of their respective borrowing arrangements with the Company.</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Absent an ability to secure additional outside capital in the near term, the Company will be unable to meet its obligations as they become due over the next twelve months beyond the issuance date.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Company’s ongoing efforts to raise additional outside capital prove unsuccessful, management will be required to seek other strategic alternatives, which may include, among others, a significant curtailment in the Company’s operations, a sale of certain of the Company’s assets, a sale of the entire Company to strategic or financial investors, and/or allowing the Company to become insolvent.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uncertainties raise substantial doubt about the Company’s ability to continue as a going concern. The accompanying consolidated financial statements have been prepared on the basis that the Company will continue to operate as a going concern, which contemplates that the Company will be able to realize assets and settle liabilities and commitments in the normal course of business for the foreseeable future. Accordingly, the accompanying consolidated financial statements do not include any adjustments that may result from the outcome of these uncertainties.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follows accounting standards established by the Financial Accounting Standards Board (“FASB”) to ensure consistent reporting of financial condition, results of operations and cash flows. References to accounting principles generally accepted in the United States (“GAAP”) in these notes are to the FASB Accounting Standards Codification™ (“ASC”) and related updates (“ASU”). The financial statements include the accounts of the Company and its subsidiaries and have been prepared in accordance with GAAP. All intercompany transactions and balances have been eliminated in consolidation.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 of Prior Year Presentation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follows the provisions of ASC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The Company’s foreign subsidiaries use the local currency of their respective countries as their functional currency. The assets and liabilities of foreign operations are translated at the exchange rates in effect at the balance sheet date. The operating results of foreign operations are translated at weighted average exchange rates. The related translation gains or losses are reported as a separate component of shareholders’ (deficit) equity in accumulated other comprehensive loss. Gains and losses from foreign currency transactions, which were insignificant for years ended December 31, 2022 and 2021, are included as other income (expense) in the consolidated statements of operations and comprehensive loss.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 of revenues and expenses during the reporting period. Actual results could differ from those estimates.</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most significant estimates in the consolidated financial statements include the calculation of the warranty liability and valuation of embedded derivatives within certain of our debt obligations.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Expected Credit Losses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the creditworthiness of its customers. If the collection of any specific receivable is doubtful, an allowance is recorded in the allowance for expected credit losses. As of December 31, 2022 and 2021, the allowances for expected credit loss related to Accounts Receivable was $3 and $9, respectively. The Company also has an immaterial allowance related to its Notes Receivable, net, which is included on the accompanying consolidated balance sheets.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the acquisition of a business using the acquisition method of accounting and allocates the purchase price of acquired entities to the underlying tangible and identifiable intangible assets acquired and liabilities assumed based on their estimated fair values, with any excess recorded as goodwill. The operating results of acquired businesses are included in the Company’s results of operations beginning as of their effective acquisition dates. Additional information regarding acquisitions can be found in Note 3,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Cash and cash equivalents are recorded at cost, which approximates fair value.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Embedded derivatives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debt financings contain embedded derivatives, such as conversion features in our Convertible Notes- Related Party, as well as in our Yorkville Convertible Promissory Note. The Company evaluates each debt agreement to determine whether the embedded derivative feature requires bifurcation from the host liability, in which case would require to be accounted for as a derivative liability. The Company uses valuation models to estimate the fair value of the embedded derivatives. The change in fair value of the embedded derivatives is presented separately on the consolidated statements of operations and comprehensive loss.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the provisions of ASC Topic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basic earnings per share (“EPS”) is computed by dividing earnings available to common shareholders by the weighted average number of shares of common stock outstanding during the period. Other potentially dilutive common shares, and the related impact to earnings, are considered when calculating EPS on a diluted basis. See Note 20, </w:t>
      </w:r>
      <w:r>
        <w:rPr>
          <w:rFonts w:ascii="Times New Roman" w:cs="Times New Roman" w:eastAsia="Times New Roman" w:hAnsi="Times New Roman"/>
          <w:sz w:val="18"/>
          <w:szCs w:val="18"/>
          <w:i w:val="1"/>
          <w:iCs w:val="1"/>
          <w:color w:val="auto"/>
        </w:rPr>
        <w:t>Shareholders' Equity</w:t>
      </w:r>
      <w:r>
        <w:rPr>
          <w:rFonts w:ascii="Times New Roman" w:cs="Times New Roman" w:eastAsia="Times New Roman" w:hAnsi="Times New Roman"/>
          <w:sz w:val="18"/>
          <w:szCs w:val="18"/>
          <w:color w:val="auto"/>
        </w:rPr>
        <w:t xml:space="preserve"> for further information.</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amounts for the Company’s financial instruments classified as current assets and liabilities, including cash and cash equivalents, restricted cash, accounts receivable, contract assets, contract liabilities and accounts payable approximate fair value due to their short maturities.</w:t>
      </w:r>
    </w:p>
    <w:p>
      <w:pPr>
        <w:spacing w:after="0" w:line="94"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44"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10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Level 3 - Inputs that are generally unobservable and typically reflect management’s estimate of assumptions that market participants would use in pricing the asset or liability.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identifiable net assets of businesses acquired. Goodwill is reviewed for impairment each year using a qualitative or quantitative process that is performed at least annually or whenever events or circumstances indicate a likely reduction in the fair value of a reporting unit below its carrying amount.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performing a quantitative evaluation, an assessment of qualitative factors may be performed to determine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w:t>
      </w:r>
    </w:p>
    <w:p>
      <w:pPr>
        <w:spacing w:after="0" w:line="11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completed the annual goodwill impairment test as of November 30, 2022, using a qualitative assessment for the reporting unit. The Company concluded that it is more likely than not that the fair value of the reporting unit is greater than the carrying amount, and a quantitative goodwill impairment test was not necessary. As a result of the annual assessment, there were no impairment charges for the year ended December 31, 2022.</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Government Grants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grants received or receivable from government agencies as an offset to the related costs for which the grants are intended to compensate the Company. The costs of satisfying the Company’s obligations under the respective grant agreements are recognized as expense when incurred. Once the expenses are approved by the government agencies the Company records the grant receivable and related grant income. Grants received from government agencies for which expenses have not been incurred are included within accrued expenses.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reviews its long-lived assets for impairment whenever events or changes in circumstances indicate that the carrying amount of the assets may not be recoverable. An assessment is performed to determine whether the depreciation and amortization of long-lived assets over their remaining lives can be recovered through projected undiscounted future cash flows. The amount of any long-lived asset impairment is measured based on fair value and is charged to operations in the period in which a long-lived assets impairment is determined by management. During the fourth quarter of 2022, the Company recorded a loss from write-down of property, plant and equipment (see Note 7, </w:t>
      </w:r>
      <w:r>
        <w:rPr>
          <w:rFonts w:ascii="Times New Roman" w:cs="Times New Roman" w:eastAsia="Times New Roman" w:hAnsi="Times New Roman"/>
          <w:sz w:val="18"/>
          <w:szCs w:val="18"/>
          <w:i w:val="1"/>
          <w:iCs w:val="1"/>
          <w:color w:val="auto"/>
        </w:rPr>
        <w:t>Property, Plant &amp; Equipment</w:t>
      </w:r>
      <w:r>
        <w:rPr>
          <w:rFonts w:ascii="Times New Roman" w:cs="Times New Roman" w:eastAsia="Times New Roman" w:hAnsi="Times New Roman"/>
          <w:sz w:val="18"/>
          <w:szCs w:val="18"/>
          <w:color w:val="auto"/>
        </w:rPr>
        <w:t xml:space="preserve"> for further discussion)</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and Deferred Taxes</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complies with the accounting and reporting requirements of FASB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Income taxes are computed under the asset and liability method reflecting both current and deferred taxes, which reflect the tax impact of all events included in the financial statements. The balance sheet approach (i) reflects a current tax liability or asset recognized for estimated taxes payable or refundable on tax returns for the current and prior years, (ii) reflects a deferred tax liability or asset recognized for the estimated future tax effects attributable to temporary differences and carryforwards, (iii) measures current and deferred tax liabilities and assets using the enacted tax rate of which the effects of future changes in tax laws or rates are not anticipated, and (iv) reduces deferred tax assets, if necessary, by the amount of any tax benefits that, based on available evidence, are not expected to be realized.</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financial statement recognition and measurement of tax positions taken or expected to be taken in a tax return. The Company recognizes deferred tax assets only to the extent that management concludes these assets are more-likely-than-not to be realized. Significant judgement is required in assessing and estimating the more-likely-than-not tax consequences of the events included in the financial statements. Management considers all available positive and negative evidence, including future reversals of existing temporary differences, projected future taxable income, tax-planning strategies, and results of recent operations.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if any, as income tax expense. The Company records uncertain tax positions in accordance with ASC 740 on the basis of a two-step process in which (i) management determines whether it is more-likely-than-not that the tax position will be sustained on the technical merits of the position and (ii) for those tax positions that meet the more-likely-than-not recognition threshold, the Company recognizes the largest amount of tax benefit that is more than 50 percent likely to be realized upon ultimate settlement with the related tax authority.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are stated at their historical cost and amortized on a straight-line basis over their expected useful lives.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net</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computed using standard cost which approximates actual cost on a first-in, first-out basis. The Company records inventory when it takes delivery and title to the product according to the terms of each supply contract.</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its ending inventories for excess quantities and obsolescence. A valuation allowance is recorded for inventories that management considers excess or obsolete. Management considers forecasted demand in relation to the inventory on hand, competitiveness of product offerings, market conditions and product life cycles when determining excess and obsolescence and net realizable value adjustments. Once inventory is written down and a new cost basis is established, it is not written back up if demand increases.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its leases under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Under ASC 842, the right-of-use (“ROU”) assets represent our right to use an underlying asset for the lease term and lease liabilities represent our obligation to make lease payments arising from the lease. ROU assets and lease liabilities are recognized at the lease commencement date based on the present value of lease payments over the lease term. The discount rate used to calculate the present value represents our incremental borrowing rate and is calculated based on the treasury yield curve that is commensurate with the term of each lease, and a spread representative of our borrowing costs. Our lease terms may include options to extend or terminate the lease when it is reasonably certain that we will exercise that option. Leases may be classified as either operating leases or finance leases. Leases with an initial term of 12 months or less are excluded from the scope of ROU assets and liabilities, as allowed by ASC 842.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The Company has elected the practical expedient to account for non-lease components as part of the lease component for all asset classes. The majority of the Company's lease agreements are real estate leases.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is stated at cost, less accumulated depreciation. Depreciation is computed on a straight-line basis over the estimated useful lives of the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 are amortized on a straight-line basis over the shorter of the estimated useful lives of the improvements or the life of the lease.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Maintenance and repair expenditures are expensed as incurred. Expenditures which significantly improve or extend the life of an asset are capitalized.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which include materials, supplies, salaries, benefits and other costs related to research, development and testing of products.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earned from the sales, installation, and commissioning of BESS, the terms of which are dictated by supply agreements the Company enters into</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its customers. Revenue is recognized to depict the transfer of promised goods and/or services to customers in an amount that reflects the consideration to which the Company expects to be entitled in exchange for transferring the promised goods and/or services to the customer. As most contracts contain multiple goods delivered to the customer at different times, the transaction price is allocated to each good based on the relative standalone selling price and revenue is recognized when or as the performance obligation is satisfied. The Company uses either the expected cost-plus margin approach or adjusted market assessment approach to estimate the standalone selling prices of its goods and services.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Product Revenue</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Product revenue is comprised of revenue from the BESS, along with other products, including inverters and spare parts, and is recognized at the point in time at which control passes, the determination of which is made in accordance with ASC 606, based on indicators of control. Generally, passage of control will be determined based upon the shipping terms, which vary by contract. Many of the Company’s contracts with customers contain some component of variable consideration. The Company estimates variable consideration, such as refunds, penalties including liquidated damages, and the customer’s right to return, using the expected value method, and adjusts transaction price for its estimate of variable consideration. We update our estimates of variable consideration and adjust the transaction price accordingly by recording an adjustment to net revenue and refund liability with respect to variable consideration such as penalties, refunds, and credits to customers. The Company has concluded that its estimation of variable consideration results in an adjustment to the transaction price such that it is probable that a significant reversal of cumulative revenue would not occur in the future.</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Shipping and handling costs are included in cost of goods sold. Sales tax collected from customers are recorded on a net basis and therefore, not included in revenue. Sales tax is recorded as a liability (payable) until remitted to governmental authorities.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Service Revenue</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Service revenue includes commissioning, installation and engineering, procurement and construction revenue. As the customer simultaneously receives and consumes the benefits provided by the Company’s performance, these performance obligations are satisfied over time. The Company uses an input method to measure progress towards satisfaction. If at any time management determines that in the case of a particular contract total costs will exceed total contract revenue, a provision for the entire anticipated contract loss is recorded at that time.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Warranty related revenue</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a standard two-year limited warranty against defects, the Company offers customers the option to purchase an extended warranty, a maintenance and monitoring service and/or a performance guarantee. As the standard two-year limited warranty is classified as an assurance-type warranty, based on criteria set forth in ASC 606, it is not accounted for as a separate performance obligation. The extended warranty, maintenance and monitoring service warranty and performance guarantee, however, represent distinct services and are accounted for as separate performance obligations based on a time-lapsed measure of progress resulting in a ratable recognition of revenue over the respective performance period. For these performance obligations, at any time if management determines that in the case of a particular warranty that total costs will exceed total warranty revenue, a provision for the entire anticipated warranty loss is recorded at that time and included in warranty liability on the consolidated balance sheets.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Assets and Contract Liabilities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contract assets for certain contracts in which revenue recognition performance obligations have been satisfied, however invoicing to the customer has not yet occurred. Contract liabilities primarily relate to advance consideration received from customers in advance of the Company’s satisfying performance obligations under contractual arrangements. Contract balances are reported in a net contract asset or liability position on a contract-by-contract basis at the end of each reporting period. Payment terms are generally aligned with meeting various contractual milestones, beginning with purchase order execution and extending through manufacturing release, ready to ship, delivery and commissioning.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Practical Expedients and Exemptions</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permitted by ASC 606, </w:t>
      </w:r>
      <w:r>
        <w:rPr>
          <w:rFonts w:ascii="Times New Roman" w:cs="Times New Roman" w:eastAsia="Times New Roman" w:hAnsi="Times New Roman"/>
          <w:sz w:val="18"/>
          <w:szCs w:val="18"/>
          <w:i w:val="1"/>
          <w:iCs w:val="1"/>
          <w:color w:val="auto"/>
        </w:rPr>
        <w:t>Revenue from Contracts with Customers (“ASC 606”)</w:t>
      </w:r>
      <w:r>
        <w:rPr>
          <w:rFonts w:ascii="Times New Roman" w:cs="Times New Roman" w:eastAsia="Times New Roman" w:hAnsi="Times New Roman"/>
          <w:sz w:val="18"/>
          <w:szCs w:val="18"/>
          <w:color w:val="auto"/>
        </w:rPr>
        <w:t>, the Company elected to use certain practical expedients. The Company treats costs associated with obtaining new contracts as expenses when incurred if the amortization period of the asset recognized by the Company is one year or less.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decision-maker (“CODM”) is its Chief Executive Officer and President. Operating segments are defined as components of an entity for which separate financial information is available and that is regularly reviewed by the CODM in deciding how to allocate resources to an individual segment and in assessing performance. The Company’s CODM reviews financial information presented on a consolidated basis for purposes of making operating decisions, allocating resources, and evaluating financial performance. As such, the Company has determined that it operates in one operating and one reportable segment.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Stock-based compensation is estimated at the grant date based on the fair value of the award and is recognized as expense over the requisite service period of the award. The Company uses the Black-Scholes option pricing model to estimate the fair value of awards, and generally these awards only have service conditions. The Company recognizes compensation cost on a straight-line basis over the requisite service period of the award, which is generally the award vesting term. For awards with performance conditions, we recognize compensation costs using an accelerated attribution method over the vesting period. Compensation costs are recognized only if it is probable that the performance condition will be satisfied. Determining the appropriate fair value model and related assumptions requires judgment, including estimating volatility of the Company’s common stock and expected terms. The expected volatility rates are estimated based on historical and implied volatilities of comparable publicly traded companies. The expected term represents the average time that the options that vest are expected to be outstanding based on the vesting provisions, which is determined through the simplified method, since the Company does not have sufficient historical experience regarding the exercise of options. The Company has elected to recognize forfeitures as incurred.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Warranty liability</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Warranty obligations are incurred in connection with the sale of the Company’s products. Costs to provide for warranty obligations are estimated and recorded as a liability at the time of recording the sale. Warranty reserves include management’s best estimate of the projected costs to repair or to replace any items under warranty, which is based on various factors, including the use of actual claim data to date, results of lab testing, factory quality data, and field monitoring.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2021, the Financial Accounting Standards Board (FASB) issued Accounting Standards Update (ASU) 2021-10, </w:t>
      </w:r>
      <w:r>
        <w:rPr>
          <w:rFonts w:ascii="Times New Roman" w:cs="Times New Roman" w:eastAsia="Times New Roman" w:hAnsi="Times New Roman"/>
          <w:sz w:val="18"/>
          <w:szCs w:val="18"/>
          <w:i w:val="1"/>
          <w:iCs w:val="1"/>
          <w:color w:val="auto"/>
        </w:rPr>
        <w:t>Disclosures by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Entities about Government Assistance </w:t>
      </w:r>
      <w:r>
        <w:rPr>
          <w:rFonts w:ascii="Times New Roman" w:cs="Times New Roman" w:eastAsia="Times New Roman" w:hAnsi="Times New Roman"/>
          <w:sz w:val="18"/>
          <w:szCs w:val="18"/>
          <w:color w:val="auto"/>
        </w:rPr>
        <w:t>(“Topic 832”). The amendments in this Update require disclosures about transactions with a government that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accounted for by analogizing to a grant or contribution accounting model to increase transparency about (1) the types of transactions, (2) the accounting for the transactions, and (3) the effect of the transactions on an entity's financial statements. The Company adopted this standard prospectively as of January 1, 2022. The adoption of this standard update did not have a material impact on the Company’s consolidated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Accounting for Contract Assets and Contract Liabilities from Contracts with Customers</w:t>
      </w:r>
      <w:r>
        <w:rPr>
          <w:rFonts w:ascii="Times New Roman" w:cs="Times New Roman" w:eastAsia="Times New Roman" w:hAnsi="Times New Roman"/>
          <w:sz w:val="18"/>
          <w:szCs w:val="18"/>
          <w:color w:val="auto"/>
        </w:rPr>
        <w:t>. The amendments in this standard update address diversity and inconsistency related to the recognition and measurement of contract assets and contract liabilities acquired in a business combination and require that an acquirer recognize and measure contract assets and contract liabilities acquired in a business combination in accordance with ASC 606. This standard update is effective for fiscal years beginning after December 15, 2022, including interim periods within those fiscal years and should be applied prospectively to business combinations occurring on or after the effective date of the amendments. Early adoption of the standard is permitted, including adoption in an interim period. The Company has assessed the standard and concluded that this would only be applicable for acquisitions that the Company enters into prospectively only if the target company has contract assets and contract liabilities.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8, 2021, the Company entered into a unit purchase agreement (the “Purchase Agreement”) with Holtec Power, Inc. (“Holtec”). In accordance with the terms and conditions of the Purchase Agreement, the Company purchased from Holtec the remaining 51% interest in HI-POWER, LLC (“Hi-Power”) that was not already owned by the Company. Hi-Power was incorporated as a joint venture between the Company and Holtec in 2019. In connection with the transaction, the Company also entered into a transition services agreement and a sublease with Holtec. The transaction closed on April 9, 2021 (the “Acquisition Date”). Following the consummation of the transactions set forth in the Purchase Agreement (the “Transactions”), Hi-Power became a 100% indirect, wholly-owned subsidiary of the Company and the obligations of the parties under the Hi-Power joint venture terminated.</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purchase price of $25,000 was to be paid in annual increments of $5,000 beginning on May 31, 2021, as evidenced by a secured promissory note secured by the assets of the Company. The Purchase Agreement also required that the Company pay to Holtec, on the closing of the Transactions, cash equal to $10,283. Total payments to Holtec under this Purchase Agreement will be $35,283. During the third quarter of 2022, the Company repaid all outstanding amounts under the Purchase Agreement, which resulted in a loss on debt extinguishment of $942.</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these payments was $33,474 at the Acquisition Date and included $32,750 allocated to the termination of a pre-existing agreement with Holtec and $724 allocated to the acquisition.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obligations and rights of both parties under the pre-existing joint venture agreement were terminated at the time of acquisition and $32,750 of the fair value of the consideration transferred was allocated to the termination of the agreement, which resulted in a loss on the pre-existing agreement of $30,368 for the year ended December 31, 2021.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Acquisition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acquisition of the remaining 51% ownership interest in Hi-Power, the Company accounted for its initial 49% ownership interest in Hi-Power as an unconsolidated joint venture under the equity method of accounting. In connection with the acquisition of the remaining 51% ownership interest in Hi-Power, the Company’s consolidated financial statements include all of the accounts of Hi-Power, and all intercompany balances and transactions have been eliminated in consolidation. The results of operations of Hi-Power have been included in the Company’s consolidated financial statements since the date of acquisition.</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consideration transferred for our now 100% ownership interest in connection with the acquisition, net of intercompany balances between the Company and Hi-Power, totaled $418, of which $205 represents the fair value of the Company’s previously held 49% ownership interest in Hi-Power.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remeasured the previously held 49% ownership interest in Hi-Power at its Acquisition Date fair value. As of the Acquisition Date, a loss of $7,480 was recognized in earnings for the remeasurement of the previously held 49% ownership interest.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fair values of the assets acquired and liabilities assumed as of the acquisition date:</w:t>
            </w:r>
          </w:p>
        </w:tc>
        <w:tc>
          <w:tcPr>
            <w:tcW w:w="4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0"/>
        </w:trPr>
        <w:tc>
          <w:tcPr>
            <w:tcW w:w="9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6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9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r>
      <w:tr>
        <w:trPr>
          <w:trHeight w:val="24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Vendor deposits</w:t>
            </w:r>
          </w:p>
        </w:tc>
        <w:tc>
          <w:tcPr>
            <w:tcW w:w="4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7"/>
        </w:trPr>
        <w:tc>
          <w:tcPr>
            <w:tcW w:w="9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w:t>
            </w:r>
          </w:p>
        </w:tc>
      </w:tr>
      <w:tr>
        <w:trPr>
          <w:trHeight w:val="27"/>
        </w:trPr>
        <w:tc>
          <w:tcPr>
            <w:tcW w:w="9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r>
      <w:tr>
        <w:trPr>
          <w:trHeight w:val="24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firm purchase commitments</w:t>
            </w:r>
          </w:p>
        </w:tc>
        <w:tc>
          <w:tcPr>
            <w:tcW w:w="4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w:t>
            </w:r>
          </w:p>
        </w:tc>
      </w:tr>
      <w:tr>
        <w:trPr>
          <w:trHeight w:val="27"/>
        </w:trPr>
        <w:tc>
          <w:tcPr>
            <w:tcW w:w="9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8"/>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assets acquired, net of cash and cash equivalents of $53 </w:t>
            </w:r>
            <w:r>
              <w:rPr>
                <w:rFonts w:ascii="Times New Roman" w:cs="Times New Roman" w:eastAsia="Times New Roman" w:hAnsi="Times New Roman"/>
                <w:sz w:val="23"/>
                <w:szCs w:val="23"/>
                <w:color w:val="auto"/>
                <w:vertAlign w:val="superscript"/>
              </w:rPr>
              <w:t>(1)</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80" w:hanging="172"/>
        <w:spacing w:after="0"/>
        <w:tabs>
          <w:tab w:leader="none" w:pos="180"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Net assets acquired exclude the intercompany balance between Eos and Hi-Power and cash acquired.</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the goodwill recognized as part of the acquisition will be deductible for U.S. income tax purposes. The Company also incurred insignificant non-consideration acquisition expenses including legal and accounting services related to the acquisition, which are recorded in selling, general and administrative expenses on the Company’s consolidated statements of operations and comprehensive loss.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Revenue Recognition</w:t>
            </w: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6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revenues comprised of the following:</w:t>
            </w: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46"/>
        </w:trPr>
        <w:tc>
          <w:tcPr>
            <w:tcW w:w="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360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640" w:type="dxa"/>
            <w:vAlign w:val="bottom"/>
          </w:tcPr>
          <w:p>
            <w:pPr>
              <w:spacing w:after="0"/>
              <w:rPr>
                <w:sz w:val="24"/>
                <w:szCs w:val="24"/>
                <w:color w:val="auto"/>
              </w:rPr>
            </w:pPr>
          </w:p>
        </w:tc>
      </w:tr>
      <w:tr>
        <w:trPr>
          <w:trHeight w:val="27"/>
        </w:trPr>
        <w:tc>
          <w:tcPr>
            <w:tcW w:w="8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4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1340" w:type="dxa"/>
            <w:vAlign w:val="bottom"/>
            <w:tcBorders>
              <w:bottom w:val="single" w:sz="8" w:color="CCEEFF"/>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r>
      <w:tr>
        <w:trPr>
          <w:trHeight w:val="243"/>
        </w:trPr>
        <w:tc>
          <w:tcPr>
            <w:tcW w:w="80" w:type="dxa"/>
            <w:vAlign w:val="bottom"/>
          </w:tcPr>
          <w:p>
            <w:pPr>
              <w:spacing w:after="0"/>
              <w:rPr>
                <w:sz w:val="21"/>
                <w:szCs w:val="21"/>
                <w:color w:val="auto"/>
              </w:rPr>
            </w:pPr>
          </w:p>
        </w:tc>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1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80" w:type="dxa"/>
            <w:vAlign w:val="bottom"/>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8"/>
        </w:trPr>
        <w:tc>
          <w:tcPr>
            <w:tcW w:w="80" w:type="dxa"/>
            <w:vAlign w:val="bottom"/>
          </w:tcPr>
          <w:p>
            <w:pPr>
              <w:spacing w:after="0"/>
              <w:rPr>
                <w:sz w:val="24"/>
                <w:szCs w:val="24"/>
                <w:color w:val="auto"/>
              </w:rPr>
            </w:pPr>
          </w:p>
        </w:tc>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340" w:type="dxa"/>
            <w:vAlign w:val="bottom"/>
            <w:tcBorders>
              <w:bottom w:val="single" w:sz="8" w:color="auto"/>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17,924</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w:t>
            </w:r>
          </w:p>
        </w:tc>
      </w:tr>
      <w:tr>
        <w:trPr>
          <w:trHeight w:val="20"/>
        </w:trPr>
        <w:tc>
          <w:tcPr>
            <w:tcW w:w="80" w:type="dxa"/>
            <w:vAlign w:val="bottom"/>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we had one customer who accounted for 80.8% of the total revenue. For the year ended December 31, 2021, we had two customers, who accounted for 36.8% and 21.4% of the total revenue.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 Contract assets, current and contract liabilities, current and long-term are included separately on the consolidated balance sheets and contract assets, long-term are included under other assets, net.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4. Revenue Recognition </w:t>
            </w:r>
            <w:r>
              <w:rPr>
                <w:rFonts w:ascii="Times New Roman" w:cs="Times New Roman" w:eastAsia="Times New Roman" w:hAnsi="Times New Roman"/>
                <w:sz w:val="18"/>
                <w:szCs w:val="18"/>
                <w:color w:val="auto"/>
              </w:rPr>
              <w:t>(cont.)</w:t>
            </w: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634"/>
        </w:trPr>
        <w:tc>
          <w:tcPr>
            <w:tcW w:w="7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20" w:type="dxa"/>
            <w:vAlign w:val="bottom"/>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0" w:type="dxa"/>
            <w:vAlign w:val="bottom"/>
          </w:tcPr>
          <w:p>
            <w:pPr>
              <w:spacing w:after="0"/>
              <w:rPr>
                <w:sz w:val="24"/>
                <w:szCs w:val="24"/>
                <w:color w:val="auto"/>
              </w:rPr>
            </w:pPr>
          </w:p>
        </w:tc>
      </w:tr>
      <w:tr>
        <w:trPr>
          <w:trHeight w:val="27"/>
        </w:trPr>
        <w:tc>
          <w:tcPr>
            <w:tcW w:w="7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70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4,806</w:t>
            </w:r>
          </w:p>
        </w:tc>
        <w:tc>
          <w:tcPr>
            <w:tcW w:w="100" w:type="dxa"/>
            <w:vAlign w:val="bottom"/>
          </w:tcPr>
          <w:p>
            <w:pPr>
              <w:spacing w:after="0"/>
              <w:rPr>
                <w:sz w:val="21"/>
                <w:szCs w:val="21"/>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r>
    </w:tbl>
    <w:p>
      <w:pPr>
        <w:spacing w:after="0" w:line="2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Contract assets increased by $631 during the year ended December 31, 2022 due to recognition of revenues for which invoicing has not yet occurred. Contract liabilities increased by $3,957 during the year ended December 31, 2022, reflecting $4,639 in customer advance payments, partially offset by the recognition of $682 of revenue during the year ended December 31, 2022 that was included in the contract liability balance at the beginning of the period.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liabilities of $3,850 as of December 31, 2022 are expected to be recognized within the next twelve months and contract liabilities, long-term of $956 are expected to be recognized as revenue over approximately the next three years. Contract assets of $1,859 as of December 31, 2022 are expected to be recognized as accounts receivable within the next twelve months. Long-term contract assets of $141 are expected to be recognized as accounts receivable over approximately the next three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Cash, Cash Equivalents and Restricted Cash</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Restricted cash - current consists of escrow deposits related to U.S. Custom Bonds insurance and escrow deposits related to our credit card program agreements. Additionally, long-term restricted cash relates to interest that is required to be held in escrow per the Senior Secured Term Loan Agreement in an amount equal to the aggregate amount of the four immediately following interest payments owed (see Note 13,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for further discussion).</w:t>
      </w:r>
    </w:p>
    <w:p>
      <w:pPr>
        <w:spacing w:after="0" w:line="13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Cash, cash equivalents, and restricted cash reported within the accompanying consolidated balance sheets that sum to the total of the same such amounts presented in the accompanying consolidated statements of cash flows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1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0" w:type="dxa"/>
            <w:vAlign w:val="bottom"/>
            <w:tcBorders>
              <w:bottom w:val="single" w:sz="8" w:color="CCEEFF"/>
            </w:tcBorders>
            <w:gridSpan w:val="2"/>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17,076</w:t>
            </w: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104,831</w:t>
            </w:r>
          </w:p>
        </w:tc>
        <w:tc>
          <w:tcPr>
            <w:tcW w:w="0" w:type="dxa"/>
            <w:vAlign w:val="bottom"/>
          </w:tcPr>
          <w:p>
            <w:pPr>
              <w:spacing w:after="0"/>
              <w:rPr>
                <w:sz w:val="1"/>
                <w:szCs w:val="1"/>
                <w:color w:val="auto"/>
              </w:rPr>
            </w:pPr>
          </w:p>
        </w:tc>
      </w:tr>
      <w:tr>
        <w:trPr>
          <w:trHeight w:val="27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Restricted cash </w:t>
            </w:r>
            <w:r>
              <w:rPr>
                <w:rFonts w:ascii="Times New Roman" w:cs="Times New Roman" w:eastAsia="Times New Roman" w:hAnsi="Times New Roman"/>
                <w:sz w:val="23"/>
                <w:szCs w:val="23"/>
                <w:color w:val="auto"/>
                <w:vertAlign w:val="superscript"/>
              </w:rPr>
              <w:t>(1)</w:t>
            </w:r>
          </w:p>
        </w:tc>
        <w:tc>
          <w:tcPr>
            <w:tcW w:w="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restricted cash</w:t>
            </w:r>
          </w:p>
        </w:tc>
        <w:tc>
          <w:tcPr>
            <w:tcW w:w="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6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31,223</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gridSpan w:val="2"/>
          </w:tcPr>
          <w:p>
            <w:pPr>
              <w:spacing w:after="0"/>
              <w:rPr>
                <w:sz w:val="22"/>
                <w:szCs w:val="22"/>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105,692</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Restricted cash, current.</w:t>
            </w:r>
          </w:p>
        </w:tc>
        <w:tc>
          <w:tcPr>
            <w:tcW w:w="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9"/>
        </w:trPr>
        <w:tc>
          <w:tcPr>
            <w:tcW w:w="69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Inventory</w:t>
            </w: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information about inventory balances:</w:t>
            </w: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8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1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400" w:type="dxa"/>
            <w:vAlign w:val="bottom"/>
            <w:tcBorders>
              <w:bottom w:val="single" w:sz="8" w:color="CCEEFF"/>
            </w:tcBorders>
            <w:gridSpan w:val="2"/>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22,899</w:t>
            </w:r>
          </w:p>
        </w:tc>
        <w:tc>
          <w:tcPr>
            <w:tcW w:w="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11,898</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63"/>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Inventory, net</w:t>
            </w:r>
          </w:p>
        </w:tc>
        <w:tc>
          <w:tcPr>
            <w:tcW w:w="1400" w:type="dxa"/>
            <w:vAlign w:val="bottom"/>
            <w:tcBorders>
              <w:top w:val="single" w:sz="8" w:color="auto"/>
              <w:bottom w:val="single" w:sz="8" w:color="auto"/>
            </w:tcBorders>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Borders>
              <w:top w:val="single" w:sz="8" w:color="auto"/>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tc>
        <w:tc>
          <w:tcPr>
            <w:tcW w:w="1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7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provides information about property, plant and equipment, net balances:</w:t>
            </w: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720" w:type="dxa"/>
            <w:vAlign w:val="bottom"/>
            <w:gridSpan w:val="3"/>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auto"/>
              </w:rPr>
              <w:t>Useful lives</w:t>
            </w: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p>
        </w:tc>
        <w:tc>
          <w:tcPr>
            <w:tcW w:w="2720" w:type="dxa"/>
            <w:vAlign w:val="bottom"/>
            <w:gridSpan w:val="3"/>
            <w:vMerge w:val="continue"/>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32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5</w:t>
            </w:r>
          </w:p>
        </w:tc>
        <w:tc>
          <w:tcPr>
            <w:tcW w:w="1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 years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23,653</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13,489</w:t>
            </w: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w:t>
            </w:r>
          </w:p>
        </w:tc>
        <w:tc>
          <w:tcPr>
            <w:tcW w:w="1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5</w:t>
            </w: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years</w:t>
            </w:r>
          </w:p>
        </w:tc>
        <w:tc>
          <w:tcPr>
            <w:tcW w:w="4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w:t>
            </w:r>
          </w:p>
        </w:tc>
        <w:tc>
          <w:tcPr>
            <w:tcW w:w="132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5</w:t>
            </w:r>
          </w:p>
        </w:tc>
        <w:tc>
          <w:tcPr>
            <w:tcW w:w="1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 years</w:t>
            </w: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25"/>
        </w:trPr>
        <w:tc>
          <w:tcPr>
            <w:tcW w:w="4340" w:type="dxa"/>
            <w:vAlign w:val="bottom"/>
          </w:tcPr>
          <w:p>
            <w:pPr>
              <w:spacing w:after="0"/>
              <w:rPr>
                <w:sz w:val="19"/>
                <w:szCs w:val="19"/>
                <w:color w:val="auto"/>
              </w:rPr>
            </w:pPr>
          </w:p>
        </w:tc>
        <w:tc>
          <w:tcPr>
            <w:tcW w:w="2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Lesser of useful life/remaining</w:t>
            </w: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72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lease</w:t>
            </w: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Tooling</w:t>
            </w:r>
          </w:p>
        </w:tc>
        <w:tc>
          <w:tcPr>
            <w:tcW w:w="132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w:t>
            </w:r>
          </w:p>
        </w:tc>
        <w:tc>
          <w:tcPr>
            <w:tcW w:w="14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 years</w:t>
            </w: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0" w:type="dxa"/>
            <w:vAlign w:val="bottom"/>
          </w:tcPr>
          <w:p>
            <w:pPr>
              <w:spacing w:after="0"/>
              <w:rPr>
                <w:sz w:val="1"/>
                <w:szCs w:val="1"/>
                <w:color w:val="auto"/>
              </w:rPr>
            </w:pPr>
          </w:p>
        </w:tc>
      </w:tr>
      <w:tr>
        <w:trPr>
          <w:trHeight w:val="237"/>
        </w:trPr>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39,129</w:t>
            </w: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(11,960)</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0" w:type="dxa"/>
            <w:vAlign w:val="bottom"/>
          </w:tcPr>
          <w:p>
            <w:pPr>
              <w:spacing w:after="0"/>
              <w:rPr>
                <w:sz w:val="1"/>
                <w:szCs w:val="1"/>
                <w:color w:val="auto"/>
              </w:rPr>
            </w:pPr>
          </w:p>
        </w:tc>
      </w:tr>
      <w:tr>
        <w:trPr>
          <w:trHeight w:val="263"/>
        </w:trPr>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3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27,169</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expense related to property, plant and equipment was $6,774 and $2,573 during the years ended December 31, 2022 and 2021, respectively. For the years ended December 31, 2022 and 2021, the Company recorded a loss from write-down of property, plant and equipment of $6,846 and $50, respectively, mainly due to replacement of equipment, outsourcing of certain production processes, and the shift in production from the current generation Gen 2.3 BESS to the next generation Z3 battery system.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Intangible assets consisted of various patents valued at $400, which represents the cost to acquire the patents. These patents are determined to have useful lives and are amortized into the results of operations over ten years. During the years ended December 31, 2022 and 2021, the Company recorded amortization expense of $40 for each period, related to patents.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Estimated future amortization expense of intangible assets as of December 31, 2022 are as follows:</w:t>
            </w:r>
          </w:p>
        </w:tc>
        <w:tc>
          <w:tcPr>
            <w:tcW w:w="1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0"/>
        </w:trPr>
        <w:tc>
          <w:tcPr>
            <w:tcW w:w="9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Amortization Expense</w:t>
            </w:r>
          </w:p>
        </w:tc>
      </w:tr>
      <w:tr>
        <w:trPr>
          <w:trHeight w:val="27"/>
        </w:trPr>
        <w:tc>
          <w:tcPr>
            <w:tcW w:w="9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3"/>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9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9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9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88"/>
        </w:trPr>
        <w:tc>
          <w:tcPr>
            <w:tcW w:w="9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Notes Receivable, Net and Variable Interest Entities (“VIEs”) Consideration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Notes receivable primarily consist of amounts due to the Company related to the financing we offered to certain customers. The Company reports notes receivable at the principal balance outstanding less an allowance for losses. The estimate of credit losses is based on historical trends, customers’ financial condition and current economic trends. The Company charges interest at a fixed rate and calculates interest income by applying the effective rate to the outstanding principal balance.</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notes receivable, net of $863 and $3,650 outstanding as of December 31, 2022 and 2021, respectively. As of December 31, 2022 and 2021, the Company recorded an allowance for expected credit loss from the notes receivable of $2 and $6,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Notes Receivable, Net and Variable Interest Entities (“VIEs”) Consideration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customers to whom the Company offers financing through notes receivables are VIEs. However, the Company is not the primary beneficiary, because the Company does not have power to direct the activities of the VIEs that most significantly impact the VIEs’ economic performance. Therefore, the VIEs are not consolidated into the Company’s consolidated financial statements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maximum loss exposure is limited to the carrying value of notes receivable as of the balances sheet dates.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Expenses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were as follows:</w:t>
      </w:r>
    </w:p>
    <w:p>
      <w:pPr>
        <w:spacing w:after="0" w:line="59"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36830</wp:posOffset>
            </wp:positionV>
            <wp:extent cx="27000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0" w:type="dxa"/>
            <w:vAlign w:val="bottom"/>
          </w:tcPr>
          <w:p>
            <w:pPr>
              <w:spacing w:after="0"/>
              <w:rPr>
                <w:sz w:val="19"/>
                <w:szCs w:val="19"/>
                <w:color w:val="auto"/>
              </w:rPr>
            </w:pPr>
          </w:p>
        </w:tc>
        <w:tc>
          <w:tcPr>
            <w:tcW w:w="67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gridSpan w:val="2"/>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1500" w:type="dxa"/>
            <w:vAlign w:val="bottom"/>
            <w:tcBorders>
              <w:bottom w:val="single" w:sz="8" w:color="CCEEFF"/>
            </w:tcBorders>
            <w:gridSpan w:val="2"/>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w:t>
            </w:r>
          </w:p>
        </w:tc>
        <w:tc>
          <w:tcPr>
            <w:tcW w:w="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127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Warranty reserve </w:t>
            </w:r>
            <w:r>
              <w:rPr>
                <w:rFonts w:ascii="Times New Roman" w:cs="Times New Roman" w:eastAsia="Times New Roman" w:hAnsi="Times New Roman"/>
                <w:sz w:val="23"/>
                <w:szCs w:val="23"/>
                <w:color w:val="auto"/>
                <w:vertAlign w:val="superscript"/>
              </w:rPr>
              <w:t>(1)</w:t>
            </w:r>
          </w:p>
        </w:tc>
        <w:tc>
          <w:tcPr>
            <w:tcW w:w="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legal and professional expenses</w:t>
            </w:r>
          </w:p>
        </w:tc>
        <w:tc>
          <w:tcPr>
            <w:tcW w:w="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contract losses</w:t>
            </w:r>
          </w:p>
        </w:tc>
        <w:tc>
          <w:tcPr>
            <w:tcW w:w="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6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Insurance premium payable, current </w:t>
            </w:r>
            <w:r>
              <w:rPr>
                <w:rFonts w:ascii="Times New Roman" w:cs="Times New Roman" w:eastAsia="Times New Roman" w:hAnsi="Times New Roman"/>
                <w:sz w:val="23"/>
                <w:szCs w:val="23"/>
                <w:color w:val="auto"/>
                <w:vertAlign w:val="superscript"/>
              </w:rPr>
              <w:t>(2)</w:t>
            </w:r>
          </w:p>
        </w:tc>
        <w:tc>
          <w:tcPr>
            <w:tcW w:w="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6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12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gridSpan w:val="2"/>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127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w:t>
            </w:r>
          </w:p>
        </w:tc>
        <w:tc>
          <w:tcPr>
            <w:tcW w:w="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4"/>
                <w:szCs w:val="14"/>
                <w:color w:val="auto"/>
              </w:rPr>
              <w:t>Refer to the table below for the warranty reserve activity.</w:t>
            </w:r>
          </w:p>
        </w:tc>
        <w:tc>
          <w:tcPr>
            <w:tcW w:w="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686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Refer to Note 13, </w:t>
            </w:r>
            <w:r>
              <w:rPr>
                <w:rFonts w:ascii="Times New Roman" w:cs="Times New Roman" w:eastAsia="Times New Roman" w:hAnsi="Times New Roman"/>
                <w:sz w:val="14"/>
                <w:szCs w:val="14"/>
                <w:i w:val="1"/>
                <w:iCs w:val="1"/>
                <w:color w:val="auto"/>
              </w:rPr>
              <w:t>Borrowings</w:t>
            </w:r>
            <w:r>
              <w:rPr>
                <w:rFonts w:ascii="Times New Roman" w:cs="Times New Roman" w:eastAsia="Times New Roman" w:hAnsi="Times New Roman"/>
                <w:sz w:val="14"/>
                <w:szCs w:val="14"/>
                <w:color w:val="auto"/>
              </w:rPr>
              <w:t xml:space="preserve"> for additional information.</w:t>
            </w:r>
          </w:p>
        </w:tc>
        <w:tc>
          <w:tcPr>
            <w:tcW w:w="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9"/>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warranty reserve activity:</w:t>
            </w: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6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40" w:type="dxa"/>
            <w:vAlign w:val="bottom"/>
            <w:gridSpan w:val="6"/>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50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gridSpan w:val="3"/>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2021</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reserve - beginning of period</w:t>
            </w:r>
          </w:p>
        </w:tc>
        <w:tc>
          <w:tcPr>
            <w:tcW w:w="1500" w:type="dxa"/>
            <w:vAlign w:val="bottom"/>
            <w:tcBorders>
              <w:bottom w:val="single" w:sz="8" w:color="CCEEFF"/>
            </w:tcBorders>
            <w:gridSpan w:val="2"/>
            <w:shd w:val="clear" w:color="auto" w:fill="CCEEFF"/>
          </w:tcPr>
          <w:p>
            <w:pPr>
              <w:jc w:val="right"/>
              <w:ind w:right="13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2,112</w:t>
            </w:r>
          </w:p>
        </w:tc>
        <w:tc>
          <w:tcPr>
            <w:tcW w:w="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jc w:val="right"/>
              <w:ind w:right="13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for current year deliveries</w:t>
            </w:r>
          </w:p>
        </w:tc>
        <w:tc>
          <w:tcPr>
            <w:tcW w:w="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2,460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the warranty reserve estimate</w:t>
            </w:r>
          </w:p>
        </w:tc>
        <w:tc>
          <w:tcPr>
            <w:tcW w:w="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1,284</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Warranty costs incurred</w:t>
            </w:r>
          </w:p>
        </w:tc>
        <w:tc>
          <w:tcPr>
            <w:tcW w:w="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reserve - end of period</w:t>
            </w:r>
          </w:p>
        </w:tc>
        <w:tc>
          <w:tcPr>
            <w:tcW w:w="1500" w:type="dxa"/>
            <w:vAlign w:val="bottom"/>
            <w:gridSpan w:val="2"/>
            <w:shd w:val="clear" w:color="auto" w:fill="CCEEFF"/>
          </w:tcPr>
          <w:p>
            <w:pPr>
              <w:jc w:val="right"/>
              <w:ind w:right="131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3,836</w:t>
            </w:r>
          </w:p>
        </w:tc>
        <w:tc>
          <w:tcPr>
            <w:tcW w:w="60" w:type="dxa"/>
            <w:vAlign w:val="bottom"/>
            <w:shd w:val="clear" w:color="auto" w:fill="CCEEFF"/>
          </w:tcPr>
          <w:p>
            <w:pPr>
              <w:spacing w:after="0"/>
              <w:rPr>
                <w:sz w:val="24"/>
                <w:szCs w:val="24"/>
                <w:color w:val="auto"/>
              </w:rPr>
            </w:pPr>
          </w:p>
        </w:tc>
        <w:tc>
          <w:tcPr>
            <w:tcW w:w="1560" w:type="dxa"/>
            <w:vAlign w:val="bottom"/>
            <w:gridSpan w:val="3"/>
            <w:shd w:val="clear" w:color="auto" w:fill="CCEEFF"/>
          </w:tcPr>
          <w:p>
            <w:pPr>
              <w:jc w:val="right"/>
              <w:ind w:right="13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Grant Expense, Net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time-to-time, the Company has entered into grant agreements with the California Energy Commission (“CEC”) for conducting studies to demonstrate the benefits of certain energy-saving technologies to utility companies and consumers in the State of California. Under such agreements, the Company is entitled to receive reimbursement of costs incurred by the Company covered by the grants.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2022 and 2021, the Company received $1,007 and $— in reimbursement payments, respectively, from the CEC. As of December 31, 2022 and 2021, the Company had grant receivables in the amounts of $263 and $1,020, which were included in other current assets in the consolidated balance sheets. There was no deferred grant income as of December 31, 2022 and 2021. Related expenses incurred by the Company are offset against grant income earned or received from the CEC.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2022 and 2021, grant (income) expense, net was ($16) and $269,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Convertible Notes Payable</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July 2021, the Company issued $100,000 aggregate principal amount of convertible notes to Spring Creek Capital, LLC, a wholly-owned, indirect subsidiary of Koch Industries, Inc., a related party due to its beneficial ownership exceeding 10% of the Company's Common Shares (the “2021 Convertible Notes”). In connection with these 2021 Convertible Notes, the Company paid $3,000 to B. Riley Securities, Inc., also related party, who acted as a placement agent. Refer to Note 13,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for additional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pre-existing agreement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the year ended December 31, 2021, a loss on pre-existing agreement of $30,368 was recorded in connection with the acquisition of Hi-Power. See Note 3,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xml:space="preserve"> for additional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Disgorgement of short swing profits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the Company received $432 from its then affiliated company B. Riley Securities, Inc. resulting from a disgorgement of short swing profits under Section 16 (b) of the Exchange Act. This amount was recognized as an increase to Additional paid in capital as a capital contribution from stockholder when it was earned.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liability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issued private warrants to an affiliated company owned by B. Riley Financial, Inc. which were outstanding as of December 31, 2022 and 2021. See Note 14, </w:t>
      </w:r>
      <w:r>
        <w:rPr>
          <w:rFonts w:ascii="Times New Roman" w:cs="Times New Roman" w:eastAsia="Times New Roman" w:hAnsi="Times New Roman"/>
          <w:sz w:val="18"/>
          <w:szCs w:val="18"/>
          <w:i w:val="1"/>
          <w:iCs w:val="1"/>
          <w:color w:val="auto"/>
        </w:rPr>
        <w:t>Warrants Liability - Related Party</w:t>
      </w:r>
      <w:r>
        <w:rPr>
          <w:rFonts w:ascii="Times New Roman" w:cs="Times New Roman" w:eastAsia="Times New Roman" w:hAnsi="Times New Roman"/>
          <w:sz w:val="18"/>
          <w:szCs w:val="18"/>
          <w:color w:val="auto"/>
        </w:rPr>
        <w:t xml:space="preserve"> for additional information.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Equity Purchase Agreement</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April 28, 2022, the Company entered into the Standby Equity Purchase Agreement with YA II PN, Ltd. Pursuant to the SEPA, the Company has the right, but not the obligation, to sell to Yorkville shares of its common stock at the Company’s request. See Note 20, </w:t>
      </w:r>
      <w:r>
        <w:rPr>
          <w:rFonts w:ascii="Times New Roman" w:cs="Times New Roman" w:eastAsia="Times New Roman" w:hAnsi="Times New Roman"/>
          <w:sz w:val="18"/>
          <w:szCs w:val="18"/>
          <w:i w:val="1"/>
          <w:iCs w:val="1"/>
          <w:color w:val="auto"/>
        </w:rPr>
        <w:t>Shareholders' Equity</w:t>
      </w:r>
      <w:r>
        <w:rPr>
          <w:rFonts w:ascii="Times New Roman" w:cs="Times New Roman" w:eastAsia="Times New Roman" w:hAnsi="Times New Roman"/>
          <w:sz w:val="18"/>
          <w:szCs w:val="18"/>
          <w:color w:val="auto"/>
        </w:rPr>
        <w:t xml:space="preserve"> for additional information.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June 13, 2022, the Company issued and sold a convertible promissory note with an aggregate principal amount of $7,500 in a private placement to Yorkville under a supplemental agreement dated as of June 13, 2022 to the SEPA. On December 29, 2022, the Company issued and sold a convertible promissory note with an aggregate principal amount of $2,000 in a private placement to Yorkville under a supplemental agreement dated as of December 29, 2022 to the SEPA. See Note 13,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for additional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Agreement</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disclosed at the time of the Merger Agreement, prior to the execution and delivery of the Merger Agreement, certain unitholders of EES (“Hellman parties”) asserted claims (“Threatened Claims”) against another director and affiliated investors, including AltEnergy Storage VI, LLC (the "Securityholder Representative"), questioning the dilutive effect of a certain historical security issuances on the former EES common unitholders.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Merger Agreement, the Securityholder Representative had the obligation to defend against the Threatened Claims, and the Company had the obligation to advance or cause to be advanced to the Securityholder Representative up to $5,000 of defense costs, subject to a deductible of $2,000 (the "Deductible"), in connection with the investigation, defense, or settlement of any Threatened Claims. The Deductible was to be borne by the Company, and any additional amounts advanced were reimbursable by the former unitholders of EES.</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1, 2021, a Settlement Agreement was entered into between Hellman Parties and the Securityholder Representative pursuant to which, 300,000 Eos Shares (“Settlement Shares”) would be transferred to the Hellman parties from the EES unitholders at the time of merger.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Related Party Transactions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28, 2021, the independent members of the Board approved a contribution of $1,200 towards the Settlement. The approval was based on the independent members of the Board’s business judgment that, among other reasons, such a contribution (i) would ensure that the Company would not have to spend the entire $2,000 Deductible towards the costs of defense of any litigation, (ii) would avoid the additional cost, distraction, uncertainty, and overhang of litigation relating to the Mergers, (iii) would benefit the Company’s future relationships with its long-term investors, and (iv) would generate future goodwill with such investors during an important growth stage of the Company. As the Company’s contribution benefits certain Eos shareholders at the time of the Merger Agreement, including AltEnergy LLC and B. Riley Financial Inc, who are considered as related parties owning more than 5% of the equity interest in the Company, this transaction is considered, reviewed and approved as a related party transaction.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29, 2021, an amendment to the Settlement Agreement between the Hellman Parties and the Securityholder Representative was entered into, pursuant to which, $1,200 of the value represented by the Settlement Shares was to be paid in cash, representing the equivalent of 140,023 of the Settlement Shares.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accrued $1,200 in accounts payable and accrued expenses - related party on December 31, 2021, which was paid on January 4, 2022. The remaining 159,977 in Settlement Shares were transferred to the Hellman parties from the former EES unitholders, on a pro rata basis, on December 29,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Borrowings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borrowings consist of the following related and third-party borrowings: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80" w:type="dxa"/>
            <w:vAlign w:val="bottom"/>
          </w:tcPr>
          <w:p>
            <w:pPr>
              <w:spacing w:after="0"/>
              <w:rPr>
                <w:sz w:val="19"/>
                <w:szCs w:val="19"/>
                <w:color w:val="auto"/>
              </w:rPr>
            </w:pPr>
          </w:p>
        </w:tc>
        <w:tc>
          <w:tcPr>
            <w:tcW w:w="2720" w:type="dxa"/>
            <w:vAlign w:val="bottom"/>
            <w:gridSpan w:val="4"/>
          </w:tcPr>
          <w:p>
            <w:pPr>
              <w:jc w:val="right"/>
              <w:ind w:right="1051"/>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4"/>
        </w:trPr>
        <w:tc>
          <w:tcPr>
            <w:tcW w:w="5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Borrowing</w:t>
            </w: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25"/>
        </w:trPr>
        <w:tc>
          <w:tcPr>
            <w:tcW w:w="5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8"/>
              </w:rPr>
              <w:t>Carrying Value*</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8"/>
              </w:rPr>
              <w:t>Carrying Value*</w:t>
            </w: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Yorkville Convertible Promissory Note - due June 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 Convertible Notes Payable – due June 2026</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84,148</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 - due March 2026</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Payable - Hi-Power</w:t>
            </w:r>
          </w:p>
        </w:tc>
        <w:tc>
          <w:tcPr>
            <w:tcW w:w="1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18,695</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financing facility - due April 2025</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w:t>
            </w:r>
          </w:p>
        </w:tc>
      </w:tr>
      <w:tr>
        <w:trPr>
          <w:trHeight w:val="237"/>
        </w:trPr>
        <w:tc>
          <w:tcPr>
            <w:tcW w:w="5160" w:type="dxa"/>
            <w:vAlign w:val="bottom"/>
          </w:tcPr>
          <w:p>
            <w:pPr>
              <w:jc w:val="right"/>
              <w:ind w:right="3730"/>
              <w:spacing w:after="0"/>
              <w:rPr>
                <w:sz w:val="20"/>
                <w:szCs w:val="20"/>
                <w:color w:val="auto"/>
              </w:rPr>
            </w:pPr>
            <w:r>
              <w:rPr>
                <w:rFonts w:ascii="Times New Roman" w:cs="Times New Roman" w:eastAsia="Times New Roman" w:hAnsi="Times New Roman"/>
                <w:sz w:val="18"/>
                <w:szCs w:val="18"/>
                <w:color w:val="auto"/>
              </w:rPr>
              <w:t>Total borrowings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219,744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175,831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129,289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109,214</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jc w:val="right"/>
              <w:ind w:right="3730"/>
              <w:spacing w:after="0"/>
              <w:rPr>
                <w:sz w:val="20"/>
                <w:szCs w:val="20"/>
                <w:color w:val="auto"/>
              </w:rPr>
            </w:pPr>
            <w:r>
              <w:rPr>
                <w:rFonts w:ascii="Times New Roman" w:cs="Times New Roman" w:eastAsia="Times New Roman" w:hAnsi="Times New Roman"/>
                <w:sz w:val="18"/>
                <w:szCs w:val="18"/>
                <w:color w:val="auto"/>
              </w:rPr>
              <w:t>Current portion</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w:t>
            </w:r>
          </w:p>
        </w:tc>
      </w:tr>
      <w:tr>
        <w:trPr>
          <w:trHeight w:val="263"/>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borrowings, non-current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214,184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170,271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122,719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102,644</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Carrying value includes unamortized deferred financing costs, unamortized discounts, and fair value of embedded derivative liabilities.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Yorkville Convertible Promissory Notes - Related Party</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13, 2022, the Company issued and sold a convertible promissory note (the “June 2022 Promissory Note”) with a stated principal amount of $7,500 in a private placement to Yorkville under a Supplemental Agreement to the SEPA (the “Supplemental Agreement”). The June 2022 Promissory Note had a maturity date of September 15, 2022, and was issued with a 2% original issue discount, debt issuance costs of $125, bears interest only upon the occurrence of an Event of Default (as defined in the SEPA) for so long as it remains uncured. Upon the occurrence of an Event of Default, interest will begin to accrue at a rate of 15% per year.</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June 2022 Promissory Note gives Yorkville the right, but not the obligation, to convert principal and accrued interest into shares of the Company’s common stock at a conversion price of $2.21 any time prior to the maturity date, subject to terms and conditions of the June 2022 Promissory Note. In July and August 2022, pursuant to the terms of the Supplemental Agreement, Yorkville delivered six Investor Notices requiring the Company to issue and sell an aggregate of 3,393,663 shares of common stock at a price of $2.21 per share to Yorkville, in order to offset all outstanding amounts owed to Yorkville under the June 2022 Promissory Note. Interest expense on the June 2022 Promissory Note was $309 for the year ended December 31, 2022. As of December 31, 2022, the outstanding balance of the June 2022 Promissory Note was zero.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Borrowings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3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29, 2022, the Company issued a convertible promissory note (the "December 2022 Promissory Note") with an aggregate principal amount of $2,000 in a private placement to Yorkville under a second supplemental agreement to the SEPA. The December 2022 Promissory Note has a maturity date of June 29, 2023, and was issued with an original issue discount of 2%, debt issuance costs of $179, and an annual interest rate of 5% which shall increase to an annual rate of 15% upon an Event of Default (as defined in the SEPA) for so long as it remains uncured. The December 2022 Promissory Note is convertible into shares of the Company’s common stock at a conversion price equal to the lower of $1.1779 or 96.5% of the lowest daily volume weighted average price of the Company’s common stock during the seven consecutive trading days immediately preceding the conversion date (the "Conversion Price").</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Mandatory Payments </w:t>
      </w:r>
      <w:r>
        <w:rPr>
          <w:rFonts w:ascii="Times New Roman" w:cs="Times New Roman" w:eastAsia="Times New Roman" w:hAnsi="Times New Roman"/>
          <w:sz w:val="18"/>
          <w:szCs w:val="18"/>
          <w:color w:val="auto"/>
        </w:rPr>
        <w:t>- If, any time after the Issuance Date, and from time to time thereafter, the daily VWAP is less than the Floor Price for five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consecutive Trading Days (the last such day of each such occurrence, a “Triggering Date”), then the Company shall make weekly payments in an amount equal to the sum of (i) $1,000,000 of Principal (or the outstanding Principal if less than such amount), (ii) the "Payment Premium" - defined as an amount equal to 3% of the Principal amount of a payment being made by the Company paid in cash, and (iii) accrued and unpaid interest as of each payment date. The obligation of the Company to make weekly payments shall cease if at any time after the Triggering Date the daily VWAP is greater than the Floor Price for a period of five consecutive Trading Days, unless a subsequent Triggering Date occurs.</w:t>
      </w:r>
    </w:p>
    <w:p>
      <w:pPr>
        <w:spacing w:after="0" w:line="1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Conversion Rights </w:t>
      </w:r>
      <w:r>
        <w:rPr>
          <w:rFonts w:ascii="Times New Roman" w:cs="Times New Roman" w:eastAsia="Times New Roman" w:hAnsi="Times New Roman"/>
          <w:sz w:val="18"/>
          <w:szCs w:val="18"/>
          <w:color w:val="auto"/>
        </w:rPr>
        <w:t>- Yorkville has the right, but not the obligation, to convert principal and accrued interest into shares of the Company’s common stock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Conversion Price any time prior to the Maturity Date, subject to the terms and conditions of the December 2022 Promissory Note. At any time that there is an outstanding balance owed under the December 2022 Promissory Note, Yorkville may, pursuant to the terms of the Second Supplemental Agreement, deliver Investor Notices to require the Company to issue and sell shares of common stock under the SEPA at the Conversion Price in order to repay the amounts owed by the Company to the Holder under the December 2022 Promissory Note. In addition, while there is an outstanding balance owed under the December 2022 Promissory Note, the Company must use any Advance requested by the Company pursuant to the SEPA to repay the amounts owed by the Company to the Holder under the December 2022 Promissory Note. The shares issuable upon conversion are subject to the Exchange Cap. See Note 20, </w:t>
      </w:r>
      <w:r>
        <w:rPr>
          <w:rFonts w:ascii="Times New Roman" w:cs="Times New Roman" w:eastAsia="Times New Roman" w:hAnsi="Times New Roman"/>
          <w:sz w:val="18"/>
          <w:szCs w:val="18"/>
          <w:i w:val="1"/>
          <w:iCs w:val="1"/>
          <w:color w:val="auto"/>
        </w:rPr>
        <w:t>Shareholders' Equity</w:t>
      </w:r>
      <w:r>
        <w:rPr>
          <w:rFonts w:ascii="Times New Roman" w:cs="Times New Roman" w:eastAsia="Times New Roman" w:hAnsi="Times New Roman"/>
          <w:sz w:val="18"/>
          <w:szCs w:val="18"/>
          <w:color w:val="auto"/>
        </w:rPr>
        <w:t xml:space="preserve"> for further discussion regarding the Exchange Cap.</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Optional Redemption </w:t>
      </w:r>
      <w:r>
        <w:rPr>
          <w:rFonts w:ascii="Times New Roman" w:cs="Times New Roman" w:eastAsia="Times New Roman" w:hAnsi="Times New Roman"/>
          <w:sz w:val="18"/>
          <w:szCs w:val="18"/>
          <w:color w:val="auto"/>
        </w:rPr>
        <w:t>- The Company has the right, but not the obligation, to redeem early a portion or all amounts outstanding under the December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Promissory Note provided that (i) the Company provides the Holder with at least five trading days’ prior written notice (each, a “Redemption Notice”) of its desire to exercise an Optional Redemption, and (ii) the VWAP of the Company’s common stock on each of the ten trading days immediately prior to the Redemption Notice is less than the conversion price.</w:t>
      </w:r>
    </w:p>
    <w:p>
      <w:pPr>
        <w:spacing w:after="0" w:line="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Event of Default Put Option </w:t>
      </w:r>
      <w:r>
        <w:rPr>
          <w:rFonts w:ascii="Times New Roman" w:cs="Times New Roman" w:eastAsia="Times New Roman" w:hAnsi="Times New Roman"/>
          <w:sz w:val="18"/>
          <w:szCs w:val="18"/>
          <w:color w:val="auto"/>
        </w:rPr>
        <w:t>- Upon the occurrence of an Event of Default, interest will begin to accrue at a rate of 15% per year and Yorkville may elect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accelerate the repayment of each installment.</w:t>
      </w:r>
    </w:p>
    <w:p>
      <w:pPr>
        <w:spacing w:after="0" w:line="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Contingent Interest upon Event of Default </w:t>
      </w:r>
      <w:r>
        <w:rPr>
          <w:rFonts w:ascii="Times New Roman" w:cs="Times New Roman" w:eastAsia="Times New Roman" w:hAnsi="Times New Roman"/>
          <w:sz w:val="18"/>
          <w:szCs w:val="18"/>
          <w:color w:val="auto"/>
        </w:rPr>
        <w:t>- If any Event of Default has occurred and is continuing, then the full unpaid Principal amount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2022 Promissory Note and the 3% Payment Premium, together with interest and other amounts owed to the date of acceleration shall become at Yorkville's election, immediately due and payable in cash.</w:t>
      </w:r>
    </w:p>
    <w:p>
      <w:pPr>
        <w:spacing w:after="0" w:line="1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Embedded Derivatives </w:t>
      </w:r>
      <w:r>
        <w:rPr>
          <w:rFonts w:ascii="Times New Roman" w:cs="Times New Roman" w:eastAsia="Times New Roman" w:hAnsi="Times New Roman"/>
          <w:sz w:val="18"/>
          <w:szCs w:val="18"/>
          <w:color w:val="auto"/>
        </w:rPr>
        <w:t>- The number of shares issuable for conversion of the December 2022 Promissory Note is subject to the Exchange Cap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SEPA, unless shareholder approval is obtained. Therefore, at issuance, shareholder approval is an explicit input that can adjust the number of shares issuable upon settlement. Because shareholder approval is not an input that is indexed to the Company’s shares, the conversion feature is not indexed to the Company's own stock. Therefore, the conversion feature does not qualify for the scope exception to derivative accounting and bifurcation is required at issuance.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Borrowings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conversion feature, the optional redemption feature, the events of default put option and the contingent interest upon event of default feature, are embedded features that require bifurcation. The embedded derivative features were bundled into a single embedded derivative, bifurcated and accounted for as a derivative liability measured at fair value.</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embedded derivative in the December 2022 Promissory Note was estimated using the intrinsic and discounted cash flow model at inception and on subsequent valuation dates. These models incorporate inputs such as the stock price of the Company and its debt yield. The assumptions used to determine the fair value of the embedded derivatives at issuance and at year-end were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29, 2022</w:t>
            </w:r>
          </w:p>
        </w:tc>
        <w:tc>
          <w:tcPr>
            <w:tcW w:w="280" w:type="dxa"/>
            <w:vAlign w:val="bottom"/>
          </w:tcPr>
          <w:p>
            <w:pPr>
              <w:spacing w:after="0"/>
              <w:rPr>
                <w:sz w:val="19"/>
                <w:szCs w:val="19"/>
                <w:color w:val="auto"/>
              </w:rPr>
            </w:pPr>
          </w:p>
        </w:tc>
        <w:tc>
          <w:tcPr>
            <w:tcW w:w="190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50"/>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EOSE Common Stock Price</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1.48</w:t>
            </w:r>
          </w:p>
        </w:tc>
      </w:tr>
      <w:tr>
        <w:trPr>
          <w:trHeight w:val="24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Yield</w:t>
            </w: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25.00 %</w:t>
            </w:r>
          </w:p>
        </w:tc>
      </w:tr>
    </w:tbl>
    <w:p>
      <w:pPr>
        <w:spacing w:after="0" w:line="200" w:lineRule="exact"/>
        <w:rPr>
          <w:sz w:val="20"/>
          <w:szCs w:val="20"/>
          <w:color w:val="auto"/>
        </w:rPr>
      </w:pPr>
    </w:p>
    <w:p>
      <w:pPr>
        <w:spacing w:after="0" w:line="2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December 29, 2022 and December 31, 2022, the fair value of the embedded derivative was $419 and $1,027, respectively. The loss from the change in fair value of the embedded derivative for the year ended December 31, 2022 amounted to $608 and is included on the consolidated statements of operations and comprehensive income (loss). The fair value of the December 2022 Promissory Note at issuance was $2,299, which was greater than the proceeds received. The Company recorded the difference as interest expense at inception. The December 2022 Promissory Note was fully converted into common shares in January 2023, see Note 21, </w:t>
      </w:r>
      <w:r>
        <w:rPr>
          <w:rFonts w:ascii="Times New Roman" w:cs="Times New Roman" w:eastAsia="Times New Roman" w:hAnsi="Times New Roman"/>
          <w:sz w:val="18"/>
          <w:szCs w:val="18"/>
          <w:i w:val="1"/>
          <w:iCs w:val="1"/>
          <w:color w:val="auto"/>
        </w:rPr>
        <w:t>Subsequent Events for</w:t>
      </w:r>
      <w:r>
        <w:rPr>
          <w:rFonts w:ascii="Times New Roman" w:cs="Times New Roman" w:eastAsia="Times New Roman" w:hAnsi="Times New Roman"/>
          <w:sz w:val="18"/>
          <w:szCs w:val="18"/>
          <w:color w:val="auto"/>
        </w:rPr>
        <w:t xml:space="preserve"> additional information.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the December 2022 Promissory Note is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7"/>
        </w:trPr>
        <w:tc>
          <w:tcPr>
            <w:tcW w:w="9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43"/>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7"/>
        </w:trPr>
        <w:tc>
          <w:tcPr>
            <w:tcW w:w="9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88"/>
        </w:trPr>
        <w:tc>
          <w:tcPr>
            <w:tcW w:w="9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Aggregate carrying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Convertible Notes Payable - Related Party</w:t>
      </w:r>
    </w:p>
    <w:p>
      <w:pPr>
        <w:spacing w:after="0" w:line="14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July 6, 2021, the Company entered into an investment agreement with Spring Creek Capital, LLC, a wholly-owned, indirect subsidiary of Koch Industries. The investment agreement provides for the issuance and sale to Koch of convertible notes in the aggregate principal amount of $100,000. The maturity date of the 2021 Convertible Notes is June 30, 2026, subject to earlier conversion, redemption, or repurchase.</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Contractual Interest Rates </w:t>
      </w:r>
      <w:r>
        <w:rPr>
          <w:rFonts w:ascii="Times New Roman" w:cs="Times New Roman" w:eastAsia="Times New Roman" w:hAnsi="Times New Roman"/>
          <w:sz w:val="18"/>
          <w:szCs w:val="18"/>
          <w:color w:val="auto"/>
        </w:rPr>
        <w:t>- The 2021 Convertible Notes bear interest at a rate of 5% per year if interest is paid in cash, or 6% per year if interest is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in-kind. Interest on the 2021 Convertible Notes is payable semi-annually in arrears on June 30 and December 30.</w:t>
      </w:r>
    </w:p>
    <w:p>
      <w:pPr>
        <w:spacing w:after="0" w:line="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Conversion Rights </w:t>
      </w:r>
      <w:r>
        <w:rPr>
          <w:rFonts w:ascii="Times New Roman" w:cs="Times New Roman" w:eastAsia="Times New Roman" w:hAnsi="Times New Roman"/>
          <w:sz w:val="18"/>
          <w:szCs w:val="18"/>
          <w:color w:val="auto"/>
        </w:rPr>
        <w:t>- The 2021 Convertible Notes are convertible at the option of the holder at any time until the business day prior to the maturity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in connection with a redemption by the Company. The 2021 Convertible Notes will be convertible into shares of the Company's common stock based on an initial conversion rate of 49.9910 shares of the Company’s common stock, which is equal to an initial conversion price of approximately $20.00 per share, in each case subject to customary anti-dilution and other adjustments. For the years ended December 31, 2022 and 2021, there were no adjustments to conversion rate. As of December 31, 2022 and 2021, 5,457,348 and 5,144,074 shares, respectively, of the Company’s common stock were issuable upon conversion of the 2021 Convertible Notes including the principal and interest payment in-kind. The Company has the right to settle conversions in shares of common stock, cash, or any combination thereof.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Borrowings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3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Optional Redemption </w:t>
      </w:r>
      <w:r>
        <w:rPr>
          <w:rFonts w:ascii="Times New Roman" w:cs="Times New Roman" w:eastAsia="Times New Roman" w:hAnsi="Times New Roman"/>
          <w:sz w:val="18"/>
          <w:szCs w:val="18"/>
          <w:color w:val="auto"/>
        </w:rPr>
        <w:t>- On or after June 30, 2024, the 2021 Convertible Notes will be redeemable by the Company in the event that the closing sale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Company’s common stock has been at least 130% of the conversion price then in effect for at least 20 trading days during any 30 consecutive trading day period ending on, and including, the trading day immediately preceding the date on which the Company provides the redemption notice at a redemption price of 100% of the principal amount of such 2021 Convertible Notes, plus accrued and unpaid interest.</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following the Company’s delivery of a redemption notice, the 2021 Convertible Notes are converted pursuant to the holders’ conversion rights, the Company is required to make an additional cash payment to the converting holder equal to the present value of all interest payments the holder would have been entitled to receive had such 2021 Convertible Notes remained outstanding until June 30, 2026 (the “interest make-whole payment”). The present value is calculated using a discount rate equal to the risk-free rate plus 50 basis points and assuming interest accrued at the cash interest rate of 5% per year.</w:t>
      </w:r>
    </w:p>
    <w:p>
      <w:pPr>
        <w:spacing w:after="0" w:line="1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Contingent Redemption </w:t>
      </w:r>
      <w:r>
        <w:rPr>
          <w:rFonts w:ascii="Times New Roman" w:cs="Times New Roman" w:eastAsia="Times New Roman" w:hAnsi="Times New Roman"/>
          <w:sz w:val="18"/>
          <w:szCs w:val="18"/>
          <w:color w:val="auto"/>
        </w:rPr>
        <w:t>- With certain exceptions, upon the occurrence of certain events, fundamental changes described in the 2021 Convertible Notes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holders of the 2021 Convertible Notes may require that the Company repurchase all or part of the principal amount of the Notes at a purchase price of 100% of the principal amount of such 2021 Convertible Notes, plus accrued and unpaid interest.</w:t>
      </w:r>
    </w:p>
    <w:p>
      <w:pPr>
        <w:spacing w:after="0" w:line="1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Embedded Derivatives </w:t>
      </w:r>
      <w:r>
        <w:rPr>
          <w:rFonts w:ascii="Times New Roman" w:cs="Times New Roman" w:eastAsia="Times New Roman" w:hAnsi="Times New Roman"/>
          <w:sz w:val="18"/>
          <w:szCs w:val="18"/>
          <w:color w:val="auto"/>
        </w:rPr>
        <w:t>- The interest make-whole payment can be triggered only in connection with an induced conversion, and therefore represents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 to the settlement amount of the embedded conversion feature. Because this adjustment is calculated in a manner in which the cash payout may exceed the time value of the embedded conversion feature, the embedded conversion feature is precluded from being considered indexed to the Company’s own stock. Therefore, the embedded conversion feature does not qualify for the scope exceptions to derivative accounting prescribed by ASC 815.</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estimated the fair value of the embedded conversion feature using a binomial lattice model at the inception and on subsequent valuation dates. This model incorporates inputs such as the stock price of the Company, dividend yield, risk-free interest rate, the effective debt yield and expected volatility. The effective debt yield and volatility involve unobservable inputs classified as Level 3 of the fair value hierarchy (see Note 16,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assumptions used to determine the fair value of the embedded conversion feature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8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80" w:type="dxa"/>
            <w:vAlign w:val="bottom"/>
            <w:tcBorders>
              <w:bottom w:val="single" w:sz="8" w:color="auto"/>
            </w:tcBorders>
          </w:tcPr>
          <w:p>
            <w:pPr>
              <w:spacing w:after="0"/>
              <w:rPr>
                <w:sz w:val="19"/>
                <w:szCs w:val="19"/>
                <w:color w:val="auto"/>
              </w:rPr>
            </w:pPr>
          </w:p>
        </w:tc>
      </w:tr>
      <w:tr>
        <w:trPr>
          <w:trHeight w:val="250"/>
        </w:trPr>
        <w:tc>
          <w:tcPr>
            <w:tcW w:w="678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50"/>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18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3.50 years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years</w:t>
            </w:r>
          </w:p>
        </w:tc>
      </w:tr>
      <w:tr>
        <w:trPr>
          <w:trHeight w:val="243"/>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4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43"/>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r>
      <w:tr>
        <w:trPr>
          <w:trHeight w:val="27"/>
        </w:trPr>
        <w:tc>
          <w:tcPr>
            <w:tcW w:w="6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debt yield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7"/>
        </w:trPr>
        <w:tc>
          <w:tcPr>
            <w:tcW w:w="67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As of December 31, 2022 and 2021, the fair value of the embedded conversion feature was $918 and $12,359 respectively. The gain from the change in the fair value of the embedded derivative conversion features for the years ended December 31, 2022 and 2021 amounted to $11,488 and $17,507, respectively.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Borrowings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recognized on the 2021 Convertible Notes is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9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4"/>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5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5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64"/>
        </w:trPr>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carrying value for the 2021 Convertible Notes is as follows:</w:t>
            </w: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9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9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109,167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102,900</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5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5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12,359</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Aggregate carrying value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82,950</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84,148</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terms under the Senior Secured Term Loan, the Company is obligated to repay in-kind all contractual interest attributable to the 2021 Convertible Notes. During the year ended December 31, 2022, contractual interest in-kind of $6,267 was recorded as an increase to the 2021 Convertible Notes' principal balance on the consolidated balance sheet.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Term Loan</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29, 2022 (the "Closing Date"), the Company entered into a $100,000 Senior Secured Term Loan Credit Agreement with Atlas Credit Partners (ACP) Post Oak Credit I LLC, as administrative agent for the lenders and collateral agent for the secured parties. As of December 31, 2022, the Company had total borrowings of $100,000 under the Senior Secured Term Loan, composed of borrowings on July 29, 2022, August 4, 2022, and December 7, 2022 of $85,106 and $9,574, and $5,320, respectively.</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Senior Secured Term Loan is scheduled to mature on the earlier of (i) July 29, 2026, and (ii) 91 days prior to the current maturity date of the 2021 Convertible Notes of June 30, 2026. The Company has the right at any time to prepay any Borrowing in whole or in part in an amount of not less than $500.</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used the proceeds from the Senior Secured Term Loan to (i) fund growth investments and for general corporate purposes including corporate-level research and development investments, (ii) expand the manufacturing facility of the Company’s wholly owned subsidiary, Hi-Power, (iii) redeem in full the Company’s existing indebtedness to Holtec (see Note 3,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xml:space="preserve"> for further discussion) and (iv) pay certain insurance premiums, interest reserves, fees and expenses incurred in connection with the Senior Secured Term Loan agreement.</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outstanding principal balance of the Senior Secured Term Loan bears interest, at the applicable margin plus, at the Company’s election, either (i) the benchmark secured overnight financing rate (“SOFR”), which is a per annum rate equal to (y) the Adjusted Term SOFR plus 0.2616%, or (ii) the alternate base rate (“ABR”), which is a per annum rate equal to the greatest of (x) the U.S. Prime Lending Rate, (y) the NYFRB Rate (as defined in the Senior Secured Term Loan Agreement) plus 0.5% and (z) the SOFR. The applicable margin under the Credit Agreement is 8.5% per annum with respect to SOFR loans, and 7.5% per annum with respect to ABR loans. Interest on the Senior Secured Term Loan accrues at a variable interest rate, and interest payments are due quarterly. The Company may elect to convert SOFR Loans to ABR (and ABR Loans to SOFR).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Borrowings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3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repayment of principal prior to the second anniversary of the issuance date is subject to a call premium. The call premium is equal to the present value of all interest payments due through June 30, 2024, calculated using a discount rate equal to the applicable treasury rate as of the repayment date plus 50 basis points. The Company deemed that the fair value of the embedded derivative features which qualify for bifurcation was de minimis.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Concurrently, the Company entered into a Guarantee and Collateral Agreement which secures and guarantees the Senior Secured Term Loan with substantially all the assets of the Company and its subsidiaries, other than the Company’s equity interests in Hi-Power and assets of Hi-Power. Additionally, interest is required to be escrowed in an amount equal to the aggregate amount of the four immediately following interest payments owed on the Loans. At December 31, 2022, escrowed interest of $11,422 is presented in Long-term restricted cash on the consolidated balance sheets.</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agreements also contain customary affirmative and negative covenants. They limit the Company’s and its subsidiaries’ ability to incur indebtedness, make restricted payments, including cash dividends on its common stock, make certain investments, loans and advances, enter into mergers and acquisitions, sell, assign, transfer or otherwise dispose of its assets, enter into transactions with its affiliates and engage in sale and leaseback transactions, among other restrictions. Furthermore, the limitation on the Company’s ability to incur indebtedness also (i) limits the amount of debt under the SEPA Loans that the Company may have outstanding at any time to $15,000, and (ii) requires payment in kind of principal and interest on each of the SEPA Pre-Advance Loans (if any) and on the 2021 Convertible Notes. Additionally, the Company may not permit Liquidity (as defined in the Senior Secured Term Loan) as of the last day of each fiscal quarter to be less than the Interest Escrow Required Amount (as defined in the Senior Secured Term Loan), which is calculated as the aggregate amount of the four immediately following interest payments under the Senior Secured Term Loan. While the Company was in compliance with this covenant as of December 31, 2022 and currently expects to remain in compliance as of March 31, 2023, absent the Company’s ability to secure additional outside capital, the Company may be unable to remain in compliance with this covenant beginning on June 30, 2023 and thereafter (see Note 1,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Debt issuance costs of $885 and original issue discounts of $2,008 were recognized for all amounts borrowed under the Senior Secured Term Loan. These fees shall be amortized to interest expense, utilizing the effective interest method through loan maturity. Debt issuance costs also include credit wrap insurance premiums of $16,953 for all amounts borrowed under the Senior Secured Term Loan. The credit wrap insurance provides the Lender with a guarantee on the Company’s credit risk. In the event the Senior Secured Term Loan remains outstanding on the first, second and third anniversaries of the closing date, the Company will be required to pay additional insurance premiums equal to 3%, 3%, and 2%, respectively of the Senior Secured Term Loan balance then outstanding. The debt issuance fees shall be amortized to interest expense, utilizing the effective interest method through loan maturity.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interest expense recognized on the Senior Secured Term Loan:</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8"/>
              </w:rPr>
              <w:t>For the Year-Ended</w:t>
            </w:r>
          </w:p>
        </w:tc>
      </w:tr>
      <w:tr>
        <w:trPr>
          <w:trHeight w:val="212"/>
        </w:trPr>
        <w:tc>
          <w:tcPr>
            <w:tcW w:w="40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2"/>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33"/>
        </w:trPr>
        <w:tc>
          <w:tcPr>
            <w:tcW w:w="40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43"/>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50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340" w:type="dxa"/>
            <w:vAlign w:val="bottom"/>
          </w:tcPr>
          <w:p>
            <w:pPr>
              <w:spacing w:after="0"/>
              <w:rPr>
                <w:sz w:val="21"/>
                <w:szCs w:val="21"/>
                <w:color w:val="auto"/>
              </w:rPr>
            </w:pP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4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4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48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340" w:type="dxa"/>
            <w:vAlign w:val="bottom"/>
          </w:tcPr>
          <w:p>
            <w:pPr>
              <w:spacing w:after="0"/>
              <w:rPr>
                <w:sz w:val="23"/>
                <w:szCs w:val="23"/>
                <w:color w:val="auto"/>
              </w:rPr>
            </w:pPr>
          </w:p>
        </w:tc>
      </w:tr>
      <w:tr>
        <w:trPr>
          <w:trHeight w:val="264"/>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8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340" w:type="dxa"/>
            <w:vAlign w:val="bottom"/>
          </w:tcPr>
          <w:p>
            <w:pPr>
              <w:spacing w:after="0"/>
              <w:rPr>
                <w:sz w:val="22"/>
                <w:szCs w:val="22"/>
                <w:color w:val="auto"/>
              </w:rPr>
            </w:pPr>
          </w:p>
        </w:tc>
      </w:tr>
      <w:tr>
        <w:trPr>
          <w:trHeight w:val="20"/>
        </w:trPr>
        <w:tc>
          <w:tcPr>
            <w:tcW w:w="40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885"/>
        </w:trPr>
        <w:tc>
          <w:tcPr>
            <w:tcW w:w="4020" w:type="dxa"/>
            <w:vAlign w:val="bottom"/>
          </w:tcPr>
          <w:p>
            <w:pPr>
              <w:spacing w:after="0"/>
              <w:rPr>
                <w:sz w:val="24"/>
                <w:szCs w:val="24"/>
                <w:color w:val="auto"/>
              </w:rPr>
            </w:pPr>
          </w:p>
        </w:tc>
        <w:tc>
          <w:tcPr>
            <w:tcW w:w="5040" w:type="dxa"/>
            <w:vAlign w:val="bottom"/>
            <w:gridSpan w:val="2"/>
          </w:tcPr>
          <w:p>
            <w:pPr>
              <w:jc w:val="right"/>
              <w:ind w:right="3170"/>
              <w:spacing w:after="0"/>
              <w:rPr>
                <w:sz w:val="20"/>
                <w:szCs w:val="20"/>
                <w:color w:val="auto"/>
              </w:rPr>
            </w:pPr>
            <w:r>
              <w:rPr>
                <w:rFonts w:ascii="Times New Roman" w:cs="Times New Roman" w:eastAsia="Times New Roman" w:hAnsi="Times New Roman"/>
                <w:sz w:val="18"/>
                <w:szCs w:val="18"/>
                <w:color w:val="auto"/>
              </w:rPr>
              <w:t>F-28</w:t>
            </w: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8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57"/>
        </w:trPr>
        <w:tc>
          <w:tcPr>
            <w:tcW w:w="8980" w:type="dxa"/>
            <w:vAlign w:val="bottom"/>
          </w:tcPr>
          <w:p>
            <w:pPr>
              <w:jc w:val="center"/>
              <w:ind w:left="2190"/>
              <w:spacing w:after="0"/>
              <w:rPr>
                <w:sz w:val="20"/>
                <w:szCs w:val="20"/>
                <w:color w:val="auto"/>
              </w:rPr>
            </w:pPr>
            <w:r>
              <w:rPr>
                <w:rFonts w:ascii="Times New Roman" w:cs="Times New Roman" w:eastAsia="Times New Roman" w:hAnsi="Times New Roman"/>
                <w:sz w:val="18"/>
                <w:szCs w:val="18"/>
                <w:b w:val="1"/>
                <w:bCs w:val="1"/>
                <w:color w:val="auto"/>
                <w:w w:val="99"/>
              </w:rPr>
              <w:t>NOTES TO THE CONSOLIDATED FINANCIAL STATEMENTS</w:t>
            </w:r>
          </w:p>
        </w:tc>
        <w:tc>
          <w:tcPr>
            <w:tcW w:w="2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70"/>
        </w:trPr>
        <w:tc>
          <w:tcPr>
            <w:tcW w:w="898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tc>
        <w:tc>
          <w:tcPr>
            <w:tcW w:w="24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
        </w:trPr>
        <w:tc>
          <w:tcPr>
            <w:tcW w:w="8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480"/>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13. Borrowings </w:t>
            </w:r>
            <w:r>
              <w:rPr>
                <w:rFonts w:ascii="Times New Roman" w:cs="Times New Roman" w:eastAsia="Times New Roman" w:hAnsi="Times New Roman"/>
                <w:sz w:val="18"/>
                <w:szCs w:val="18"/>
                <w:color w:val="auto"/>
              </w:rPr>
              <w:t>(cont.)</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83"/>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The carrying value of the Senior Secured Term Loan is as follows:</w:t>
            </w: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2"/>
        </w:trPr>
        <w:tc>
          <w:tcPr>
            <w:tcW w:w="8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50"/>
        </w:trPr>
        <w:tc>
          <w:tcPr>
            <w:tcW w:w="8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21"/>
                <w:szCs w:val="21"/>
                <w:color w:val="auto"/>
              </w:rPr>
            </w:pP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80" w:type="dxa"/>
            <w:vAlign w:val="bottom"/>
          </w:tcPr>
          <w:p>
            <w:pPr>
              <w:spacing w:after="0"/>
              <w:rPr>
                <w:sz w:val="21"/>
                <w:szCs w:val="21"/>
                <w:color w:val="auto"/>
              </w:rPr>
            </w:pPr>
          </w:p>
        </w:tc>
      </w:tr>
      <w:tr>
        <w:trPr>
          <w:trHeight w:val="27"/>
        </w:trPr>
        <w:tc>
          <w:tcPr>
            <w:tcW w:w="8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8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(16,518)</w:t>
            </w:r>
          </w:p>
        </w:tc>
        <w:tc>
          <w:tcPr>
            <w:tcW w:w="180" w:type="dxa"/>
            <w:vAlign w:val="bottom"/>
          </w:tcPr>
          <w:p>
            <w:pPr>
              <w:spacing w:after="0"/>
              <w:rPr>
                <w:sz w:val="23"/>
                <w:szCs w:val="23"/>
                <w:color w:val="auto"/>
              </w:rPr>
            </w:pPr>
          </w:p>
        </w:tc>
      </w:tr>
      <w:tr>
        <w:trPr>
          <w:trHeight w:val="263"/>
        </w:trPr>
        <w:tc>
          <w:tcPr>
            <w:tcW w:w="8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Aggregate carrying value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81,616</w:t>
            </w:r>
          </w:p>
        </w:tc>
        <w:tc>
          <w:tcPr>
            <w:tcW w:w="180" w:type="dxa"/>
            <w:vAlign w:val="bottom"/>
          </w:tcPr>
          <w:p>
            <w:pPr>
              <w:spacing w:after="0"/>
              <w:rPr>
                <w:sz w:val="22"/>
                <w:szCs w:val="22"/>
                <w:color w:val="auto"/>
              </w:rPr>
            </w:pPr>
          </w:p>
        </w:tc>
      </w:tr>
      <w:tr>
        <w:trPr>
          <w:trHeight w:val="21"/>
        </w:trPr>
        <w:tc>
          <w:tcPr>
            <w:tcW w:w="8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Financing facility</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entered into an agreement on September 30, 2021 with Trinity Capital Inc. ("Trinity") for a $25,000 equipment financing facility, the proceeds of which will be used to acquire certain manufacturing equipment, subject to Trinity's approval. Each draw is executed under a separate payment schedule (a “Schedule”) that constitutes a separate financial instrument. The financing fees included in each Schedule are established through monthly payment factors determined by Trinity. Such monthly payment factors are based on the Prime Rate reported in The Wall Street Journal in effect on the first day of the month in which a Schedule is executed.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Date of Draw</w:t>
            </w:r>
          </w:p>
        </w:tc>
        <w:tc>
          <w:tcPr>
            <w:tcW w:w="360" w:type="dxa"/>
            <w:vAlign w:val="bottom"/>
          </w:tcPr>
          <w:p>
            <w:pPr>
              <w:spacing w:after="0"/>
              <w:rPr>
                <w:sz w:val="16"/>
                <w:szCs w:val="16"/>
                <w:color w:val="auto"/>
              </w:rPr>
            </w:pPr>
          </w:p>
        </w:tc>
        <w:tc>
          <w:tcPr>
            <w:tcW w:w="170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Gross Amount of</w:t>
            </w: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76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Initial Draw</w:t>
            </w:r>
          </w:p>
        </w:tc>
        <w:tc>
          <w:tcPr>
            <w:tcW w:w="10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Coupon Interest Rate</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Debt Issuance Costs</w:t>
            </w: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2021</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180" w:type="dxa"/>
            <w:vAlign w:val="bottom"/>
            <w:tcBorders>
              <w:bottom w:val="single" w:sz="8" w:color="CCEEFF"/>
            </w:tcBorders>
            <w:gridSpan w:val="2"/>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2022</w:t>
            </w:r>
          </w:p>
        </w:tc>
        <w:tc>
          <w:tcPr>
            <w:tcW w:w="3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2180" w:type="dxa"/>
            <w:vAlign w:val="bottom"/>
            <w:gridSpan w:val="2"/>
          </w:tcPr>
          <w:p>
            <w:pPr>
              <w:jc w:val="right"/>
              <w:ind w:right="719"/>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Equipment Financing loans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11,216</w:t>
            </w:r>
          </w:p>
        </w:tc>
        <w:tc>
          <w:tcPr>
            <w:tcW w:w="100" w:type="dxa"/>
            <w:vAlign w:val="bottom"/>
            <w:tcBorders>
              <w:bottom w:val="single" w:sz="8" w:color="CCEEFF"/>
            </w:tcBorders>
            <w:shd w:val="clear" w:color="auto" w:fill="CCEEFF"/>
          </w:tcPr>
          <w:p>
            <w:pPr>
              <w:spacing w:after="0"/>
              <w:rPr>
                <w:sz w:val="24"/>
                <w:szCs w:val="24"/>
                <w:color w:val="auto"/>
              </w:rPr>
            </w:pPr>
          </w:p>
        </w:tc>
        <w:tc>
          <w:tcPr>
            <w:tcW w:w="20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the above fees, a commitment fee of $188 was paid at the 2021 closing of the equipment financing facility. On September 30, 2022, the equipment facility’s unused commitment of $13,784 expired.</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and December 31, 2021, total equipment financing debt outstanding was $8,577 and $6,371, respectively of which $2,872 and $1,644 are recorded as a current liability on the consolidated balance sheets, respectively. For the years ended December 31, 2022 and 2021, the Company recognized $922 and $157 as interest expense attributable to the equipment financing agreement,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Borrowings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Payable – Hi-Power</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connection with the Hi-Power acquisition (see Note 3,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xml:space="preserve">), the Company agreed to pay an aggregate purchase price of $25,000. Principal payments of $5,000 were paid in May 2021 and 2022. The fair value of the note payable was estimated using active market quotes, based on the Company’s incremental borrowing rates for similar types of borrowing arrangements, which were Level 2 inputs (see Note 16,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As of December 31, 2021, notes payable included a current portion of $4,926 and a long-term portion of $13,769, respectively. The Note was extinguished during the third quarter of 2022 with proceeds from the Senior Secured Term Loan. The Company recognized a loss of $942 from debt extinguishment for the year ended December 31,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Warrants Liability - Related Party</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Private placement warrants issued to the Sponsor of BMRG in its initial public offering on May 22, 2020 became exercisable on May 22, 2021. These warrants are classified as Level 2 financial instruments in the fair value hierarchy (see Note 16,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They are valued on the basis of the quoted price of the Company’s public warrants, adjusted for insignificant difference between the public warrants and the private placement warrants. As of December 31, 2022 and 2021, 325,000 private warrants were outstanding with a fair value of $78 and $926, respectively. These amounts are included in warrants liability - related party on the consolidated balance sheets.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14. Warrants Liability - Related Party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3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fair value for the years ended December 31, 2022 and 2021 amounted to $848 and $1,775, respectively. The change has been recognized in loss (gain) on change in fair value of derivatives - related parties in the Company’s consolidated statements of operations and comprehensive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machinery, manufacturing facilities, office space, land, and equipment under both operating and finance leases. Lease assets and lease liabilities as of December 31, 2022 and 2021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40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Classification on Balance Sheet</w:t>
            </w: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p>
        </w:tc>
        <w:tc>
          <w:tcPr>
            <w:tcW w:w="404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operating lease assets</w:t>
            </w: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00" w:type="dxa"/>
            <w:vAlign w:val="bottom"/>
          </w:tcPr>
          <w:p>
            <w:pPr>
              <w:spacing w:after="0"/>
              <w:rPr>
                <w:sz w:val="21"/>
                <w:szCs w:val="21"/>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6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3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40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Classification on Balance Sheet</w:t>
            </w: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p>
        </w:tc>
        <w:tc>
          <w:tcPr>
            <w:tcW w:w="4040" w:type="dxa"/>
            <w:vAlign w:val="bottom"/>
            <w:gridSpan w:val="2"/>
            <w:vMerge w:val="continue"/>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7"/>
        </w:trPr>
        <w:tc>
          <w:tcPr>
            <w:tcW w:w="2960" w:type="dxa"/>
            <w:vAlign w:val="bottom"/>
            <w:tcBorders>
              <w:bottom w:val="single" w:sz="8" w:color="CCEEFF"/>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43"/>
        </w:trPr>
        <w:tc>
          <w:tcPr>
            <w:tcW w:w="2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liability</w:t>
            </w: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3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Finance lease liability</w:t>
            </w:r>
          </w:p>
        </w:tc>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6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3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lease costs for the years ended December 31, 2022 and 2021, were $1,370 and $1,158, respectively. As of December 31, 2022 and 2021, the weighted average remaining term (in years) for the operating leases was 3.82 and 4.15 years, respectively and the weighted average discount rate was 10.4% and 3.3%, respectively. As of December 31, 2022 and 2021, the weighted average remaining term (in years) for the finance leases was 3.94 and 3.47 years, respectively, and the weighted average discount rate was 19.9% and 12.5%,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as of December 31, 2022 were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620" w:type="dxa"/>
            <w:vAlign w:val="bottom"/>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ind w:right="7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0"/>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ind w:right="14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7"/>
        </w:trPr>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r>
      <w:tr>
        <w:trPr>
          <w:trHeight w:val="27"/>
        </w:trPr>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4"/>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00" w:type="dxa"/>
            <w:vAlign w:val="bottom"/>
          </w:tcPr>
          <w:p>
            <w:pPr>
              <w:spacing w:after="0"/>
              <w:rPr>
                <w:sz w:val="22"/>
                <w:szCs w:val="22"/>
                <w:color w:val="auto"/>
              </w:rPr>
            </w:pPr>
          </w:p>
        </w:tc>
        <w:tc>
          <w:tcPr>
            <w:tcW w:w="1620" w:type="dxa"/>
            <w:vAlign w:val="bottom"/>
            <w:tcBorders>
              <w:top w:val="single" w:sz="8" w:color="auto"/>
              <w:bottom w:val="single" w:sz="8" w:color="auto"/>
            </w:tcBorders>
          </w:tcPr>
          <w:p>
            <w:pPr>
              <w:jc w:val="right"/>
              <w:ind w:right="14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6,505</w:t>
            </w: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64"/>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28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64"/>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00" w:type="dxa"/>
            <w:vAlign w:val="bottom"/>
          </w:tcPr>
          <w:p>
            <w:pPr>
              <w:spacing w:after="0"/>
              <w:rPr>
                <w:sz w:val="22"/>
                <w:szCs w:val="22"/>
                <w:color w:val="auto"/>
              </w:rPr>
            </w:pPr>
          </w:p>
        </w:tc>
        <w:tc>
          <w:tcPr>
            <w:tcW w:w="1620" w:type="dxa"/>
            <w:vAlign w:val="bottom"/>
            <w:tcBorders>
              <w:top w:val="single" w:sz="8" w:color="auto"/>
              <w:bottom w:val="single" w:sz="8" w:color="auto"/>
            </w:tcBorders>
          </w:tcPr>
          <w:p>
            <w:pPr>
              <w:jc w:val="right"/>
              <w:ind w:right="14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5,394</w:t>
            </w:r>
          </w:p>
        </w:tc>
      </w:tr>
      <w:tr>
        <w:trPr>
          <w:trHeight w:val="21"/>
        </w:trPr>
        <w:tc>
          <w:tcPr>
            <w:tcW w:w="4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left="280" w:hanging="272"/>
        <w:spacing w:after="0"/>
        <w:tabs>
          <w:tab w:leader="none" w:pos="2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currently leases BESS to one customer with a 20-year term through sales-type leases. Leases offered by the Company include purchase options during the lease term with a bargain purchase option at the end of the term. At the time of accepting a lease that qualifies as a sales-type lease, the Company records the gross amount of lease payments receivable, estimated residual value of the leased equipment and unearned finance income. The unearned finance income is recognized interest income over the lease term using the interest method.</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2022 and 2021, the Company recognized revenue of $1,166 and $353 from the sales-type lease, respectively. Net sales-type lease receivables of $1,471 and $347, net of unearned finance income are recorded under other assets on the consolidated balance sheets as of December 31, 2022 and 2021,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restricted cash, accounts receivable, notes receivable, net, contract assets, long-term restricted cash, accounts payable, convertible notes payable — related party, contract liabilities, long-term debt, and warrants liability- related party.</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Accounting standards establish a hierarchy which prioritizes the inputs to valuation techniques used to measure fair value into three levels. The fair value hierarchy gives the highest priority to quoted market prices (unadjusted) in active markets for identical assets or liabilities (Level 1) and the lowest priority to unobservable inputs (Level 3). Level 2 inputs are inputs other than quoted prices included within Level 1 that are observable for the asset or liability, either directly or indirectly.</w:t>
      </w:r>
    </w:p>
    <w:p>
      <w:pPr>
        <w:spacing w:after="0" w:line="1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Accounting standards require financial assets and liabilities to be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cash and cash equivalents, restricted cash, accounts receivable, contract assets, long-term restricted cash, contract liabilities and accounts payable are considered to be representative of their fair value due to the short maturity of these instruments.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the fair values of certain liabilities that are included within the Company's accompanying consolidated balance sheets, and their designations among the three fair value measurement categories: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920" w:type="dxa"/>
            <w:vAlign w:val="bottom"/>
            <w:tcBorders>
              <w:bottom w:val="single" w:sz="8" w:color="auto"/>
            </w:tcBorders>
          </w:tcPr>
          <w:p>
            <w:pPr>
              <w:spacing w:after="0"/>
              <w:rPr>
                <w:sz w:val="19"/>
                <w:szCs w:val="19"/>
                <w:color w:val="auto"/>
              </w:rPr>
            </w:pPr>
          </w:p>
        </w:tc>
      </w:tr>
      <w:tr>
        <w:trPr>
          <w:trHeight w:val="236"/>
        </w:trPr>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8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20"/>
                <w:szCs w:val="20"/>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40" w:type="dxa"/>
            <w:vAlign w:val="bottom"/>
          </w:tcPr>
          <w:p>
            <w:pPr>
              <w:spacing w:after="0"/>
              <w:rPr>
                <w:sz w:val="20"/>
                <w:szCs w:val="20"/>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20"/>
                <w:szCs w:val="20"/>
                <w:color w:val="auto"/>
              </w:rPr>
            </w:pPr>
          </w:p>
        </w:tc>
        <w:tc>
          <w:tcPr>
            <w:tcW w:w="92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37"/>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derivative liabilities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12,359</w:t>
            </w:r>
          </w:p>
        </w:tc>
      </w:tr>
      <w:tr>
        <w:trPr>
          <w:trHeight w:val="27"/>
        </w:trPr>
        <w:tc>
          <w:tcPr>
            <w:tcW w:w="35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presents a roll-forward of the activity of the embedded derivative liabilities within our 2021 Convertible Notes and the December 2022 Promissory Note (see Note 13,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for further discussion). These liabilities were measured at fair value on a recurring basis using significant unobservable inputs (Level 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9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320" w:type="dxa"/>
            <w:vAlign w:val="bottom"/>
            <w:tcBorders>
              <w:bottom w:val="single" w:sz="8" w:color="CCEEFF"/>
            </w:tcBorders>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29,866</w:t>
            </w:r>
          </w:p>
        </w:tc>
      </w:tr>
      <w:tr>
        <w:trPr>
          <w:trHeight w:val="27"/>
        </w:trPr>
        <w:tc>
          <w:tcPr>
            <w:tcW w:w="69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included in earnings</w:t>
            </w:r>
          </w:p>
        </w:tc>
        <w:tc>
          <w:tcPr>
            <w:tcW w:w="1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(17,507)</w:t>
            </w:r>
          </w:p>
        </w:tc>
      </w:tr>
      <w:tr>
        <w:trPr>
          <w:trHeight w:val="26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1320" w:type="dxa"/>
            <w:vAlign w:val="bottom"/>
            <w:tcBorders>
              <w:top w:val="single" w:sz="8" w:color="auto"/>
              <w:bottom w:val="single" w:sz="8" w:color="auto"/>
            </w:tcBorders>
          </w:tcPr>
          <w:p>
            <w:pPr>
              <w:jc w:val="right"/>
              <w:ind w:right="11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12,359</w:t>
            </w:r>
          </w:p>
        </w:tc>
      </w:tr>
      <w:tr>
        <w:trPr>
          <w:trHeight w:val="21"/>
        </w:trPr>
        <w:tc>
          <w:tcPr>
            <w:tcW w:w="69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 Fair Value Measurement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financial instruments not carried at fair value in the consolidated balance sheets was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5"/>
          </w:tcPr>
          <w:p>
            <w:pPr>
              <w:ind w:left="8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20" w:type="dxa"/>
            <w:vAlign w:val="bottom"/>
          </w:tcPr>
          <w:p>
            <w:pPr>
              <w:spacing w:after="0"/>
              <w:rPr>
                <w:sz w:val="18"/>
                <w:szCs w:val="18"/>
                <w:color w:val="auto"/>
              </w:rPr>
            </w:pPr>
          </w:p>
        </w:tc>
        <w:tc>
          <w:tcPr>
            <w:tcW w:w="2720" w:type="dxa"/>
            <w:vAlign w:val="bottom"/>
            <w:gridSpan w:val="4"/>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2160" w:type="dxa"/>
            <w:vAlign w:val="bottom"/>
            <w:vMerge w:val="restart"/>
          </w:tcPr>
          <w:p>
            <w:pPr>
              <w:ind w:left="820"/>
              <w:spacing w:after="0"/>
              <w:rPr>
                <w:sz w:val="20"/>
                <w:szCs w:val="20"/>
                <w:color w:val="auto"/>
              </w:rPr>
            </w:pPr>
            <w:r>
              <w:rPr>
                <w:rFonts w:ascii="Times New Roman" w:cs="Times New Roman" w:eastAsia="Times New Roman" w:hAnsi="Times New Roman"/>
                <w:sz w:val="16"/>
                <w:szCs w:val="16"/>
                <w:b w:val="1"/>
                <w:bCs w:val="1"/>
                <w:color w:val="auto"/>
              </w:rPr>
              <w:t>Level in fair value</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320" w:type="dxa"/>
            <w:vAlign w:val="bottom"/>
          </w:tcPr>
          <w:p>
            <w:pPr>
              <w:spacing w:after="0"/>
              <w:rPr>
                <w:sz w:val="19"/>
                <w:szCs w:val="19"/>
                <w:color w:val="auto"/>
              </w:rPr>
            </w:pPr>
          </w:p>
        </w:tc>
        <w:tc>
          <w:tcPr>
            <w:tcW w:w="2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20" w:type="dxa"/>
            <w:vAlign w:val="bottom"/>
          </w:tcPr>
          <w:p>
            <w:pPr>
              <w:spacing w:after="0"/>
              <w:rPr>
                <w:sz w:val="20"/>
                <w:szCs w:val="20"/>
                <w:color w:val="auto"/>
              </w:rPr>
            </w:pPr>
          </w:p>
        </w:tc>
        <w:tc>
          <w:tcPr>
            <w:tcW w:w="2160" w:type="dxa"/>
            <w:vAlign w:val="bottom"/>
          </w:tcPr>
          <w:p>
            <w:pPr>
              <w:jc w:val="center"/>
              <w:ind w:left="212"/>
              <w:spacing w:after="0"/>
              <w:rPr>
                <w:sz w:val="20"/>
                <w:szCs w:val="20"/>
                <w:color w:val="auto"/>
              </w:rPr>
            </w:pPr>
            <w:r>
              <w:rPr>
                <w:rFonts w:ascii="Times New Roman" w:cs="Times New Roman" w:eastAsia="Times New Roman" w:hAnsi="Times New Roman"/>
                <w:sz w:val="16"/>
                <w:szCs w:val="16"/>
                <w:b w:val="1"/>
                <w:bCs w:val="1"/>
                <w:color w:val="auto"/>
                <w:w w:val="98"/>
              </w:rPr>
              <w:t>hierarchy</w:t>
            </w: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0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20" w:type="dxa"/>
            <w:vAlign w:val="bottom"/>
          </w:tcPr>
          <w:p>
            <w:pPr>
              <w:spacing w:after="0"/>
              <w:rPr>
                <w:sz w:val="20"/>
                <w:szCs w:val="20"/>
                <w:color w:val="auto"/>
              </w:rPr>
            </w:pPr>
          </w:p>
        </w:tc>
        <w:tc>
          <w:tcPr>
            <w:tcW w:w="11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2160" w:type="dxa"/>
            <w:vAlign w:val="bottom"/>
            <w:tcBorders>
              <w:top w:val="single" w:sz="8" w:color="CCEEFF"/>
              <w:bottom w:val="single" w:sz="8" w:color="CCEEFF"/>
            </w:tcBorders>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payable- Hi-Power</w:t>
            </w:r>
          </w:p>
        </w:tc>
        <w:tc>
          <w:tcPr>
            <w:tcW w:w="216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14,607</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Convertible Notes*</w:t>
            </w:r>
          </w:p>
        </w:tc>
        <w:tc>
          <w:tcPr>
            <w:tcW w:w="2160" w:type="dxa"/>
            <w:vAlign w:val="bottom"/>
            <w:tcBorders>
              <w:bottom w:val="single" w:sz="8" w:color="CCEEFF"/>
            </w:tcBorders>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74,225</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w:t>
            </w:r>
          </w:p>
        </w:tc>
        <w:tc>
          <w:tcPr>
            <w:tcW w:w="216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financing facility</w:t>
            </w:r>
          </w:p>
        </w:tc>
        <w:tc>
          <w:tcPr>
            <w:tcW w:w="2160" w:type="dxa"/>
            <w:vAlign w:val="bottom"/>
            <w:tcBorders>
              <w:bottom w:val="single" w:sz="8" w:color="CCEEFF"/>
            </w:tcBorders>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2022 Promissory Note*</w:t>
            </w:r>
          </w:p>
        </w:tc>
        <w:tc>
          <w:tcPr>
            <w:tcW w:w="216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176,694</w:t>
            </w:r>
          </w:p>
        </w:tc>
        <w:tc>
          <w:tcPr>
            <w:tcW w:w="10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149,864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97,588</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*Includes the embedded derivative liabilities.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has lease commitments under lease agreements. See Note 15,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Minimum Volume Commitment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2022, the Company entered into a long-term supply agreement with a minimum volume commitment with a third party, which provides services to process certain raw materials. Any purchase order issued under this supply agreement will be non-cancellable. To the extent the Company fails to order the guaranteed minimum volume defined in the contract at the end of the term, the Company is required to pay the counterparty an amount equal to the shortfall, if any, multiplied by a fee. As of December 31, 2022, the Company had open purchase commitments of $242 under this agreement. The Company believes that the probability of failing to meet the minimum volume commitment is remote and no shortfall penalty has been accrued as of December 31,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Department of Justice</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7, 2022, the Company entered into a settlement agreement with the U.S. Department of Justice (DOJ) and Vincent Icolari (“Relator”) to resolve the previously disclosed investigation by the DOJ for underpayment of certain custom duties in past years in connection with imports of batteries and battery components manufactured abroad. The investigation resulted from a qui tam lawsuit (the “Civil Action”) filed by the Relator in December 2019 alleging violations of the False Claims Act.</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the settlement agreement, the Company has agreed to pay a total of $1,017 to the United States Department of Justice and $70 to Relator’s counsel. Upon receipt of such payments, the DOJ and the Relator have agreed to release the Company from civil monetary and administrative claims under the False Claims Act and the Relator has agreed to release the Company from any claims related to the Civil Action. The Company has fully settled this liability as of December 31, 2022.</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 Subpoena</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2022, the Company received a subpoena from the U.S. Securities and Exchange Commission (“SEC”). On August 29, 2022, the Company received a letter from the SEC informing the Company that the SEC’s investigation relating to the subpoena has concluded without any recommendation for enforcement action as to the Company.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17. Commitments and Contingencies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Delaware Section 205 Petition</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12, 2020, B. Riley Principal Merger Corp. II (“BMRG”), the predecessor to the Company, held a special meeting of stockholders (the “BMRG Special Meeting”) to approve certain matters relating to the business combination between BMRG and Eos Energy Storage LLC.</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One of these matters was a proposal to amend and restate BMRG’s certificate of incorporation in order to, among other things, increase the number of authorized shares of common stock from 125,000,000 shares of common stock, consisting of 100,000,000 shares of Class A common stock and 25,000,000 shares of Class B common stock, to 200,000,000 shares of common stock, and to reclassify all Class A common stock and Class B common stock as a single class of common stock (the “Charter Amendment Proposal”). The Charter Amendment Proposal was approved by a majority of the outstanding shares of Class A common stock and Class B common stock of BMRG as of the record date for the BMRG Special Meeting, voting together as a single class, although voting records indicate that a majority of each of the shares of Class A common stock and Class B common stock also approved the Charter Amendment Proposal. After the BMRG Special Meeting, BMRG and Eos Energy Storage LLC closed the business combination and the Company’s certificate of incorporation, as amended to give effect to the Charter Amendment Proposal, became effective.</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recent ruling by the Delaware Court of Chancery introduced uncertainty as to whether Section 242(b)(2) of the Delaware General Corporation Law (the “DGCL”) would have required the Charter Amendment Proposal to be approved by separate votes of the majority of BMRG’s then-outstanding shares of Class A common stock and Class B common stock.</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been proceeding with the understanding that the Charter Amendment Proposal and the amendment and restated certificate of incorporation are valid. In light of this recent ruling, however, to resolve potential uncertainty with respect to the Company’s capital structure, the Company filed a petition in the Delaware Court of Chancery under Section 205 of the DGCL to seek validation of the Charter Amendment Proposal. Section 205 of the DGCL permits the Court of Chancery, in its discretion, to ratify and validate potentially defective corporate acts.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27, 2023, the Court of Chancery approved the Company's request for relief and entered an order under Section 205 of the Delaware General Corporation Law (1) declaring the Company's Third Amended and Restated Certificate of Incorporation (the "Charter"), including the filing and effectiveness thereof, as validated and effective retroactive to the date of its filing with the Office of the Secretary of State of the State of Delaware on November 16, 2020, and all amendments effected thereby and (2) ordering that the Company's securities (and the issuance of the securities) described in the Petition and any other securities issued in reliance on the validity of the Charter are validated and declared effective, each as of the original issuance 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Stock-Based Compensation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included in the consolidated statements of operations and comprehensive loss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356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7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00" w:type="dxa"/>
            <w:vAlign w:val="bottom"/>
          </w:tcPr>
          <w:p>
            <w:pPr>
              <w:spacing w:after="0"/>
              <w:rPr>
                <w:sz w:val="20"/>
                <w:szCs w:val="20"/>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80" w:type="dxa"/>
            <w:vAlign w:val="bottom"/>
            <w:tcBorders>
              <w:bottom w:val="single" w:sz="8" w:color="CCEEFF"/>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10,792</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11,249</w:t>
            </w:r>
          </w:p>
        </w:tc>
      </w:tr>
      <w:tr>
        <w:trPr>
          <w:trHeight w:val="27"/>
        </w:trPr>
        <w:tc>
          <w:tcPr>
            <w:tcW w:w="69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13,794</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 compensation has been recorded in cost of goods sold, research and development expenses and selling, general and administrative expenses.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years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18. Stock-Based Compensation </w:t>
            </w:r>
            <w:r>
              <w:rPr>
                <w:rFonts w:ascii="Times New Roman" w:cs="Times New Roman" w:eastAsia="Times New Roman" w:hAnsi="Times New Roman"/>
                <w:sz w:val="18"/>
                <w:szCs w:val="18"/>
                <w:color w:val="auto"/>
              </w:rPr>
              <w:t>(cont.)</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612"/>
        </w:trPr>
        <w:tc>
          <w:tcPr>
            <w:tcW w:w="4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4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4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 Term</w:t>
            </w:r>
          </w:p>
        </w:tc>
      </w:tr>
      <w:tr>
        <w:trPr>
          <w:trHeight w:val="238"/>
        </w:trPr>
        <w:tc>
          <w:tcPr>
            <w:tcW w:w="4920" w:type="dxa"/>
            <w:vAlign w:val="bottom"/>
          </w:tcPr>
          <w:p>
            <w:pPr>
              <w:spacing w:after="0"/>
              <w:rPr>
                <w:sz w:val="20"/>
                <w:szCs w:val="20"/>
                <w:color w:val="auto"/>
              </w:rPr>
            </w:pPr>
          </w:p>
        </w:tc>
        <w:tc>
          <w:tcPr>
            <w:tcW w:w="122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7"/>
        </w:trPr>
        <w:tc>
          <w:tcPr>
            <w:tcW w:w="49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December 31, 2020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2,143,636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r>
      <w:tr>
        <w:trPr>
          <w:trHeight w:val="243"/>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114,429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(110,768)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(123,837)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r>
      <w:tr>
        <w:trPr>
          <w:trHeight w:val="243"/>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December 31, 2021</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2,023,460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r>
      <w:tr>
        <w:trPr>
          <w:trHeight w:val="243"/>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3,275,224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1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(953,872)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spacing w:after="0"/>
              <w:rPr>
                <w:sz w:val="23"/>
                <w:szCs w:val="23"/>
                <w:color w:val="auto"/>
              </w:rPr>
            </w:pPr>
          </w:p>
        </w:tc>
      </w:tr>
      <w:tr>
        <w:trPr>
          <w:trHeight w:val="237"/>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December 31, 2022</w:t>
            </w:r>
          </w:p>
        </w:tc>
        <w:tc>
          <w:tcPr>
            <w:tcW w:w="1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4,344,812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4.37</w:t>
            </w:r>
          </w:p>
        </w:tc>
        <w:tc>
          <w:tcPr>
            <w:tcW w:w="1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r>
      <w:tr>
        <w:trPr>
          <w:trHeight w:val="27"/>
        </w:trPr>
        <w:tc>
          <w:tcPr>
            <w:tcW w:w="4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 at December 31, 2022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2,314,963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r>
      <w:tr>
        <w:trPr>
          <w:trHeight w:val="27"/>
        </w:trPr>
        <w:tc>
          <w:tcPr>
            <w:tcW w:w="49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units (RSU) activity for the years ended December 31, 2022 and 2021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38"/>
        </w:trPr>
        <w:tc>
          <w:tcPr>
            <w:tcW w:w="6980" w:type="dxa"/>
            <w:vAlign w:val="bottom"/>
          </w:tcPr>
          <w:p>
            <w:pPr>
              <w:spacing w:after="0"/>
              <w:rPr>
                <w:sz w:val="20"/>
                <w:szCs w:val="20"/>
                <w:color w:val="auto"/>
              </w:rPr>
            </w:pPr>
          </w:p>
        </w:tc>
        <w:tc>
          <w:tcPr>
            <w:tcW w:w="208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Grant-Date Fair Value</w:t>
            </w:r>
          </w:p>
        </w:tc>
      </w:tr>
      <w:tr>
        <w:trPr>
          <w:trHeight w:val="27"/>
        </w:trPr>
        <w:tc>
          <w:tcPr>
            <w:tcW w:w="69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RSUs Outstanding at December 31, 2020</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42,318</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13.46</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2,580,670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r>
      <w:tr>
        <w:trPr>
          <w:trHeight w:val="27"/>
        </w:trPr>
        <w:tc>
          <w:tcPr>
            <w:tcW w:w="6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r>
      <w:tr>
        <w:trPr>
          <w:trHeight w:val="27"/>
        </w:trPr>
        <w:tc>
          <w:tcPr>
            <w:tcW w:w="69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RSUs Outstanding at December 31, 2021</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2,194,756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16.36</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2,557,263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7"/>
        </w:trPr>
        <w:tc>
          <w:tcPr>
            <w:tcW w:w="6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Cancelled/Forfeited</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(1,051,951)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(704,178)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7"/>
        </w:trPr>
        <w:tc>
          <w:tcPr>
            <w:tcW w:w="69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8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RSUs Outstanding at December 31, 2022</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2,995,890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7.89</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2022, the Company reserved an additional 2,537,866 shares for the Amended and Restated 2020 Incentive Plan. As of December 31, 2022 and 2021, 994,108 and 2,282,906 shares remain for future issuance, respectively. Options generally have a term of five to ten years and vest over periods ranging from three months to five years. RSUs generally vest over periods from three to four years. During the year ended December 31, 2022, the Company granted 75,000 RSUs and 2,325,000 options with performance and service conditions. Stock compensation is recognized on a straight-line basis over the requisite service period of the award, which is generally the award vesting term. For awards with performance conditions, compensation expense is recognized using an accelerated attribution method over the vesting period. The performance conditions primarily relate to achievement of sales and financing targets. In December 2022, the Company modified 625,000 of performance-based stock options that were issued in June 2022 by extending the period to meet certain performance conditions. As of December 31, 2022, there were 15,000 and 1,575,000 performance-based RSUs and stock options, respectively.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total unrecognized stock compensation expense was $16,314 of which $14,604 was attributable to unvested RSUs and $1,710 attributable to unvested stock options. Compensation expense for these unvested awards is expected to be recognized over a weighted-average remaining vesting period of 0.5 years for stock options and 1.5 years for RSUs.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18. Stock-Based Compensation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assumptions used to determine the fair value of options granted in 2022 and 2021 are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61.36 %</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58.86 %</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10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0.67 %</w:t>
            </w:r>
          </w:p>
        </w:tc>
      </w:tr>
      <w:tr>
        <w:trPr>
          <w:trHeight w:val="27"/>
        </w:trPr>
        <w:tc>
          <w:tcPr>
            <w:tcW w:w="67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4.18</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RSUs issued were valued at the stock price of the Company on the date of the grant.</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all options granted was $0.72 and $8.08 per option for the years ended December 31,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Income Taxes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subject to regulation under U.S., Italy and India tax laws, regulations and policies. Changes to these laws or regulations may affect the Company’s tax liability, return on investments and business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before income taxes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(losses) before income taxes were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40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tcPr>
          <w:p>
            <w:pPr>
              <w:spacing w:after="0"/>
              <w:rPr>
                <w:sz w:val="20"/>
                <w:szCs w:val="20"/>
                <w:color w:val="auto"/>
              </w:rPr>
            </w:pPr>
          </w:p>
        </w:tc>
        <w:tc>
          <w:tcPr>
            <w:tcW w:w="266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8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3920" w:type="dxa"/>
            <w:vAlign w:val="bottom"/>
            <w:tcBorders>
              <w:bottom w:val="single" w:sz="8" w:color="CCEEFF"/>
            </w:tcBorders>
            <w:gridSpan w:val="2"/>
            <w:shd w:val="clear" w:color="auto" w:fill="CCEEFF"/>
          </w:tcPr>
          <w:p>
            <w:pPr>
              <w:jc w:val="right"/>
              <w:ind w:right="1077"/>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(229,923)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Non-U.S.</w:t>
            </w:r>
          </w:p>
        </w:tc>
        <w:tc>
          <w:tcPr>
            <w:tcW w:w="26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(loss) before income tax</w:t>
            </w:r>
          </w:p>
        </w:tc>
        <w:tc>
          <w:tcPr>
            <w:tcW w:w="3920" w:type="dxa"/>
            <w:vAlign w:val="bottom"/>
            <w:gridSpan w:val="2"/>
            <w:shd w:val="clear" w:color="auto" w:fill="CCEEFF"/>
          </w:tcPr>
          <w:p>
            <w:pPr>
              <w:jc w:val="right"/>
              <w:ind w:right="1077"/>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(229,762)</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expense (benefit)</w:t>
            </w:r>
          </w:p>
        </w:tc>
        <w:tc>
          <w:tcPr>
            <w:tcW w:w="26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3"/>
        </w:trPr>
        <w:tc>
          <w:tcPr>
            <w:tcW w:w="4360" w:type="dxa"/>
            <w:vAlign w:val="bottom"/>
            <w:vMerge w:val="continue"/>
          </w:tcPr>
          <w:p>
            <w:pPr>
              <w:spacing w:after="0"/>
              <w:rPr>
                <w:sz w:val="24"/>
                <w:szCs w:val="24"/>
                <w:color w:val="auto"/>
              </w:rPr>
            </w:pPr>
          </w:p>
        </w:tc>
        <w:tc>
          <w:tcPr>
            <w:tcW w:w="2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 was as follows:</w:t>
            </w:r>
          </w:p>
        </w:tc>
        <w:tc>
          <w:tcPr>
            <w:tcW w:w="2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3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340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expense (benefit):</w:t>
            </w:r>
          </w:p>
        </w:tc>
        <w:tc>
          <w:tcPr>
            <w:tcW w:w="266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3920" w:type="dxa"/>
            <w:vAlign w:val="bottom"/>
            <w:gridSpan w:val="2"/>
          </w:tcPr>
          <w:p>
            <w:pPr>
              <w:jc w:val="right"/>
              <w:ind w:right="107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state and local</w:t>
            </w:r>
          </w:p>
        </w:tc>
        <w:tc>
          <w:tcPr>
            <w:tcW w:w="26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Non-U.S.</w:t>
            </w:r>
          </w:p>
        </w:tc>
        <w:tc>
          <w:tcPr>
            <w:tcW w:w="26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income tax (benefit) provision</w:t>
            </w:r>
          </w:p>
        </w:tc>
        <w:tc>
          <w:tcPr>
            <w:tcW w:w="3920" w:type="dxa"/>
            <w:vAlign w:val="bottom"/>
            <w:tcBorders>
              <w:bottom w:val="single" w:sz="8" w:color="CCEEFF"/>
            </w:tcBorders>
            <w:gridSpan w:val="2"/>
            <w:shd w:val="clear" w:color="auto" w:fill="CCEEFF"/>
          </w:tcPr>
          <w:p>
            <w:pPr>
              <w:jc w:val="right"/>
              <w:ind w:right="1077"/>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expense (benefit):</w:t>
            </w:r>
          </w:p>
        </w:tc>
        <w:tc>
          <w:tcPr>
            <w:tcW w:w="266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92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federal</w:t>
            </w:r>
          </w:p>
        </w:tc>
        <w:tc>
          <w:tcPr>
            <w:tcW w:w="3920" w:type="dxa"/>
            <w:vAlign w:val="bottom"/>
            <w:tcBorders>
              <w:bottom w:val="single" w:sz="8" w:color="CCEEFF"/>
            </w:tcBorders>
            <w:gridSpan w:val="2"/>
            <w:shd w:val="clear" w:color="auto" w:fill="CCEEFF"/>
          </w:tcPr>
          <w:p>
            <w:pPr>
              <w:jc w:val="right"/>
              <w:ind w:right="107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state and local</w:t>
            </w:r>
          </w:p>
        </w:tc>
        <w:tc>
          <w:tcPr>
            <w:tcW w:w="26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Non-U.S.</w:t>
            </w:r>
          </w:p>
        </w:tc>
        <w:tc>
          <w:tcPr>
            <w:tcW w:w="26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income tax (benefit) provision</w:t>
            </w:r>
          </w:p>
        </w:tc>
        <w:tc>
          <w:tcPr>
            <w:tcW w:w="266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(benefit) provision</w:t>
            </w:r>
          </w:p>
        </w:tc>
        <w:tc>
          <w:tcPr>
            <w:tcW w:w="26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07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Borders>
              <w:bottom w:val="single" w:sz="8" w:color="auto"/>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4360" w:type="dxa"/>
            <w:vAlign w:val="bottom"/>
          </w:tcPr>
          <w:p>
            <w:pPr>
              <w:spacing w:after="0"/>
              <w:rPr>
                <w:sz w:val="24"/>
                <w:szCs w:val="24"/>
                <w:color w:val="auto"/>
              </w:rPr>
            </w:pPr>
          </w:p>
        </w:tc>
        <w:tc>
          <w:tcPr>
            <w:tcW w:w="3920" w:type="dxa"/>
            <w:vAlign w:val="bottom"/>
            <w:gridSpan w:val="2"/>
          </w:tcPr>
          <w:p>
            <w:pPr>
              <w:jc w:val="right"/>
              <w:ind w:right="2397"/>
              <w:spacing w:after="0"/>
              <w:rPr>
                <w:sz w:val="20"/>
                <w:szCs w:val="20"/>
                <w:color w:val="auto"/>
              </w:rPr>
            </w:pPr>
            <w:r>
              <w:rPr>
                <w:rFonts w:ascii="Times New Roman" w:cs="Times New Roman" w:eastAsia="Times New Roman" w:hAnsi="Times New Roman"/>
                <w:sz w:val="18"/>
                <w:szCs w:val="18"/>
                <w:color w:val="auto"/>
              </w:rPr>
              <w:t>F-35</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Income Taxes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32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Company has a tax provision of $51 for the year ended December 31, 2022 due to foreign taxable income and the generation of U.S. taxable losses offset by a valuation allowance, discussed below, on the deferred tax assets. The Company has a tax provision of $— for the year ended December 31, 2021 due to the generation of U.S. taxable losses offset by a valuation allowance on the deferred tax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Federal Statutory income tax rate to actual income tax rate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from the statutory U.S. federal income tax rate to the effective tax rate is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980" w:type="dxa"/>
            <w:vAlign w:val="bottom"/>
          </w:tcPr>
          <w:p>
            <w:pPr>
              <w:spacing w:after="0"/>
              <w:rPr>
                <w:sz w:val="19"/>
                <w:szCs w:val="19"/>
                <w:color w:val="auto"/>
              </w:rPr>
            </w:pPr>
          </w:p>
        </w:tc>
        <w:tc>
          <w:tcPr>
            <w:tcW w:w="346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800" w:type="dxa"/>
            <w:vAlign w:val="bottom"/>
            <w:tcBorders>
              <w:bottom w:val="single" w:sz="8" w:color="auto"/>
            </w:tcBorders>
          </w:tcPr>
          <w:p>
            <w:pPr>
              <w:spacing w:after="0"/>
              <w:rPr>
                <w:sz w:val="19"/>
                <w:szCs w:val="19"/>
                <w:color w:val="auto"/>
              </w:rPr>
            </w:pPr>
          </w:p>
        </w:tc>
      </w:tr>
      <w:tr>
        <w:trPr>
          <w:trHeight w:val="237"/>
        </w:trPr>
        <w:tc>
          <w:tcPr>
            <w:tcW w:w="698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0" w:type="dxa"/>
            <w:vAlign w:val="bottom"/>
            <w:tcBorders>
              <w:bottom w:val="single" w:sz="8" w:color="auto"/>
            </w:tcBorders>
          </w:tcPr>
          <w:p>
            <w:pPr>
              <w:spacing w:after="0"/>
              <w:rPr>
                <w:sz w:val="20"/>
                <w:szCs w:val="20"/>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80" w:type="dxa"/>
            <w:vAlign w:val="bottom"/>
            <w:tcBorders>
              <w:bottom w:val="single" w:sz="8" w:color="CCEEFF"/>
            </w:tcBorders>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(229,762)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(124,216)</w:t>
            </w:r>
          </w:p>
        </w:tc>
      </w:tr>
      <w:tr>
        <w:trPr>
          <w:trHeight w:val="270"/>
        </w:trPr>
        <w:tc>
          <w:tcPr>
            <w:tcW w:w="69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U.S. federal income tax (21%)</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(26,085)</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income tax</w:t>
            </w:r>
          </w:p>
        </w:tc>
        <w:tc>
          <w:tcPr>
            <w:tcW w:w="1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(12,051)</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w:t>
            </w:r>
          </w:p>
        </w:tc>
      </w:tr>
      <w:tr>
        <w:trPr>
          <w:trHeight w:val="27"/>
        </w:trPr>
        <w:tc>
          <w:tcPr>
            <w:tcW w:w="6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taxed at rates other than statutory</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convertible debt</w:t>
            </w:r>
          </w:p>
        </w:tc>
        <w:tc>
          <w:tcPr>
            <w:tcW w:w="1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r>
      <w:tr>
        <w:trPr>
          <w:trHeight w:val="27"/>
        </w:trPr>
        <w:tc>
          <w:tcPr>
            <w:tcW w:w="6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warrant cost</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7"/>
        </w:trPr>
        <w:tc>
          <w:tcPr>
            <w:tcW w:w="6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36,541</w:t>
            </w:r>
          </w:p>
        </w:tc>
      </w:tr>
      <w:tr>
        <w:trPr>
          <w:trHeight w:val="24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69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1280" w:type="dxa"/>
            <w:vAlign w:val="bottom"/>
            <w:tcBorders>
              <w:bottom w:val="single" w:sz="8" w:color="auto"/>
            </w:tcBorders>
            <w:shd w:val="clear" w:color="auto" w:fill="CCEEFF"/>
          </w:tcPr>
          <w:p>
            <w:pPr>
              <w:jc w:val="right"/>
              <w:ind w:right="107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2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reported income tax provision differs from the amount computed by applying the statutory US federal income tax rate of 21% to the income before income taxes primarily due to pretax losses for which no tax benefit has been provided, non-deductible convertible debt, as well as stock-based compensation.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deferred income taxes to reflect the net tax effects of temporary differences, if any, between the carrying amounts of assets and liabilities for financial reporting and the amounts used for income tax purposes. The components of deferred tax assets and liabilities at December 31, 2022 and 2021 were as follows: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Income Taxes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98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36"/>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NOL carryforwards</w:t>
            </w:r>
          </w:p>
        </w:tc>
        <w:tc>
          <w:tcPr>
            <w:tcW w:w="1280" w:type="dxa"/>
            <w:vAlign w:val="bottom"/>
          </w:tcPr>
          <w:p>
            <w:pPr>
              <w:jc w:val="right"/>
              <w:ind w:right="107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121,142</w:t>
            </w:r>
          </w:p>
        </w:tc>
        <w:tc>
          <w:tcPr>
            <w:tcW w:w="100" w:type="dxa"/>
            <w:vAlign w:val="bottom"/>
          </w:tcPr>
          <w:p>
            <w:pPr>
              <w:spacing w:after="0"/>
              <w:rPr>
                <w:sz w:val="21"/>
                <w:szCs w:val="21"/>
                <w:color w:val="auto"/>
              </w:rPr>
            </w:pP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loss carryforwards</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43"/>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0" w:type="dxa"/>
            <w:vAlign w:val="bottom"/>
          </w:tcPr>
          <w:p>
            <w:pPr>
              <w:spacing w:after="0"/>
              <w:rPr>
                <w:sz w:val="1"/>
                <w:szCs w:val="1"/>
                <w:color w:val="auto"/>
              </w:rPr>
            </w:pPr>
          </w:p>
        </w:tc>
      </w:tr>
      <w:tr>
        <w:trPr>
          <w:trHeight w:val="243"/>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research &amp; experimental costs</w:t>
            </w:r>
          </w:p>
        </w:tc>
        <w:tc>
          <w:tcPr>
            <w:tcW w:w="1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0" w:type="dxa"/>
            <w:vAlign w:val="bottom"/>
          </w:tcPr>
          <w:p>
            <w:pPr>
              <w:spacing w:after="0"/>
              <w:rPr>
                <w:sz w:val="1"/>
                <w:szCs w:val="1"/>
                <w:color w:val="auto"/>
              </w:rPr>
            </w:pPr>
          </w:p>
        </w:tc>
      </w:tr>
      <w:tr>
        <w:trPr>
          <w:trHeight w:val="243"/>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Accruals and reserves</w:t>
            </w:r>
          </w:p>
        </w:tc>
        <w:tc>
          <w:tcPr>
            <w:tcW w:w="1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Organizational costs</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43"/>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liability</w:t>
            </w:r>
          </w:p>
        </w:tc>
        <w:tc>
          <w:tcPr>
            <w:tcW w:w="1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Fixed assets</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limitation</w:t>
            </w:r>
          </w:p>
        </w:tc>
        <w:tc>
          <w:tcPr>
            <w:tcW w:w="12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1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43"/>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Transaction costs</w:t>
            </w:r>
          </w:p>
        </w:tc>
        <w:tc>
          <w:tcPr>
            <w:tcW w:w="1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gross</w:t>
            </w:r>
          </w:p>
        </w:tc>
        <w:tc>
          <w:tcPr>
            <w:tcW w:w="1280" w:type="dxa"/>
            <w:vAlign w:val="bottom"/>
            <w:tcBorders>
              <w:bottom w:val="single" w:sz="8" w:color="CCEEFF"/>
            </w:tcBorders>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83,016</w:t>
            </w:r>
          </w:p>
        </w:tc>
        <w:tc>
          <w:tcPr>
            <w:tcW w:w="0" w:type="dxa"/>
            <w:vAlign w:val="bottom"/>
          </w:tcPr>
          <w:p>
            <w:pPr>
              <w:spacing w:after="0"/>
              <w:rPr>
                <w:sz w:val="1"/>
                <w:szCs w:val="1"/>
                <w:color w:val="auto"/>
              </w:rPr>
            </w:pPr>
          </w:p>
        </w:tc>
      </w:tr>
      <w:tr>
        <w:trPr>
          <w:trHeight w:val="243"/>
        </w:trPr>
        <w:tc>
          <w:tcPr>
            <w:tcW w:w="6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1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(140,858)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(80,415)</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1280" w:type="dxa"/>
            <w:vAlign w:val="bottom"/>
            <w:tcBorders>
              <w:bottom w:val="single" w:sz="8" w:color="auto"/>
            </w:tcBorders>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98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Fixed assets</w:t>
            </w: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43"/>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 of use asset</w:t>
            </w:r>
          </w:p>
        </w:tc>
        <w:tc>
          <w:tcPr>
            <w:tcW w:w="1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 payable</w:t>
            </w:r>
          </w:p>
        </w:tc>
        <w:tc>
          <w:tcPr>
            <w:tcW w:w="1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43"/>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Intangibles</w:t>
            </w:r>
          </w:p>
        </w:tc>
        <w:tc>
          <w:tcPr>
            <w:tcW w:w="1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deferred tax asset (liability)</w:t>
            </w:r>
          </w:p>
        </w:tc>
        <w:tc>
          <w:tcPr>
            <w:tcW w:w="1280" w:type="dxa"/>
            <w:vAlign w:val="bottom"/>
            <w:shd w:val="clear" w:color="auto" w:fill="CCEEFF"/>
          </w:tcPr>
          <w:p>
            <w:pPr>
              <w:jc w:val="right"/>
              <w:ind w:right="10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Company’s net deferred tax balances consist primarily of U.S. federal and state net operating losses (“NOLs”) available for carry forward, tax amortizable goodwill in excess of financial statement goodwill, stock-based compensation, and capitalized research and experimental (“R&amp;E”) costs. As of December 31, 2021, the Company's net deferred tax balances consist primarily of U.S. federal and state NOLs as available for carry forward and tax amortizable goodwill in excess of financial statement goodwill.</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Cuts &amp; Jobs Act of 2017 ("TCJA") mandated that R&amp;E costs incurred in tax years beginning after December 31, 2021 must be capitalized and amortized over five years if the research is performed in the United States and over 15 years if performed outside the United States. As of December 31, 2022, the Company has capitalized and will amortize these costs over the required periods.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2021, the Company participated in a tax certificate transfer program with the state of New Jersey and sold a portion of its available prior year New Jersey state NOLs, in varying amounts from tax years 2017 through 2019. The deferred tax balances and related disclosures above reflect the adjusted attribute carryforwards and associated deferred tax assets post-sale of the prior years’ attributes. The Company did not participate in the program during 2022.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Income Taxes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3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a valuation allowance where it is more-likely-than-not that all or a portion of a deferred tax asset may not be realized. Changes in the valuation allowance are included in the Company’s income tax provision in the period of change. In determining whether a valuation allowance is required, the Company evaluates factors such as prior earnings history, expected future earnings, reversal of existing taxable temporary differences, carry back and carry forward periods and tax planning strategies that could potentially enhance the likelihood of the realization of a deferred tax asset. As of December 31, 2022, all deferred tax assets related to the U.S. Management has determined that it is more-likely-than not that the Company will not be able to utilize its deferred tax assets at December 31, 2022 and 2021 due to a history of cumulative losses. As such, the Company has a valuation allowance against its net deferred tax assets.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valuation allowance increased by $60,444 between December 31, 2022 and 2021. The increase was primarily attributable to an increase in NOL carryforwards. At December 31, 2022, the valuation allowance is $140,858, of which $1,762 will be allocated to additional paid-in capital when released. The remaining valuation allowance of $139,096 will be released through continuing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Losses &amp; Tax Credits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Company has federal research and development tax credits (“R&amp;D credit”) of approximately $3,733 for both years, which begin to expire in varying amounts from 2031 – 2038, subject to the annual limitation described below. In addition, the Company has state R&amp;D credits of approximately $65 for the years ended December 31, 2022 and 2021, which will expire in 2024.</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NOL carryforwards for tax purposes and other deferred tax assets that are available to offset future taxable income, subject to the annual limitation described below.</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2022 and 2021, the Company has gross federal NOL carryforwards of approximately $485,351 and $263,270, respectively. As of December 31, 2022 and 2021, the Company has state NOL carryforwards of approximately $235,679 and $125,855, respectively. Regarding the federal NOL for the year ended December 31, 2022, $89,051 begins to expire in varying amounts from 2032 through 2036, while $396,300 has an indefinite carryforward period. Regarding the state NOL carryforwards for the year ended December 31, 2022, $233,566 begin to expire in varying amounts from 2033 through 2042, while $2,113 has an indefinite carryforward period. The U.S. (federal and state) operating loss carryforwards and credits may be subject to an annual limitation due to the “change in ownership” provisions of the Internal Revenue Code, and similar state provisions. The Company determined that the merger transaction constitutes a change of ownership as defined under Internal Revenue Code Section 382 and Section 383. Based on management’s Section 382 Limitation Analysis, it is expected that all NOL carryforwards that existed as of the transaction date will be allowable under Section 382, however, the deferred tax asset on the Company’s NOL carryforward is offset by a full valuation allowance. Based on management’s Section 383 Limitation Analysis, it is expected that as of December 31, 2022 and December 31, 2021, $3,733 of federal R&amp;D credits will expire unused.</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16, 2022, the IRA was signed into law that includes a new alternative minimum tax based upon financial statement income (“book minimum tax”) and tax incentives for energy and climate initiatives, among other provisions. The Company is not expected to be impacted by the book minimum tax given its extensive losses. The Company continues to assess the tax incentives in the legislation that could impact pre-tax income, effective tax rate, or valuation of deferred tax assets.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Unrecognized Tax Benefits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(federal and state), India, and Italy. Significant judgment is required in evaluating the Company’s tax positions and determining the Company’s provision for income taxes. During the ordinary course of business, there are transactions and calculations for which the ultimate tax determination is uncertain. The Company records a liability for uncertain tax positions on the basis of a two-step process in which (i) management determines whether it is more-likely-than-not that the tax position will be sustained on the technical merits of the position and (ii) for those tax positions that meet the more-likely-than-not recognition threshold, the Company recognizes the largest amount of tax benefit that is more than 50 percent likely to be realized upon ultimate settlement with the related tax authority.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19. Income Taxes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unrecognized tax benefits associated with uncertain tax positions as of December 31, 2022 and 2021 as follows:</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6900" w:type="dxa"/>
            <w:vAlign w:val="bottom"/>
          </w:tcPr>
          <w:p>
            <w:pPr>
              <w:spacing w:after="0"/>
              <w:rPr>
                <w:sz w:val="19"/>
                <w:szCs w:val="19"/>
                <w:color w:val="auto"/>
              </w:rPr>
            </w:pPr>
          </w:p>
        </w:tc>
        <w:tc>
          <w:tcPr>
            <w:tcW w:w="3640" w:type="dxa"/>
            <w:vAlign w:val="bottom"/>
            <w:tcBorders>
              <w:bottom w:val="single" w:sz="8" w:color="auto"/>
            </w:tcBorders>
            <w:gridSpan w:val="4"/>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tc>
        <w:tc>
          <w:tcPr>
            <w:tcW w:w="620" w:type="dxa"/>
            <w:vAlign w:val="bottom"/>
            <w:tcBorders>
              <w:bottom w:val="single" w:sz="8" w:color="auto"/>
            </w:tcBorders>
          </w:tcPr>
          <w:p>
            <w:pPr>
              <w:spacing w:after="0"/>
              <w:rPr>
                <w:sz w:val="19"/>
                <w:szCs w:val="19"/>
                <w:color w:val="auto"/>
              </w:rPr>
            </w:pPr>
          </w:p>
        </w:tc>
      </w:tr>
      <w:tr>
        <w:trPr>
          <w:trHeight w:val="237"/>
        </w:trPr>
        <w:tc>
          <w:tcPr>
            <w:tcW w:w="69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620" w:type="dxa"/>
            <w:vAlign w:val="bottom"/>
            <w:tcBorders>
              <w:bottom w:val="single" w:sz="8" w:color="auto"/>
            </w:tcBorders>
          </w:tcPr>
          <w:p>
            <w:pPr>
              <w:spacing w:after="0"/>
              <w:rPr>
                <w:sz w:val="20"/>
                <w:szCs w:val="20"/>
                <w:color w:val="auto"/>
              </w:rPr>
            </w:pPr>
          </w:p>
        </w:tc>
      </w:tr>
      <w:tr>
        <w:trPr>
          <w:trHeight w:val="27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as of January 1</w:t>
            </w:r>
          </w:p>
        </w:tc>
        <w:tc>
          <w:tcPr>
            <w:tcW w:w="1480" w:type="dxa"/>
            <w:vAlign w:val="bottom"/>
            <w:shd w:val="clear" w:color="auto" w:fill="CCEEFF"/>
          </w:tcPr>
          <w:p>
            <w:pPr>
              <w:jc w:val="right"/>
              <w:ind w:right="12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year tax positions</w:t>
            </w:r>
          </w:p>
        </w:tc>
        <w:tc>
          <w:tcPr>
            <w:tcW w:w="1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year tax positions</w:t>
            </w:r>
          </w:p>
        </w:tc>
        <w:tc>
          <w:tcPr>
            <w:tcW w:w="148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change</w:t>
            </w:r>
          </w:p>
        </w:tc>
        <w:tc>
          <w:tcPr>
            <w:tcW w:w="1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148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4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unrecognized tax benefits as of December 31</w:t>
            </w:r>
          </w:p>
        </w:tc>
        <w:tc>
          <w:tcPr>
            <w:tcW w:w="1480" w:type="dxa"/>
            <w:vAlign w:val="bottom"/>
            <w:tcBorders>
              <w:top w:val="single" w:sz="8" w:color="auto"/>
              <w:bottom w:val="single" w:sz="8" w:color="auto"/>
            </w:tcBorders>
          </w:tcPr>
          <w:p>
            <w:pPr>
              <w:jc w:val="right"/>
              <w:ind w:right="127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27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1"/>
        </w:trPr>
        <w:tc>
          <w:tcPr>
            <w:tcW w:w="69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amount of gross unrecognized tax benefits was $685 and $719 for the years ended December 31, 2022 and 2021, respectively. The decrease in gross unrecognized tax benefits in 2022 was due to a change in state deferred tax rate.</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Included in the balance of unrecognized tax benefits at December 31, 2022 are potential benefits of nil that, if recognized, would affect the effective tax rate on income from continuing operations. The open tax years for federal and state tax returns are generally 2019 and forward. Net operating losses and R&amp;D credits generated in closed years and utilized in open years are subject to adjustment by the tax authorities. The Company is not currently under examination by any taxing jurisdiction.</w:t>
      </w:r>
    </w:p>
    <w:p>
      <w:pPr>
        <w:spacing w:after="0" w:line="1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regularly assesses the adequacy of its provision for income tax contingencies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 a result, the Company may adjust the reserves for unrecognized tax benefits for the impact of new facts and developments, such as changes to interpretation of relevant tax law, assessments from taxing authorities, settlements with tax authorities and lapses of statute of limitations.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Shareholders' Equity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Shares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such designations, voting and other rights and preferences as may be determined from time to time by the Company’s board of directors. At December 31, 2022 and 2021, there were no shares of preferred stock issued or outstanding.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28, 2022, the Company’s shareholders approved an amendment to the Company’s Third Amended and Restated Certificate of Incorporation to increase the authorized shares of common stock with $0.0001 par value from 200,000,000 to 300,000,000. The holders of the Company’s common stock are entitled to one vote for each share. At December 31, 2022 and 2021, there were 82,653,781 and 53,786,632 shares of common stock issued and outstanding.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Contingently Issuable Common Stock</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Merger transaction, the Company was obligated to issue within five years from the closing date to each unitholder Eos Energy Storage, LLC ("EES") its pro-rata proportion of a one-time issuance of an aggregate of 2,000,000 Shares (the “Earnout Shares” or "Contingently Issuable Common Stock"), within five business days after (i) the closing share price of the Company's shares traded equaling or exceeding $16.00 per share for any 20 trading days within any consecutive 30-trading day period during the Earnout Period or (ii) a Change of Control during the Earnout Period (each of clauses (i) and (ii), a “Triggering Event”).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20. Shareholders' Equity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3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22, 2021, the Triggering Event for the issuance of the Earnout Shares occurred as the Company's stock price exceeded $16.00 per share for 20 trading days within a consecutive 30-trading day period during the Earnout Period. Accordingly, 1,999,185 Shares were issued to the unitholders of EES.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Earnout Shares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Sponsor Earnout letter signed in connection with the Merger, 1,718,000 shares of common stock issued and outstanding held by BMRG ("Sponsor Earnout Shares") were subject to certain transfer and other restrictions, under which (a) 859,000 Sponsor Earnout Shares ("Block A Sponsor Earnout Shares") were restricted from being transferred unless and until either, for a period of five years after the Closing, (i) the share price of our common stock equals or exceeds $12.00 per share for any 20 trading days within any consecutive 30-trading day period or (ii) a change of control occurs for a share price equaling or exceeding $12.00 per share, and (b) the remaining 859,000 Sponsor Earnout Shares ("Block B Sponsor Earnout Shares") were subject to similar restrictions except that the threshold is increased from $12.00 to $16.00. If after the five-year period, there are no triggering events, the Sponsor Earnout Shares will be forfeited and canceled for no consideration. If after the five-year period, only the triggering event described in clause (a) above has occurred, the remaining 859,000 Sponsor Earnout Shares described in clause (b) will be forfeited and canceled for no consideration.</w:t>
      </w:r>
    </w:p>
    <w:p>
      <w:pPr>
        <w:spacing w:after="0" w:line="12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22, 2021, as the Company's stock price exceeded $16.00 per share for 20 trading days within a consecutive 30-trading day period, Block B Sponsor Earnout Shares were released from restriction.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2021, the Company recorded treasury stock of $978 and $353 for shares withheld from employees to cover the payroll tax liability of RSUs vested, respectively. The treasury stock was immediately retired.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and Private Warrants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sold warrants to purchase 9,075,000 shares of the Company's common stock in the public offering on May 22, 2020. Each Public Warrant entitles the holder to purchase a share of common stock at a price of $11.50 per share. For the years ended December 31, 2022 and 2021, 600 and 1,747,746 public warrants were exercised, respectively. On December 31, 2022 and 2021, there were 7,001,654 and 7,002,254 public warrants outstanding, respectively.</w:t>
      </w:r>
    </w:p>
    <w:p>
      <w:pPr>
        <w:spacing w:after="0" w:line="11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addition to the public warrants, there are also private warrants outstanding as of December 31, 2022 and 2021 (see Note 14, </w:t>
      </w:r>
      <w:r>
        <w:rPr>
          <w:rFonts w:ascii="Times New Roman" w:cs="Times New Roman" w:eastAsia="Times New Roman" w:hAnsi="Times New Roman"/>
          <w:sz w:val="18"/>
          <w:szCs w:val="18"/>
          <w:i w:val="1"/>
          <w:iCs w:val="1"/>
          <w:color w:val="auto"/>
        </w:rPr>
        <w:t>Warrants Liability -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Party </w:t>
      </w:r>
      <w:r>
        <w:rPr>
          <w:rFonts w:ascii="Times New Roman" w:cs="Times New Roman" w:eastAsia="Times New Roman" w:hAnsi="Times New Roman"/>
          <w:sz w:val="18"/>
          <w:szCs w:val="18"/>
          <w:color w:val="auto"/>
        </w:rPr>
        <w:t>for further discussion</w:t>
      </w:r>
      <w:r>
        <w:rPr>
          <w:rFonts w:ascii="Times New Roman" w:cs="Times New Roman" w:eastAsia="Times New Roman" w:hAnsi="Times New Roman"/>
          <w:sz w:val="18"/>
          <w:szCs w:val="18"/>
          <w:i w:val="1"/>
          <w:iCs w:val="1"/>
          <w:color w:val="auto"/>
        </w:rPr>
        <w: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Equity Purchase Agreement</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28, 2022, the Company entered into the SEPA with Yorkville. Pursuant to the SEPA, as amended, the Company has the right, but not the obligation, to sell to Yorkville up to $75,000 of shares of its common stock at the Company’s request at any time during the commitment period, which commenced on April 28, 2022 and will end on the earlier of (i) May 1, 2024, or (ii) the date on which Yorkville shall have made payment of advances requested by the Company totaling up to the commitment amount of $75,000. Each sale the Company requests under the SEPA (an “Advance”) may be for a number of shares of common stock with an aggregate value of up to $20,000. The SEPA provides for shares to be sold to Yorkville at 97.0% of market price.</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Company's entry into and subject to the terms and conditions set forth in the SEPA, 465,117 shares were issued to Yorkville as consideration for its irrevocable commitment to purchase shares of common stock, pursuant to the SEPA, as shown in the consolidated statement of shareholders' equity. The fair value of these shares of $1,061 was recorded as other expense in the consolidated statements of operations and comprehensive loss.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mutual consent of Yorkville and the Company, from time to time the Company may request, and Yorkville shall provide, pre-advance loans (each, a “Pre-Advance Loan”) each in the principal amount not to exceed $50,000, pursuant to a promissory note on terms and conditions to be agreed by both parties.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20. Shareholders' Equity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3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13, 2022, the Company issued and sold a Convertible Promissory Note with a principal amount of $7,500 in a private placement to Yorkville under the Supplemental Agreement. The Promissory Note was issued with a 2% original issue discount, bears interest only upon the occurrence of an Event of Default, and had a maturity date of September 15, 2022. The Promissory Note gives Yorkville the right, but not the obligation, to convert principal and accrued interest into shares of the Company’s common stock at a conversion price of $2.21 any time prior to the maturity date, subject to the terms and conditions of the Promissory Note (see Note 13, Borrowings).</w:t>
      </w:r>
    </w:p>
    <w:p>
      <w:pPr>
        <w:spacing w:after="0" w:line="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July and August 2022, pursuant to the terms of the Supplemental Agreement, Yorkville delivered six Investor Notices requiring the Company to issue and sell an aggregate of 3,393,663 shares of common stock at a price of $2.21 per share to Yorkville, in order to offset all outstanding amounts owed to Yorkville under the June 2022 Promissory Note</w:t>
      </w:r>
    </w:p>
    <w:p>
      <w:pPr>
        <w:spacing w:after="0" w:line="1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29, 2022, the Company and Yorkville entered into Amendment No. 3 to the SEPA, to (i) decrease the commitment amount under the SEPA to $75,000; and (ii) reinstitute the Exchange Cap (as defined in the SEPA), which amounts to 19.99% of the outstanding shares of common stock immediately prior to entering into Amendment No. 3, and applies to all subsequent issuances of common stock under the SEPA, together with any issuances of convertible promissory notes issued by the Company to Yorkville as a Pre-Advance loan.</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January 2023, Yorkville delivered Investor Notices requiring the Company to issue and sell an aggregate of 1,953,612 shares of common stock to Yorkville, in order to offset all outstanding amounts owed to Yorkville under the December 2022 Promissory Note. See Note 13,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and Note 21, </w:t>
      </w:r>
      <w:r>
        <w:rPr>
          <w:rFonts w:ascii="Times New Roman" w:cs="Times New Roman" w:eastAsia="Times New Roman" w:hAnsi="Times New Roman"/>
          <w:sz w:val="18"/>
          <w:szCs w:val="18"/>
          <w:i w:val="1"/>
          <w:iCs w:val="1"/>
          <w:color w:val="auto"/>
        </w:rPr>
        <w:t xml:space="preserve">Subsequent Events </w:t>
      </w:r>
      <w:r>
        <w:rPr>
          <w:rFonts w:ascii="Times New Roman" w:cs="Times New Roman" w:eastAsia="Times New Roman" w:hAnsi="Times New Roman"/>
          <w:sz w:val="18"/>
          <w:szCs w:val="18"/>
          <w:color w:val="auto"/>
        </w:rPr>
        <w:t>for further discussion.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total funds raised under the SEPA, inclusive of proceeds received from the Convertible Promissory Notes, were $14,500. Total shares issued under the SEPA for the year ended December 31, 2022 were 7,361,602.</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 Program</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5, 2022, the Company entered into the Sales Agreement with Cowen and Company, LLC, with respect to an at-the-market offering program under which the Company may offer and sell, from time to time at its sole discretion, shares of its common stock, par value $0.0001 per share, having an aggregate offering price of up to $100,000 (the “Placement Shares”) through Cowen as its sales agent and/or principal.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pay Cowen a commission equal to 3.0% of the gross sales proceeds of any Placement Shares sold. The Company will also reimburse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Cowen for certain expenses incurred in connection with the Sales Agreement. The Sales Agreement will terminate upon the earlier of (i) the sale of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Shares subject to the Sales Agreement or (ii) termination of the Sales Agreement in accordance with the terms and conditions set forth therein.</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sold 20,539,603 shares raising net proceeds of $38,626, net of fees paid to Cowen, at an average selling price of $1.94 per share, included in the consolidated statement of shareholders' equity.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earnings per share (“EPS”) is computed by dividing earnings available to common shareholders by the weighted average number of shares of common stock outstanding during the period. Other potentially dilutive common shares, and the related impact to earnings, are considered when calculating EPS on a diluted basis. As the Company incurred a net loss for the years ended December 31, 2022 and 2021, the potential dilutive shares from stock options, restricted stock units, warrants, and convertible redeemable notes were excluded from the calculation of diluted net loss per share because their effect would have been anti-dilutive for the periods presented. Therefore, basic and diluted EPS are computed using the same number of weighted average shares for the years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20. Shareholders' Equity </w:t>
      </w:r>
      <w:r>
        <w:rPr>
          <w:rFonts w:ascii="Times New Roman" w:cs="Times New Roman" w:eastAsia="Times New Roman" w:hAnsi="Times New Roman"/>
          <w:sz w:val="18"/>
          <w:szCs w:val="18"/>
          <w:color w:val="auto"/>
        </w:rPr>
        <w:t>(cont.)</w:t>
      </w:r>
    </w:p>
    <w:p>
      <w:pPr>
        <w:spacing w:after="0" w:line="3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shares were excluded from the calculation of diluted net loss per share because their effect would have been anti-dilutive for the periods presented:</w:t>
      </w:r>
    </w:p>
    <w:p>
      <w:pPr>
        <w:spacing w:after="0" w:line="2"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30480</wp:posOffset>
            </wp:positionV>
            <wp:extent cx="27000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9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restricted stock units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7,340,702</w:t>
            </w:r>
          </w:p>
        </w:tc>
        <w:tc>
          <w:tcPr>
            <w:tcW w:w="1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4,218,216</w:t>
            </w:r>
          </w:p>
        </w:tc>
      </w:tr>
      <w:tr>
        <w:trPr>
          <w:trHeight w:val="243"/>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Public and private placement warrants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7,326,654</w:t>
            </w:r>
          </w:p>
        </w:tc>
        <w:tc>
          <w:tcPr>
            <w:tcW w:w="1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7,327,254</w:t>
            </w:r>
          </w:p>
        </w:tc>
      </w:tr>
      <w:tr>
        <w:trPr>
          <w:trHeight w:val="27"/>
        </w:trPr>
        <w:tc>
          <w:tcPr>
            <w:tcW w:w="6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7,422,371</w:t>
            </w: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5,144,074</w:t>
            </w:r>
          </w:p>
        </w:tc>
      </w:tr>
      <w:tr>
        <w:trPr>
          <w:trHeight w:val="27"/>
        </w:trPr>
        <w:tc>
          <w:tcPr>
            <w:tcW w:w="69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Yorkville</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2023, pursuant to the terms of the SEPA and the Second Supplemental Agreement, Yorkville delivered Investor Notices requiring the Company to issue and sell an aggregate of 1,953,612 shares of common stock to Yorkville to offset all outstanding amounts owed to Yorkville under the December 2022 Promissory Note.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 2023, the Company issued and sold a convertible promissory note with an aggregate principal amount of $5,000 (the “February 2023 Promissory Note”) in a private placement to Yorkville under the Second Supplemental Agreement. On February 23, 2023 and February 27, 2023, Yorkville delivered Investor Notices pursuant to which, effective February 28, 2023, Yorkville would offset all amounts due under the February 2023 Promissory Note in connection with Yorkville’s purchase of an aggregate of 3,879,706 shares of common stock of the Company under the SEPA. Following the issuance of the shares, there would be no amount outstanding under the February 2023 Promissory Note.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 Issuance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18, 2023, the Company entered into an investment agreement (the “Investment Agreement”) with Great American Insurance Company, Ardsley Partners Renewable Energy, LP, CCI SPV III, LP, Denman Street LLC, John B. Berding Irrevocable Children’s Trust, John B. Berding, and AE Convert, LLC, a Delaware limited liability company managed by Russell Stidolph, a related party as Mr. Stidolph is a director of the Company (together, the “Purchasers”) relating to the issuance and sale to the Purchasers of $13,750 in aggregate principal amount of the Company’s 26.5% Convertible Senior PIK Notes due 2026. The transactions contemplated by the Investment Agreement closed on January 18, 2023.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Section 205 Petition</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12, 2020, BMRG, the predecessor to the Company, held the BMRG Special Meeting to approve certain matters relating to the business combination between BMRG and Eos Energy Storage LLC.</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One of these matters was a proposal to amend and restate BMRG’s certificate of incorporation in order to, among other things, increase the number of authorized shares of common stock from 125,000,000 shares of common stock, consisting of 100,000,000 shares of Class A common stock and 25,000,000 shares of Class B common stock, to 200,000,000 shares of common stock, and to reclassify all Class A common stock and Class B common stock as a single class of common stock (the “Charter Amendment Proposal”). The Charter Amendment Proposal was approved by a majority of the outstanding shares of Class A common stock and Class B common stock of BMRG as of the record date for the BMRG Special Meeting, voting together as a single class, although voting records indicate that a majority of each of the shares of Class A common stock and Class B common stock also approved the Charter Amendment Proposal. After the BMRG Special Meeting, BMRG and Eos Energy Storage LLC closed the business combination and the Company’s certificate of incorporation, as amended to give effect to the Charter Amendment Proposal, became effective.</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recent ruling by the Delaware Court of Chancery introduced uncertainty as to whether Section 242(b)(2) of the DGCL would have required the Charter Amendment Proposal to be approved by separate votes of the majority of BMRG’s then-outstanding shares of Class A common stock and Class B common stock.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21. Subsequent Events </w:t>
      </w:r>
      <w:r>
        <w:rPr>
          <w:rFonts w:ascii="Times New Roman" w:cs="Times New Roman" w:eastAsia="Times New Roman" w:hAnsi="Times New Roman"/>
          <w:sz w:val="18"/>
          <w:szCs w:val="18"/>
          <w:color w:val="auto"/>
        </w:rPr>
        <w:t>(cont.)</w:t>
      </w:r>
    </w:p>
    <w:p>
      <w:pPr>
        <w:spacing w:after="0" w:line="200" w:lineRule="exact"/>
        <w:rPr>
          <w:sz w:val="20"/>
          <w:szCs w:val="20"/>
          <w:color w:val="auto"/>
        </w:rPr>
      </w:pPr>
    </w:p>
    <w:p>
      <w:pPr>
        <w:spacing w:after="0" w:line="3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been proceeding with the understanding that the Charter Amendment Proposal and the amendment and restated certificate of incorporation are valid. In light of this recent ruling, however, to resolve potential uncertainty with respect to the Company’s capital structure, the Company filed a petition in the Delaware Court of Chancery under Section 205 of the DGCL to seek validation of the Charter Amendment Proposal. Section 205 of the DGCL permits the Court of Chancery, in its discretion, to ratify and validate potentially defective corporate acts.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27, 2023, the Court of Chancery approved the Company's request for relief and entered an order under Section 205 of the Delaware General Corporation Law (1) declaring the Company's Third Amended and Restated Certificate of Incorporation (the "Charter"), including the filing and effectiveness thereof, as validated and effective retroactive to the date of its filing with the Office of the Secretary of State of the State of Delaware on November 16, 2020, and all amendments effected thereby and (2) ordering that the Company's securities (and the issuance of the securities) described in the Petition and any other securities issued in reliance on the validity of the Charter are validated and declared effective, each as of the original issuance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4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in the City of Edison, State of New Jersey, on February 28, 2023.</w:t>
      </w:r>
    </w:p>
    <w:p>
      <w:pPr>
        <w:spacing w:after="0" w:line="1"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337"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Nathan Kroeker</w:t>
      </w:r>
    </w:p>
    <w:p>
      <w:pPr>
        <w:spacing w:after="0" w:line="54" w:lineRule="exact"/>
        <w:rPr>
          <w:sz w:val="20"/>
          <w:szCs w:val="20"/>
          <w:color w:val="auto"/>
        </w:rPr>
      </w:pPr>
    </w:p>
    <w:p>
      <w:pPr>
        <w:ind w:left="95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0" w:lineRule="exact"/>
        <w:rPr>
          <w:sz w:val="20"/>
          <w:szCs w:val="20"/>
          <w:color w:val="auto"/>
        </w:rPr>
      </w:pP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Joseph Mastrangelo and Nathan Kroeker and each or any one of them,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5" w:lineRule="exact"/>
        <w:rPr>
          <w:sz w:val="20"/>
          <w:szCs w:val="20"/>
          <w:color w:val="auto"/>
        </w:rPr>
      </w:pPr>
    </w:p>
    <w:tbl>
      <w:tblPr>
        <w:tblLayout w:type="fixed"/>
        <w:tblInd w:w="134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60" w:type="dxa"/>
            <w:vAlign w:val="bottom"/>
            <w:gridSpan w:val="9"/>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43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210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29"/>
        </w:trPr>
        <w:tc>
          <w:tcPr>
            <w:tcW w:w="2860" w:type="dxa"/>
            <w:vAlign w:val="bottom"/>
            <w:gridSpan w:val="16"/>
          </w:tcPr>
          <w:p>
            <w:pPr>
              <w:jc w:val="center"/>
              <w:ind w:right="940"/>
              <w:spacing w:after="0"/>
              <w:rPr>
                <w:sz w:val="20"/>
                <w:szCs w:val="20"/>
                <w:color w:val="auto"/>
              </w:rPr>
            </w:pPr>
            <w:r>
              <w:rPr>
                <w:rFonts w:ascii="Times New Roman" w:cs="Times New Roman" w:eastAsia="Times New Roman" w:hAnsi="Times New Roman"/>
                <w:sz w:val="18"/>
                <w:szCs w:val="18"/>
                <w:color w:val="auto"/>
                <w:w w:val="99"/>
              </w:rPr>
              <w:t>/s/ Joseph Mastrangelo</w:t>
            </w:r>
          </w:p>
        </w:tc>
        <w:tc>
          <w:tcPr>
            <w:tcW w:w="4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1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91"/>
        </w:trPr>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gridSpan w:val="12"/>
          </w:tcPr>
          <w:p>
            <w:pPr>
              <w:jc w:val="center"/>
              <w:ind w:right="80"/>
              <w:spacing w:after="0"/>
              <w:rPr>
                <w:sz w:val="20"/>
                <w:szCs w:val="20"/>
                <w:color w:val="auto"/>
              </w:rPr>
            </w:pPr>
            <w:r>
              <w:rPr>
                <w:rFonts w:ascii="Times New Roman" w:cs="Times New Roman" w:eastAsia="Times New Roman" w:hAnsi="Times New Roman"/>
                <w:sz w:val="18"/>
                <w:szCs w:val="18"/>
                <w:color w:val="auto"/>
              </w:rPr>
              <w:t>Joseph Mastrangelo</w:t>
            </w:r>
          </w:p>
        </w:tc>
        <w:tc>
          <w:tcPr>
            <w:tcW w:w="1080" w:type="dxa"/>
            <w:vAlign w:val="bottom"/>
            <w:gridSpan w:val="2"/>
          </w:tcPr>
          <w:p>
            <w:pPr>
              <w:spacing w:after="0"/>
              <w:rPr>
                <w:sz w:val="24"/>
                <w:szCs w:val="24"/>
                <w:color w:val="auto"/>
              </w:rPr>
            </w:pPr>
          </w:p>
        </w:tc>
        <w:tc>
          <w:tcPr>
            <w:tcW w:w="43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00" w:type="dxa"/>
            <w:vAlign w:val="bottom"/>
          </w:tcPr>
          <w:p>
            <w:pPr>
              <w:spacing w:after="0"/>
              <w:rPr>
                <w:sz w:val="24"/>
                <w:szCs w:val="24"/>
                <w:color w:val="auto"/>
              </w:rPr>
            </w:pPr>
          </w:p>
        </w:tc>
      </w:tr>
      <w:tr>
        <w:trPr>
          <w:trHeight w:val="229"/>
        </w:trPr>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80" w:type="dxa"/>
            <w:vAlign w:val="bottom"/>
            <w:gridSpan w:val="12"/>
          </w:tcPr>
          <w:p>
            <w:pPr>
              <w:jc w:val="center"/>
              <w:ind w:right="1220"/>
              <w:spacing w:after="0"/>
              <w:rPr>
                <w:sz w:val="20"/>
                <w:szCs w:val="20"/>
                <w:color w:val="auto"/>
              </w:rPr>
            </w:pPr>
            <w:r>
              <w:rPr>
                <w:rFonts w:ascii="Times New Roman" w:cs="Times New Roman" w:eastAsia="Times New Roman" w:hAnsi="Times New Roman"/>
                <w:sz w:val="18"/>
                <w:szCs w:val="18"/>
                <w:color w:val="auto"/>
                <w:w w:val="99"/>
              </w:rPr>
              <w:t>/s/ Nathan Kroeker</w:t>
            </w:r>
          </w:p>
        </w:tc>
        <w:tc>
          <w:tcPr>
            <w:tcW w:w="4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1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91"/>
        </w:trPr>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color w:val="auto"/>
              </w:rPr>
              <w:t>Nathan Kroeker</w:t>
            </w:r>
          </w:p>
        </w:tc>
        <w:tc>
          <w:tcPr>
            <w:tcW w:w="1220" w:type="dxa"/>
            <w:vAlign w:val="bottom"/>
            <w:gridSpan w:val="6"/>
          </w:tcPr>
          <w:p>
            <w:pPr>
              <w:spacing w:after="0"/>
              <w:rPr>
                <w:sz w:val="24"/>
                <w:szCs w:val="24"/>
                <w:color w:val="auto"/>
              </w:rPr>
            </w:pPr>
          </w:p>
        </w:tc>
        <w:tc>
          <w:tcPr>
            <w:tcW w:w="4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100" w:type="dxa"/>
            <w:vAlign w:val="bottom"/>
          </w:tcPr>
          <w:p>
            <w:pPr>
              <w:spacing w:after="0"/>
              <w:rPr>
                <w:sz w:val="24"/>
                <w:szCs w:val="24"/>
                <w:color w:val="auto"/>
              </w:rPr>
            </w:pPr>
          </w:p>
        </w:tc>
      </w:tr>
      <w:tr>
        <w:trPr>
          <w:trHeight w:val="229"/>
        </w:trPr>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gridSpan w:val="10"/>
          </w:tcPr>
          <w:p>
            <w:pPr>
              <w:jc w:val="center"/>
              <w:ind w:right="1260"/>
              <w:spacing w:after="0"/>
              <w:rPr>
                <w:sz w:val="20"/>
                <w:szCs w:val="20"/>
                <w:color w:val="auto"/>
              </w:rPr>
            </w:pPr>
            <w:r>
              <w:rPr>
                <w:rFonts w:ascii="Times New Roman" w:cs="Times New Roman" w:eastAsia="Times New Roman" w:hAnsi="Times New Roman"/>
                <w:sz w:val="18"/>
                <w:szCs w:val="18"/>
                <w:color w:val="auto"/>
                <w:w w:val="98"/>
              </w:rPr>
              <w:t>/s/ John Tedone</w:t>
            </w:r>
          </w:p>
        </w:tc>
        <w:tc>
          <w:tcPr>
            <w:tcW w:w="4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21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91"/>
        </w:trPr>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John Tedone</w:t>
            </w:r>
          </w:p>
        </w:tc>
        <w:tc>
          <w:tcPr>
            <w:tcW w:w="1340" w:type="dxa"/>
            <w:vAlign w:val="bottom"/>
            <w:gridSpan w:val="8"/>
          </w:tcPr>
          <w:p>
            <w:pPr>
              <w:spacing w:after="0"/>
              <w:rPr>
                <w:sz w:val="24"/>
                <w:szCs w:val="24"/>
                <w:color w:val="auto"/>
              </w:rPr>
            </w:pPr>
          </w:p>
        </w:tc>
        <w:tc>
          <w:tcPr>
            <w:tcW w:w="43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100" w:type="dxa"/>
            <w:vAlign w:val="bottom"/>
          </w:tcPr>
          <w:p>
            <w:pPr>
              <w:spacing w:after="0"/>
              <w:rPr>
                <w:sz w:val="24"/>
                <w:szCs w:val="24"/>
                <w:color w:val="auto"/>
              </w:rPr>
            </w:pPr>
          </w:p>
        </w:tc>
      </w:tr>
      <w:tr>
        <w:trPr>
          <w:trHeight w:val="229"/>
        </w:trPr>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40" w:type="dxa"/>
            <w:vAlign w:val="bottom"/>
            <w:gridSpan w:val="14"/>
          </w:tcPr>
          <w:p>
            <w:pPr>
              <w:jc w:val="center"/>
              <w:ind w:right="1180"/>
              <w:spacing w:after="0"/>
              <w:rPr>
                <w:sz w:val="20"/>
                <w:szCs w:val="20"/>
                <w:color w:val="auto"/>
              </w:rPr>
            </w:pPr>
            <w:r>
              <w:rPr>
                <w:rFonts w:ascii="Times New Roman" w:cs="Times New Roman" w:eastAsia="Times New Roman" w:hAnsi="Times New Roman"/>
                <w:sz w:val="18"/>
                <w:szCs w:val="18"/>
                <w:color w:val="auto"/>
                <w:w w:val="99"/>
              </w:rPr>
              <w:t>/s/ Jeffrey Bornstein</w:t>
            </w:r>
          </w:p>
        </w:tc>
        <w:tc>
          <w:tcPr>
            <w:tcW w:w="4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91"/>
        </w:trPr>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8"/>
                <w:szCs w:val="18"/>
                <w:color w:val="auto"/>
                <w:w w:val="99"/>
              </w:rPr>
              <w:t>Jeffrey Bornstein</w:t>
            </w:r>
          </w:p>
        </w:tc>
        <w:tc>
          <w:tcPr>
            <w:tcW w:w="1180" w:type="dxa"/>
            <w:vAlign w:val="bottom"/>
            <w:gridSpan w:val="4"/>
          </w:tcPr>
          <w:p>
            <w:pPr>
              <w:spacing w:after="0"/>
              <w:rPr>
                <w:sz w:val="24"/>
                <w:szCs w:val="24"/>
                <w:color w:val="auto"/>
              </w:rPr>
            </w:pPr>
          </w:p>
        </w:tc>
        <w:tc>
          <w:tcPr>
            <w:tcW w:w="43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9"/>
        </w:trPr>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gridSpan w:val="11"/>
          </w:tcPr>
          <w:p>
            <w:pPr>
              <w:jc w:val="center"/>
              <w:ind w:right="1240"/>
              <w:spacing w:after="0"/>
              <w:rPr>
                <w:sz w:val="20"/>
                <w:szCs w:val="20"/>
                <w:color w:val="auto"/>
              </w:rPr>
            </w:pPr>
            <w:r>
              <w:rPr>
                <w:rFonts w:ascii="Times New Roman" w:cs="Times New Roman" w:eastAsia="Times New Roman" w:hAnsi="Times New Roman"/>
                <w:sz w:val="18"/>
                <w:szCs w:val="18"/>
                <w:color w:val="auto"/>
                <w:w w:val="99"/>
              </w:rPr>
              <w:t>/s/ Alex Dimitrief</w:t>
            </w:r>
          </w:p>
        </w:tc>
        <w:tc>
          <w:tcPr>
            <w:tcW w:w="4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91"/>
        </w:trPr>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Alex Dimitrief</w:t>
            </w:r>
          </w:p>
        </w:tc>
        <w:tc>
          <w:tcPr>
            <w:tcW w:w="1260" w:type="dxa"/>
            <w:vAlign w:val="bottom"/>
            <w:gridSpan w:val="7"/>
          </w:tcPr>
          <w:p>
            <w:pPr>
              <w:spacing w:after="0"/>
              <w:rPr>
                <w:sz w:val="24"/>
                <w:szCs w:val="24"/>
                <w:color w:val="auto"/>
              </w:rPr>
            </w:pPr>
          </w:p>
        </w:tc>
        <w:tc>
          <w:tcPr>
            <w:tcW w:w="43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9"/>
        </w:trPr>
        <w:tc>
          <w:tcPr>
            <w:tcW w:w="140" w:type="dxa"/>
            <w:vAlign w:val="bottom"/>
          </w:tcPr>
          <w:p>
            <w:pPr>
              <w:spacing w:after="0"/>
              <w:rPr>
                <w:sz w:val="19"/>
                <w:szCs w:val="19"/>
                <w:color w:val="auto"/>
              </w:rPr>
            </w:pPr>
          </w:p>
        </w:tc>
        <w:tc>
          <w:tcPr>
            <w:tcW w:w="2720" w:type="dxa"/>
            <w:vAlign w:val="bottom"/>
            <w:gridSpan w:val="15"/>
          </w:tcPr>
          <w:p>
            <w:pPr>
              <w:jc w:val="center"/>
              <w:ind w:right="1080"/>
              <w:spacing w:after="0"/>
              <w:rPr>
                <w:sz w:val="20"/>
                <w:szCs w:val="20"/>
                <w:color w:val="auto"/>
              </w:rPr>
            </w:pPr>
            <w:r>
              <w:rPr>
                <w:rFonts w:ascii="Times New Roman" w:cs="Times New Roman" w:eastAsia="Times New Roman" w:hAnsi="Times New Roman"/>
                <w:sz w:val="18"/>
                <w:szCs w:val="18"/>
                <w:color w:val="auto"/>
                <w:w w:val="99"/>
              </w:rPr>
              <w:t>/s/ Audrey Zibelman</w:t>
            </w:r>
          </w:p>
        </w:tc>
        <w:tc>
          <w:tcPr>
            <w:tcW w:w="4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91"/>
        </w:trPr>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gridSpan w:val="7"/>
          </w:tcPr>
          <w:p>
            <w:pPr>
              <w:jc w:val="center"/>
              <w:ind w:right="100"/>
              <w:spacing w:after="0"/>
              <w:rPr>
                <w:sz w:val="20"/>
                <w:szCs w:val="20"/>
                <w:color w:val="auto"/>
              </w:rPr>
            </w:pPr>
            <w:r>
              <w:rPr>
                <w:rFonts w:ascii="Times New Roman" w:cs="Times New Roman" w:eastAsia="Times New Roman" w:hAnsi="Times New Roman"/>
                <w:sz w:val="18"/>
                <w:szCs w:val="18"/>
                <w:color w:val="auto"/>
              </w:rPr>
              <w:t>Audrey Zibelman</w:t>
            </w:r>
          </w:p>
        </w:tc>
        <w:tc>
          <w:tcPr>
            <w:tcW w:w="1160" w:type="dxa"/>
            <w:vAlign w:val="bottom"/>
            <w:gridSpan w:val="3"/>
          </w:tcPr>
          <w:p>
            <w:pPr>
              <w:spacing w:after="0"/>
              <w:rPr>
                <w:sz w:val="24"/>
                <w:szCs w:val="24"/>
                <w:color w:val="auto"/>
              </w:rPr>
            </w:pPr>
          </w:p>
        </w:tc>
        <w:tc>
          <w:tcPr>
            <w:tcW w:w="43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9"/>
        </w:trPr>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60" w:type="dxa"/>
            <w:vAlign w:val="bottom"/>
            <w:gridSpan w:val="11"/>
          </w:tcPr>
          <w:p>
            <w:pPr>
              <w:jc w:val="center"/>
              <w:ind w:right="1260"/>
              <w:spacing w:after="0"/>
              <w:rPr>
                <w:sz w:val="20"/>
                <w:szCs w:val="20"/>
                <w:color w:val="auto"/>
              </w:rPr>
            </w:pPr>
            <w:r>
              <w:rPr>
                <w:rFonts w:ascii="Times New Roman" w:cs="Times New Roman" w:eastAsia="Times New Roman" w:hAnsi="Times New Roman"/>
                <w:sz w:val="18"/>
                <w:szCs w:val="18"/>
                <w:color w:val="auto"/>
                <w:w w:val="99"/>
              </w:rPr>
              <w:t>/s/ Claude Demby</w:t>
            </w:r>
          </w:p>
        </w:tc>
        <w:tc>
          <w:tcPr>
            <w:tcW w:w="4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90"/>
        </w:trPr>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Claude Demby</w:t>
            </w:r>
          </w:p>
        </w:tc>
        <w:tc>
          <w:tcPr>
            <w:tcW w:w="1260" w:type="dxa"/>
            <w:vAlign w:val="bottom"/>
            <w:gridSpan w:val="7"/>
          </w:tcPr>
          <w:p>
            <w:pPr>
              <w:spacing w:after="0"/>
              <w:rPr>
                <w:sz w:val="24"/>
                <w:szCs w:val="24"/>
                <w:color w:val="auto"/>
              </w:rPr>
            </w:pPr>
          </w:p>
        </w:tc>
        <w:tc>
          <w:tcPr>
            <w:tcW w:w="43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30"/>
        </w:trPr>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color w:val="auto"/>
                <w:w w:val="99"/>
              </w:rPr>
              <w:t>/s/ Russell Stidolph</w:t>
            </w:r>
          </w:p>
        </w:tc>
        <w:tc>
          <w:tcPr>
            <w:tcW w:w="1200" w:type="dxa"/>
            <w:vAlign w:val="bottom"/>
            <w:gridSpan w:val="5"/>
          </w:tcPr>
          <w:p>
            <w:pPr>
              <w:spacing w:after="0"/>
              <w:rPr>
                <w:sz w:val="19"/>
                <w:szCs w:val="19"/>
                <w:color w:val="auto"/>
              </w:rPr>
            </w:pPr>
          </w:p>
        </w:tc>
        <w:tc>
          <w:tcPr>
            <w:tcW w:w="4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90"/>
        </w:trPr>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0"/>
          </w:tcPr>
          <w:p>
            <w:pPr>
              <w:jc w:val="center"/>
              <w:ind w:right="1280"/>
              <w:spacing w:after="0"/>
              <w:rPr>
                <w:sz w:val="20"/>
                <w:szCs w:val="20"/>
                <w:color w:val="auto"/>
              </w:rPr>
            </w:pPr>
            <w:r>
              <w:rPr>
                <w:rFonts w:ascii="Times New Roman" w:cs="Times New Roman" w:eastAsia="Times New Roman" w:hAnsi="Times New Roman"/>
                <w:sz w:val="18"/>
                <w:szCs w:val="18"/>
                <w:color w:val="auto"/>
                <w:w w:val="99"/>
              </w:rPr>
              <w:t>Russell Stidolph</w:t>
            </w:r>
          </w:p>
        </w:tc>
        <w:tc>
          <w:tcPr>
            <w:tcW w:w="43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30"/>
        </w:trPr>
        <w:tc>
          <w:tcPr>
            <w:tcW w:w="1920" w:type="dxa"/>
            <w:vAlign w:val="bottom"/>
            <w:tcBorders>
              <w:bottom w:val="single" w:sz="8" w:color="auto"/>
            </w:tcBorders>
            <w:gridSpan w:val="15"/>
          </w:tcPr>
          <w:p>
            <w:pPr>
              <w:jc w:val="center"/>
              <w:spacing w:after="0"/>
              <w:rPr>
                <w:sz w:val="20"/>
                <w:szCs w:val="20"/>
                <w:color w:val="auto"/>
              </w:rPr>
            </w:pPr>
            <w:r>
              <w:rPr>
                <w:rFonts w:ascii="Times New Roman" w:cs="Times New Roman" w:eastAsia="Times New Roman" w:hAnsi="Times New Roman"/>
                <w:sz w:val="18"/>
                <w:szCs w:val="18"/>
                <w:color w:val="auto"/>
                <w:w w:val="99"/>
              </w:rPr>
              <w:t>/s/ Marian "Mimi" Walters</w:t>
            </w:r>
          </w:p>
        </w:tc>
        <w:tc>
          <w:tcPr>
            <w:tcW w:w="940" w:type="dxa"/>
            <w:vAlign w:val="bottom"/>
          </w:tcPr>
          <w:p>
            <w:pPr>
              <w:spacing w:after="0"/>
              <w:rPr>
                <w:sz w:val="19"/>
                <w:szCs w:val="19"/>
                <w:color w:val="auto"/>
              </w:rPr>
            </w:pPr>
          </w:p>
        </w:tc>
        <w:tc>
          <w:tcPr>
            <w:tcW w:w="4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Director</w:t>
            </w:r>
          </w:p>
        </w:tc>
        <w:tc>
          <w:tcPr>
            <w:tcW w:w="21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February 28, 2023</w:t>
            </w:r>
          </w:p>
        </w:tc>
      </w:tr>
      <w:tr>
        <w:trPr>
          <w:trHeight w:val="290"/>
        </w:trPr>
        <w:tc>
          <w:tcPr>
            <w:tcW w:w="2860" w:type="dxa"/>
            <w:vAlign w:val="bottom"/>
            <w:gridSpan w:val="16"/>
          </w:tcPr>
          <w:p>
            <w:pPr>
              <w:jc w:val="center"/>
              <w:ind w:right="960"/>
              <w:spacing w:after="0"/>
              <w:rPr>
                <w:sz w:val="20"/>
                <w:szCs w:val="20"/>
                <w:color w:val="auto"/>
              </w:rPr>
            </w:pPr>
            <w:r>
              <w:rPr>
                <w:rFonts w:ascii="Times New Roman" w:cs="Times New Roman" w:eastAsia="Times New Roman" w:hAnsi="Times New Roman"/>
                <w:sz w:val="18"/>
                <w:szCs w:val="18"/>
                <w:color w:val="auto"/>
                <w:w w:val="99"/>
              </w:rPr>
              <w:t>Marian "Mimi" Walters</w:t>
            </w:r>
          </w:p>
        </w:tc>
        <w:tc>
          <w:tcPr>
            <w:tcW w:w="438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ectPr>
          <w:pgSz w:w="11900" w:h="16838" w:orient="portrait"/>
          <w:cols w:equalWidth="0" w:num="1">
            <w:col w:w="11240"/>
          </w:cols>
          <w:pgMar w:left="320" w:top="1418" w:right="339" w:bottom="1440" w:gutter="0" w:footer="0" w:header="0"/>
        </w:sectPr>
      </w:pPr>
    </w:p>
    <w:bookmarkStart w:id="102" w:name="page103"/>
    <w:bookmarkEnd w:id="102"/>
    <w:p>
      <w:pPr>
        <w:ind w:left="3980"/>
        <w:spacing w:after="0"/>
        <w:rPr>
          <w:sz w:val="20"/>
          <w:szCs w:val="20"/>
          <w:color w:val="auto"/>
        </w:rPr>
      </w:pPr>
      <w:r>
        <w:rPr>
          <w:rFonts w:ascii="Times New Roman" w:cs="Times New Roman" w:eastAsia="Times New Roman" w:hAnsi="Times New Roman"/>
          <w:sz w:val="20"/>
          <w:szCs w:val="20"/>
          <w:b w:val="1"/>
          <w:bCs w:val="1"/>
          <w:color w:val="auto"/>
        </w:rPr>
        <w:t>THIRD AMENDED AND RESTATED</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CERTIFICATE OF INCORPORATION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EOS ENERGY ENTERPRISES, INC.</w:t>
      </w:r>
    </w:p>
    <w:p>
      <w:pPr>
        <w:spacing w:after="0" w:line="14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Effective November 16, 2020, as amended on June 28, 2022</w:t>
      </w:r>
    </w:p>
    <w:p>
      <w:pPr>
        <w:spacing w:after="0" w:line="17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NAME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name of the corporation is Eos Energy Enterprises, Inc. (the “</w:t>
      </w:r>
      <w:r>
        <w:rPr>
          <w:rFonts w:ascii="Times New Roman" w:cs="Times New Roman" w:eastAsia="Times New Roman" w:hAnsi="Times New Roman"/>
          <w:sz w:val="20"/>
          <w:szCs w:val="20"/>
          <w:u w:val="single" w:color="auto"/>
          <w:color w:val="auto"/>
        </w:rPr>
        <w:t>Corporation</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PURPOSE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purpose of the Corporation is to engage in any lawful act or activity for which corporations may be organized under the DGCL.</w:t>
      </w:r>
    </w:p>
    <w:p>
      <w:pPr>
        <w:spacing w:after="0" w:line="17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REGISTERED AGENT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address of the Corporation’s registered office in the State of Delaware is The Corporation Trust Company, 1209 Orange Street in the City of Wilmington, County of New Castle, State of Delaware, 19801, and the name of the Corporation’s registered agent at such address is The Corporation Trust Company.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CAPITALIZATION</w:t>
      </w:r>
    </w:p>
    <w:p>
      <w:pPr>
        <w:spacing w:after="0" w:line="20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4.1</w:t>
      </w:r>
      <w:r>
        <w:rPr>
          <w:sz w:val="20"/>
          <w:szCs w:val="20"/>
          <w:color w:val="auto"/>
        </w:rPr>
        <w:tab/>
      </w:r>
      <w:r>
        <w:rPr>
          <w:rFonts w:ascii="Times New Roman" w:cs="Times New Roman" w:eastAsia="Times New Roman" w:hAnsi="Times New Roman"/>
          <w:sz w:val="19"/>
          <w:szCs w:val="19"/>
          <w:u w:val="single" w:color="auto"/>
          <w:color w:val="auto"/>
        </w:rPr>
        <w:t>Reclassification; Authorized Capital Stock</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jc w:val="both"/>
        <w:ind w:firstLine="1304"/>
        <w:spacing w:after="0" w:line="253" w:lineRule="auto"/>
        <w:tabs>
          <w:tab w:leader="none" w:pos="1934"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upon the Effective Time, (i) each share of Class A Common Stock, par value $0.0001 per share, of the Corporation that was issued and outstanding or held in treasury immediately prior to the Effective Time (the “</w:t>
      </w:r>
      <w:r>
        <w:rPr>
          <w:rFonts w:ascii="Times New Roman" w:cs="Times New Roman" w:eastAsia="Times New Roman" w:hAnsi="Times New Roman"/>
          <w:sz w:val="20"/>
          <w:szCs w:val="20"/>
          <w:u w:val="single" w:color="auto"/>
          <w:color w:val="auto"/>
        </w:rPr>
        <w:t>Old Class A Common</w:t>
      </w:r>
      <w:r>
        <w:rPr>
          <w:rFonts w:ascii="Times New Roman" w:cs="Times New Roman" w:eastAsia="Times New Roman" w:hAnsi="Times New Roman"/>
          <w:sz w:val="20"/>
          <w:szCs w:val="20"/>
          <w:color w:val="auto"/>
        </w:rPr>
        <w:t>”) shall automatically and immediately be reclassified into one share of Common Stock (as defined below), and (ii) each share of Class B Common Stock, par value $0.0001 per share, of the Corporation that was issued and outstanding or held in treasury immediately prior to the Effective Time (the “</w:t>
      </w:r>
      <w:r>
        <w:rPr>
          <w:rFonts w:ascii="Times New Roman" w:cs="Times New Roman" w:eastAsia="Times New Roman" w:hAnsi="Times New Roman"/>
          <w:sz w:val="20"/>
          <w:szCs w:val="20"/>
          <w:u w:val="single" w:color="auto"/>
          <w:color w:val="auto"/>
        </w:rPr>
        <w:t>Old Class B Common</w:t>
      </w:r>
      <w:r>
        <w:rPr>
          <w:rFonts w:ascii="Times New Roman" w:cs="Times New Roman" w:eastAsia="Times New Roman" w:hAnsi="Times New Roman"/>
          <w:sz w:val="20"/>
          <w:szCs w:val="20"/>
          <w:color w:val="auto"/>
        </w:rPr>
        <w:t>”) shall automatically and immediately be reclassified into one share of Common Stock, in each case, without further action of any holder of the Old Class A Common or Old Class B Common.</w:t>
      </w:r>
    </w:p>
    <w:p>
      <w:pPr>
        <w:spacing w:after="0" w:line="138"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32"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number of shares of all classes of capital stock, each with a par value of $0.0001 per share, which the Corporation is authorized to issue is 301,000,000 shares, consisting of (a) 300,000,000 shares of common stock (the “</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and</w:t>
      </w:r>
    </w:p>
    <w:p>
      <w:pPr>
        <w:spacing w:after="0" w:line="1"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1,000,000 shares of preferred stock (the “</w:t>
      </w:r>
      <w:r>
        <w:rPr>
          <w:rFonts w:ascii="Times New Roman" w:cs="Times New Roman" w:eastAsia="Times New Roman" w:hAnsi="Times New Roman"/>
          <w:sz w:val="20"/>
          <w:szCs w:val="20"/>
          <w:u w:val="single" w:color="auto"/>
          <w:color w:val="auto"/>
        </w:rPr>
        <w:t>Preferred Stock</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4.2 </w:t>
      </w:r>
      <w:r>
        <w:rPr>
          <w:rFonts w:ascii="Times New Roman" w:cs="Times New Roman" w:eastAsia="Times New Roman" w:hAnsi="Times New Roman"/>
          <w:sz w:val="20"/>
          <w:szCs w:val="20"/>
          <w:u w:val="single" w:color="auto"/>
          <w:color w:val="auto"/>
        </w:rPr>
        <w:t>Preferred Stock</w:t>
      </w:r>
      <w:r>
        <w:rPr>
          <w:rFonts w:ascii="Times New Roman" w:cs="Times New Roman" w:eastAsia="Times New Roman" w:hAnsi="Times New Roman"/>
          <w:sz w:val="20"/>
          <w:szCs w:val="20"/>
          <w:color w:val="auto"/>
        </w:rPr>
        <w:t>. The Board of Directors of the Corporation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Times New Roman" w:cs="Times New Roman" w:eastAsia="Times New Roman" w:hAnsi="Times New Roman"/>
          <w:sz w:val="20"/>
          <w:szCs w:val="20"/>
          <w:u w:val="single" w:color="auto"/>
          <w:color w:val="auto"/>
        </w:rPr>
        <w:t>Preferred Stock</w:t>
      </w:r>
    </w:p>
    <w:p>
      <w:pPr>
        <w:sectPr>
          <w:pgSz w:w="11900" w:h="16838" w:orient="portrait"/>
          <w:cols w:equalWidth="0" w:num="1">
            <w:col w:w="11240"/>
          </w:cols>
          <w:pgMar w:left="320" w:top="1409" w:right="339" w:bottom="1440" w:gutter="0" w:footer="0" w:header="0"/>
        </w:sectPr>
      </w:pPr>
    </w:p>
    <w:bookmarkStart w:id="103" w:name="page104"/>
    <w:bookmarkEnd w:id="103"/>
    <w:p>
      <w:pPr>
        <w:spacing w:after="0" w:line="283" w:lineRule="auto"/>
        <w:rPr>
          <w:sz w:val="20"/>
          <w:szCs w:val="20"/>
          <w:color w:val="auto"/>
        </w:rPr>
      </w:pPr>
      <w:r>
        <w:rPr>
          <w:rFonts w:ascii="Times New Roman" w:cs="Times New Roman" w:eastAsia="Times New Roman" w:hAnsi="Times New Roman"/>
          <w:sz w:val="20"/>
          <w:szCs w:val="20"/>
          <w:u w:val="single" w:color="auto"/>
          <w:color w:val="auto"/>
        </w:rPr>
        <w:t>Designation</w:t>
      </w:r>
      <w:r>
        <w:rPr>
          <w:rFonts w:ascii="Times New Roman" w:cs="Times New Roman" w:eastAsia="Times New Roman" w:hAnsi="Times New Roman"/>
          <w:sz w:val="20"/>
          <w:szCs w:val="20"/>
          <w:color w:val="auto"/>
        </w:rPr>
        <w:t>”) filed pursuant to the DGCL, and the Board is hereby expressly vested with the authority to the full extent provided by law, now or hereafter, to adopt any such resolution or resolutions.</w:t>
      </w:r>
    </w:p>
    <w:p>
      <w:pPr>
        <w:spacing w:after="0" w:line="9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4.3</w:t>
      </w:r>
      <w:r>
        <w:rPr>
          <w:sz w:val="20"/>
          <w:szCs w:val="20"/>
          <w:color w:val="auto"/>
        </w:rPr>
        <w:tab/>
      </w:r>
      <w:r>
        <w:rPr>
          <w:rFonts w:ascii="Times New Roman" w:cs="Times New Roman" w:eastAsia="Times New Roman" w:hAnsi="Times New Roman"/>
          <w:sz w:val="19"/>
          <w:szCs w:val="19"/>
          <w:u w:val="single" w:color="auto"/>
          <w:color w:val="auto"/>
        </w:rPr>
        <w:t>Common Stock</w:t>
      </w:r>
      <w:r>
        <w:rPr>
          <w:rFonts w:ascii="Times New Roman" w:cs="Times New Roman" w:eastAsia="Times New Roman" w:hAnsi="Times New Roman"/>
          <w:sz w:val="19"/>
          <w:szCs w:val="19"/>
          <w:color w:val="auto"/>
        </w:rPr>
        <w:t>.</w:t>
      </w:r>
    </w:p>
    <w:p>
      <w:pPr>
        <w:spacing w:after="0" w:line="171" w:lineRule="exact"/>
        <w:rPr>
          <w:sz w:val="20"/>
          <w:szCs w:val="20"/>
          <w:color w:val="auto"/>
        </w:rPr>
      </w:pPr>
    </w:p>
    <w:p>
      <w:pPr>
        <w:ind w:left="1940" w:hanging="636"/>
        <w:spacing w:after="0"/>
        <w:tabs>
          <w:tab w:leader="none" w:pos="19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Voting</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ind w:left="660" w:firstLine="644"/>
        <w:spacing w:after="0" w:line="283" w:lineRule="auto"/>
        <w:tabs>
          <w:tab w:leader="none" w:pos="195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required by law or this Third Amended and Restated Certificate (including any Preferred Stock Designation), the holders of the Common Stock shall exclusively possess all voting power with respect to the Corporation.</w:t>
      </w:r>
    </w:p>
    <w:p>
      <w:pPr>
        <w:spacing w:after="0" w:line="10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5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required by law or this Third Amended and Restated Certificate (including any Preferred Stock Designation), the holders of shares of Common Stock shall be entitled to one vote for each such share on each matter properly submitted to the stockholders on which the holders of the Common Stock are entitled to vote.</w:t>
      </w:r>
    </w:p>
    <w:p>
      <w:pPr>
        <w:spacing w:after="0" w:line="113" w:lineRule="exact"/>
        <w:rPr>
          <w:rFonts w:ascii="Times New Roman" w:cs="Times New Roman" w:eastAsia="Times New Roman" w:hAnsi="Times New Roman"/>
          <w:sz w:val="20"/>
          <w:szCs w:val="20"/>
          <w:color w:val="auto"/>
        </w:rPr>
      </w:pPr>
    </w:p>
    <w:p>
      <w:pPr>
        <w:jc w:val="both"/>
        <w:ind w:left="660" w:firstLine="644"/>
        <w:spacing w:after="0" w:line="252" w:lineRule="auto"/>
        <w:tabs>
          <w:tab w:leader="none" w:pos="195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required by law or this Third Amended and Restated Certificate (including any Preferred Stock Designation), at any annual or special meeting of the stockholders of the Corporation, holders of the Common Stock shall have the exclusive right to vote for the election of directors and on all other matters properly submitted to a vote of the stockholders. Notwithstanding the foregoing, except as otherwise required by law or this Third Amended and Restated Certificate (including any Preferred Stock Designation), holders of shares of Common Stock shall not be entitled to vote on any amendment to this Third Amended and Restated Certificate (including any amendment to any Preferred Stock Designation) that relates solely to the terms of one or more outstanding series of Preferred Stock if the holders of such affected series of Preferred Stock, are entitled exclusively, either separately or together with the holders of one or more other such series, to vote thereon pursuant to this Third Amended and Restated Certificate (including any Preferred Stock Designation) or the DGCL.</w:t>
      </w:r>
    </w:p>
    <w:p>
      <w:pPr>
        <w:spacing w:after="0" w:line="131" w:lineRule="exact"/>
        <w:rPr>
          <w:sz w:val="20"/>
          <w:szCs w:val="20"/>
          <w:color w:val="auto"/>
        </w:rPr>
      </w:pPr>
    </w:p>
    <w:p>
      <w:pPr>
        <w:jc w:val="both"/>
        <w:ind w:firstLine="1304"/>
        <w:spacing w:after="0" w:line="255" w:lineRule="auto"/>
        <w:tabs>
          <w:tab w:leader="none" w:pos="193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Dividends</w:t>
      </w:r>
      <w:r>
        <w:rPr>
          <w:rFonts w:ascii="Times New Roman" w:cs="Times New Roman" w:eastAsia="Times New Roman" w:hAnsi="Times New Roman"/>
          <w:sz w:val="20"/>
          <w:szCs w:val="20"/>
          <w:color w:val="auto"/>
        </w:rPr>
        <w:t>. Subject to applicable law and the rights, if any, of the holders of any outstanding series of the Preferred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Stock, the holders of shares of Common Stock shall be entitled to receive such dividends and other distributions (payable in cash, property or 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12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3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Liquidation, Dissolution or Winding Up of the Corporation</w:t>
      </w:r>
      <w:r>
        <w:rPr>
          <w:rFonts w:ascii="Times New Roman" w:cs="Times New Roman" w:eastAsia="Times New Roman" w:hAnsi="Times New Roman"/>
          <w:sz w:val="20"/>
          <w:szCs w:val="20"/>
          <w:color w:val="auto"/>
        </w:rPr>
        <w:t>. Subject to applicable law and the rights, if any,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holders of any outstanding series of the Preferred Stock, in the event of any voluntary or involuntary liquidation, dissolution or winding up of the Corporation, after payment or provision for payment of the debts and other liabilities of the Corporation, the holders of shares of Common Stock shall be entitled to receive all the remaining assets of the Corporation available for distribution to its stockholders, ratably in proportion to the number of shares of Common Stock held by them.</w:t>
      </w:r>
    </w:p>
    <w:p>
      <w:pPr>
        <w:spacing w:after="0" w:line="13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4.4 </w:t>
      </w:r>
      <w:r>
        <w:rPr>
          <w:rFonts w:ascii="Times New Roman" w:cs="Times New Roman" w:eastAsia="Times New Roman" w:hAnsi="Times New Roman"/>
          <w:sz w:val="20"/>
          <w:szCs w:val="20"/>
          <w:u w:val="single" w:color="auto"/>
          <w:color w:val="auto"/>
        </w:rPr>
        <w:t>Rights and Options</w:t>
      </w:r>
      <w:r>
        <w:rPr>
          <w:rFonts w:ascii="Times New Roman" w:cs="Times New Roman" w:eastAsia="Times New Roman" w:hAnsi="Times New Roman"/>
          <w:sz w:val="20"/>
          <w:szCs w:val="20"/>
          <w:color w:val="auto"/>
        </w:rPr>
        <w:t xml:space="preserve">.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consideration to be received for any shares of capital stock issuable upon exercise thereof may not be less than the par value thereof.</w:t>
      </w:r>
    </w:p>
    <w:p>
      <w:pPr>
        <w:sectPr>
          <w:pgSz w:w="11900" w:h="16838" w:orient="portrait"/>
          <w:cols w:equalWidth="0" w:num="1">
            <w:col w:w="11240"/>
          </w:cols>
          <w:pgMar w:left="320" w:top="1413"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BOARD OF DIRECTORS</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5.1 </w:t>
      </w:r>
      <w:r>
        <w:rPr>
          <w:rFonts w:ascii="Times New Roman" w:cs="Times New Roman" w:eastAsia="Times New Roman" w:hAnsi="Times New Roman"/>
          <w:sz w:val="20"/>
          <w:szCs w:val="20"/>
          <w:u w:val="single" w:color="auto"/>
          <w:color w:val="auto"/>
        </w:rPr>
        <w:t>Board Powers</w:t>
      </w:r>
      <w:r>
        <w:rPr>
          <w:rFonts w:ascii="Times New Roman" w:cs="Times New Roman" w:eastAsia="Times New Roman" w:hAnsi="Times New Roman"/>
          <w:sz w:val="20"/>
          <w:szCs w:val="20"/>
          <w:color w:val="auto"/>
        </w:rPr>
        <w:t>. The business and affairs of the Corporation shall be managed by, or under the direction of, the Board. In addition to the powers and authority expressly conferred upon the Board by statute, this Third Amended and Restated Certificate or the Bylaws of the Corporation (“</w:t>
      </w:r>
      <w:r>
        <w:rPr>
          <w:rFonts w:ascii="Times New Roman" w:cs="Times New Roman" w:eastAsia="Times New Roman" w:hAnsi="Times New Roman"/>
          <w:sz w:val="20"/>
          <w:szCs w:val="20"/>
          <w:u w:val="single" w:color="auto"/>
          <w:color w:val="auto"/>
        </w:rPr>
        <w:t>Bylaws</w:t>
      </w:r>
      <w:r>
        <w:rPr>
          <w:rFonts w:ascii="Times New Roman" w:cs="Times New Roman" w:eastAsia="Times New Roman" w:hAnsi="Times New Roman"/>
          <w:sz w:val="20"/>
          <w:szCs w:val="20"/>
          <w:color w:val="auto"/>
        </w:rPr>
        <w:t xml:space="preserve">”), the Board is hereby empowered to exercise all such powers and do all such acts and things as may be exercised or done by the Corporation, subject, nevertheless, to the provisions of the DGCL, this Third Amended and Restated Certificate and any Bylaws adopted by the stockholders;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Bylaws hereafter adopted by the stockholders shall invalidate any prior act of the Board that would have been valid if such Bylaws had not been adopted.</w:t>
      </w:r>
    </w:p>
    <w:p>
      <w:pPr>
        <w:spacing w:after="0" w:line="13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5.2</w:t>
      </w:r>
      <w:r>
        <w:rPr>
          <w:sz w:val="20"/>
          <w:szCs w:val="20"/>
          <w:color w:val="auto"/>
        </w:rPr>
        <w:tab/>
      </w:r>
      <w:r>
        <w:rPr>
          <w:rFonts w:ascii="Times New Roman" w:cs="Times New Roman" w:eastAsia="Times New Roman" w:hAnsi="Times New Roman"/>
          <w:sz w:val="19"/>
          <w:szCs w:val="19"/>
          <w:u w:val="single" w:color="auto"/>
          <w:color w:val="auto"/>
        </w:rPr>
        <w:t>Number, Election and Term</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jc w:val="both"/>
        <w:ind w:firstLine="1304"/>
        <w:spacing w:after="0" w:line="257" w:lineRule="auto"/>
        <w:tabs>
          <w:tab w:leader="none" w:pos="193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directors of the Corporation, other than those who may be elected by the holders of one or more series of the Preferred Stock voting separately by class or series, and subject to the terms of the Director Nomination Agreement, dated as of November 16, 2020, by and among the Corporation and the other parties thereto (as it may be amended and/or restated, the “</w:t>
      </w:r>
      <w:r>
        <w:rPr>
          <w:rFonts w:ascii="Times New Roman" w:cs="Times New Roman" w:eastAsia="Times New Roman" w:hAnsi="Times New Roman"/>
          <w:sz w:val="20"/>
          <w:szCs w:val="20"/>
          <w:u w:val="single" w:color="auto"/>
          <w:color w:val="auto"/>
        </w:rPr>
        <w:t>Director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Nomination Agreement</w:t>
      </w:r>
      <w:r>
        <w:rPr>
          <w:rFonts w:ascii="Times New Roman" w:cs="Times New Roman" w:eastAsia="Times New Roman" w:hAnsi="Times New Roman"/>
          <w:sz w:val="20"/>
          <w:szCs w:val="20"/>
          <w:color w:val="auto"/>
        </w:rPr>
        <w:t>”), shall be fixed from time to time exclusively by the Board pursuant to a resolution adopted by a majority of the Board.</w:t>
      </w:r>
    </w:p>
    <w:p>
      <w:pPr>
        <w:spacing w:after="0" w:line="118" w:lineRule="exact"/>
        <w:rPr>
          <w:rFonts w:ascii="Times New Roman" w:cs="Times New Roman" w:eastAsia="Times New Roman" w:hAnsi="Times New Roman"/>
          <w:sz w:val="20"/>
          <w:szCs w:val="20"/>
          <w:color w:val="auto"/>
        </w:rPr>
      </w:pPr>
    </w:p>
    <w:p>
      <w:pPr>
        <w:jc w:val="both"/>
        <w:ind w:firstLine="1304"/>
        <w:spacing w:after="0" w:line="250" w:lineRule="auto"/>
        <w:tabs>
          <w:tab w:leader="none" w:pos="1932"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hereof, the Board shall be divided into three classes, as nearly equal in number as possible and designated Class I, Class II and Class III. The Board is authorized to assign members of the Board already in office to Class I (“</w:t>
      </w:r>
      <w:r>
        <w:rPr>
          <w:rFonts w:ascii="Times New Roman" w:cs="Times New Roman" w:eastAsia="Times New Roman" w:hAnsi="Times New Roman"/>
          <w:sz w:val="20"/>
          <w:szCs w:val="20"/>
          <w:u w:val="single" w:color="auto"/>
          <w:color w:val="auto"/>
        </w:rPr>
        <w:t>Class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Directors</w:t>
      </w:r>
      <w:r>
        <w:rPr>
          <w:rFonts w:ascii="Times New Roman" w:cs="Times New Roman" w:eastAsia="Times New Roman" w:hAnsi="Times New Roman"/>
          <w:sz w:val="20"/>
          <w:szCs w:val="20"/>
          <w:color w:val="auto"/>
        </w:rPr>
        <w:t>”), Class II (“</w:t>
      </w:r>
      <w:r>
        <w:rPr>
          <w:rFonts w:ascii="Times New Roman" w:cs="Times New Roman" w:eastAsia="Times New Roman" w:hAnsi="Times New Roman"/>
          <w:sz w:val="20"/>
          <w:szCs w:val="20"/>
          <w:u w:val="single" w:color="auto"/>
          <w:color w:val="auto"/>
        </w:rPr>
        <w:t>Class II Directors</w:t>
      </w:r>
      <w:r>
        <w:rPr>
          <w:rFonts w:ascii="Times New Roman" w:cs="Times New Roman" w:eastAsia="Times New Roman" w:hAnsi="Times New Roman"/>
          <w:sz w:val="20"/>
          <w:szCs w:val="20"/>
          <w:color w:val="auto"/>
        </w:rPr>
        <w:t>”) or Class III (“</w:t>
      </w:r>
      <w:r>
        <w:rPr>
          <w:rFonts w:ascii="Times New Roman" w:cs="Times New Roman" w:eastAsia="Times New Roman" w:hAnsi="Times New Roman"/>
          <w:sz w:val="20"/>
          <w:szCs w:val="20"/>
          <w:u w:val="single" w:color="auto"/>
          <w:color w:val="auto"/>
        </w:rPr>
        <w:t>Class III Directors</w:t>
      </w:r>
      <w:r>
        <w:rPr>
          <w:rFonts w:ascii="Times New Roman" w:cs="Times New Roman" w:eastAsia="Times New Roman" w:hAnsi="Times New Roman"/>
          <w:sz w:val="20"/>
          <w:szCs w:val="20"/>
          <w:color w:val="auto"/>
        </w:rPr>
        <w:t xml:space="preserve">”). The term of the initial Class I Directors shall expire at the first annual meeting of the stockholders of the Corporation following the Effective Time, the term of the initial Class II Directors shall expire at the second annual meeting of the stockholders of the Corporation following the Effective Time, and the term of the initial Class III Directors shall expire at the third annual meeting of the stockholders of the Corporation following the Effective Time. At each succeeding annual meeting of the stockholders of the Corporation, beginning with the first annual meeting of the stockholders of the Corporation following the Effective Time, each of the successors elected to replace the class of directors whose term expires at that annual meeting shall be elected for a three-year term or until the election and qualification of their respective successors in office, subject to their earlier death, resignation or removal. Subject to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hereof, if the number of directors that constitutes the Board is changed, any increase or decrease shall be apportioned by the Board among the classes so as to maintain the number of directors in each class as nearly equal as possible, but in no case shall a decrease in the number of directors constituting the Board shorten the term of any incumbent director. Subject to the rights of the holders of one or more series of Preferred Stock,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 The Board is hereby expressly authorized, by resolution or resolutions thereof, to assign members of the Board already in office to the aforesaid classes (and therefore such classification) at the Effective Time, in each case, in accordance with the DGCL and the terms of the Director Nomination Agreement.</w:t>
      </w:r>
    </w:p>
    <w:p>
      <w:pPr>
        <w:spacing w:after="0" w:line="12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and except to the extent that the Bylaws shall so require, the election of directors need not be by written</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ballot.</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5.3 </w:t>
      </w:r>
      <w:r>
        <w:rPr>
          <w:rFonts w:ascii="Times New Roman" w:cs="Times New Roman" w:eastAsia="Times New Roman" w:hAnsi="Times New Roman"/>
          <w:sz w:val="20"/>
          <w:szCs w:val="20"/>
          <w:u w:val="single" w:color="auto"/>
          <w:color w:val="auto"/>
        </w:rPr>
        <w:t>Newly Created Directorships and Vacancies</w:t>
      </w:r>
      <w:r>
        <w:rPr>
          <w:rFonts w:ascii="Times New Roman" w:cs="Times New Roman" w:eastAsia="Times New Roman" w:hAnsi="Times New Roman"/>
          <w:sz w:val="20"/>
          <w:szCs w:val="20"/>
          <w:color w:val="auto"/>
        </w:rPr>
        <w:t xml:space="preserve">. Subject to the terms of the Director Nomination Agreement and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5.5</w:t>
      </w:r>
      <w:r>
        <w:rPr>
          <w:rFonts w:ascii="Times New Roman" w:cs="Times New Roman" w:eastAsia="Times New Roman" w:hAnsi="Times New Roman"/>
          <w:sz w:val="20"/>
          <w:szCs w:val="20"/>
          <w:color w:val="auto"/>
        </w:rPr>
        <w:t xml:space="preserve"> hereof, newly created directorships resulting from an increase in the number of directors and any vacancies on the Board resulting from death, resignation, retirement,</w:t>
      </w:r>
    </w:p>
    <w:p>
      <w:pPr>
        <w:sectPr>
          <w:pgSz w:w="11900" w:h="16838" w:orient="portrait"/>
          <w:cols w:equalWidth="0" w:num="1">
            <w:col w:w="11240"/>
          </w:cols>
          <w:pgMar w:left="320" w:top="1409" w:right="339" w:bottom="1440" w:gutter="0" w:footer="0" w:header="0"/>
        </w:sectPr>
      </w:pPr>
    </w:p>
    <w:bookmarkStart w:id="105" w:name="page106"/>
    <w:bookmarkEnd w:id="105"/>
    <w:p>
      <w:pPr>
        <w:jc w:val="both"/>
        <w:spacing w:after="0" w:line="253" w:lineRule="auto"/>
        <w:rPr>
          <w:sz w:val="20"/>
          <w:szCs w:val="20"/>
          <w:color w:val="auto"/>
        </w:rPr>
      </w:pPr>
      <w:r>
        <w:rPr>
          <w:rFonts w:ascii="Times New Roman" w:cs="Times New Roman" w:eastAsia="Times New Roman" w:hAnsi="Times New Roman"/>
          <w:sz w:val="20"/>
          <w:szCs w:val="20"/>
          <w:color w:val="auto"/>
        </w:rPr>
        <w:t>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5.4 </w:t>
      </w:r>
      <w:r>
        <w:rPr>
          <w:rFonts w:ascii="Times New Roman" w:cs="Times New Roman" w:eastAsia="Times New Roman" w:hAnsi="Times New Roman"/>
          <w:sz w:val="20"/>
          <w:szCs w:val="20"/>
          <w:u w:val="single" w:color="auto"/>
          <w:color w:val="auto"/>
        </w:rPr>
        <w:t>Removal</w:t>
      </w:r>
      <w:r>
        <w:rPr>
          <w:rFonts w:ascii="Times New Roman" w:cs="Times New Roman" w:eastAsia="Times New Roman" w:hAnsi="Times New Roman"/>
          <w:sz w:val="20"/>
          <w:szCs w:val="20"/>
          <w:color w:val="auto"/>
        </w:rPr>
        <w:t xml:space="preserve">. Subject to the terms of the Director Nomination Agreement and to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 xml:space="preserve"> hereof, any or all of the directors may be removed from office at any time, but only for cause and only by the affirmative vote of holders of a majority of the voting power of all then outstanding shares of capital stock of the Corporation entitled to vote generally in the election of directors, voting together as a single class. Notwithstanding the foregoing, in the event that a stockholder party to the Director Nomination Agreement provides notice to the Corporation to remove a director designated by such stockholder pursuant to the terms of the Director Nomination Agreement, whether such removal is with or without cause, the Corporation may take all steps necessary to cause such removal, to the extent permitted by applicable law, and such director may be removed with or without cause.</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5.5 </w:t>
      </w:r>
      <w:r>
        <w:rPr>
          <w:rFonts w:ascii="Times New Roman" w:cs="Times New Roman" w:eastAsia="Times New Roman" w:hAnsi="Times New Roman"/>
          <w:sz w:val="20"/>
          <w:szCs w:val="20"/>
          <w:u w:val="single" w:color="auto"/>
          <w:color w:val="auto"/>
        </w:rPr>
        <w:t>Preferred Stock - Directors</w:t>
      </w:r>
      <w:r>
        <w:rPr>
          <w:rFonts w:ascii="Times New Roman" w:cs="Times New Roman" w:eastAsia="Times New Roman" w:hAnsi="Times New Roman"/>
          <w:sz w:val="20"/>
          <w:szCs w:val="20"/>
          <w:color w:val="auto"/>
        </w:rPr>
        <w:t xml:space="preserve">. Notwithstanding any other provision of this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Third Amended and Restated Certificate (including any Preferred Stock Designation) and such directors shall not be included in any of the classes created pursuant to this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unless expressly provided by such terms.</w:t>
      </w:r>
    </w:p>
    <w:p>
      <w:pPr>
        <w:spacing w:after="0" w:line="13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5.6</w:t>
      </w:r>
      <w:r>
        <w:rPr>
          <w:sz w:val="20"/>
          <w:szCs w:val="20"/>
          <w:color w:val="auto"/>
        </w:rPr>
        <w:tab/>
      </w:r>
      <w:r>
        <w:rPr>
          <w:rFonts w:ascii="Times New Roman" w:cs="Times New Roman" w:eastAsia="Times New Roman" w:hAnsi="Times New Roman"/>
          <w:sz w:val="19"/>
          <w:szCs w:val="19"/>
          <w:u w:val="single" w:color="auto"/>
          <w:color w:val="auto"/>
        </w:rPr>
        <w:t>Quorum</w:t>
      </w:r>
      <w:r>
        <w:rPr>
          <w:rFonts w:ascii="Times New Roman" w:cs="Times New Roman" w:eastAsia="Times New Roman" w:hAnsi="Times New Roman"/>
          <w:sz w:val="19"/>
          <w:szCs w:val="19"/>
          <w:color w:val="auto"/>
        </w:rPr>
        <w:t>. A quorum for the transaction of business by the directors shall be set forth in the Bylaws.</w:t>
      </w:r>
    </w:p>
    <w:p>
      <w:pPr>
        <w:spacing w:after="0" w:line="15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BYLAWS</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In furtherance and not in limitation of the powers conferred upon it by law, the Board shall have the power and is expressly authorized to adopt, amend, alter or repeal the Bylaws,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so long as the Director Nomination Agreement remains in effect, the Board shall not approve any amendment, alteration or repeal of any provision of the Bylaws, or the adoption of any new bylaw of the Corporation, that would be contrary to or inconsistent with the terms of the Director Nomination Agreement. The affirmative vote of a majority of the Board shall be required to adopt, amend, alter or repeal the Bylaws. The Bylaws also may be adopted, amended, altered or repealed by the stockholders;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addition to any vote of the holders of any class or series of capital stock of the Corporation required by law or by this Third Amended and Restated Certificate (including any Preferred Stock Designation), the affirmative vote of the holders of at least 66 2/3% of the voting power of all then outstanding shares of capital stock of the Corporation entitled to vote generally in the election of directors, voting together as a single class, shall be required for the stockholders to adopt, amend, alter or repeal the Bylaws;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Bylaws hereafter adopted by the stockholders shall invalidate any prior act of the Board that would have been valid if such Bylaws had not been adopted. Notwithstanding the foregoing, so long as the Director Nomination Agreement remains in effect, neither the Board nor the stockholders of the Corporation may not approve any amendment, alteration or repeal of any provision of the Bylaws, or the adoption of any new bylaw of the Corporation, that would be contrary to or inconsistent with the terms of the Director Nomination Agreement without the written consent of the parties to the Director Nomination Agreement. Notwithstanding the foregoing,</w:t>
      </w:r>
    </w:p>
    <w:p>
      <w:pPr>
        <w:sectPr>
          <w:pgSz w:w="11900" w:h="16838" w:orient="portrait"/>
          <w:cols w:equalWidth="0" w:num="1">
            <w:col w:w="11240"/>
          </w:cols>
          <w:pgMar w:left="320" w:top="1413" w:right="339" w:bottom="1440" w:gutter="0" w:footer="0" w:header="0"/>
        </w:sectPr>
      </w:pPr>
    </w:p>
    <w:bookmarkStart w:id="106" w:name="page107"/>
    <w:bookmarkEnd w:id="106"/>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nothing in the Bylaws shall be deemed to limit the ability of the parties to the Director Nomination Agreement to amend, alter or repeal any provision of the Director Nomination Agreement pursuant to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amendment to the Director Nomination Agreement (whether or not such amendment modifies any provision of the Director Nomination Agreement to which the Bylaws are subject) shall amend the Bylaws.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MEETINGS OF STOCKHOLDERS; ACTION BY WRITTEN CONSENT</w:t>
      </w:r>
    </w:p>
    <w:p>
      <w:pPr>
        <w:spacing w:after="0" w:line="2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7.1 </w:t>
      </w:r>
      <w:r>
        <w:rPr>
          <w:rFonts w:ascii="Times New Roman" w:cs="Times New Roman" w:eastAsia="Times New Roman" w:hAnsi="Times New Roman"/>
          <w:sz w:val="20"/>
          <w:szCs w:val="20"/>
          <w:u w:val="single" w:color="auto"/>
          <w:color w:val="auto"/>
        </w:rPr>
        <w:t>Annual Meetings</w:t>
      </w:r>
      <w:r>
        <w:rPr>
          <w:rFonts w:ascii="Times New Roman" w:cs="Times New Roman" w:eastAsia="Times New Roman" w:hAnsi="Times New Roman"/>
          <w:sz w:val="20"/>
          <w:szCs w:val="20"/>
          <w:color w:val="auto"/>
        </w:rPr>
        <w:t>. Except as otherwise expressly provided by law, the annual meeting of stockholders for the election of directors and for the transaction of such other business as may properly come before the meeting shall be held at such date, time and place, if any, as shall be determined exclusively by resolution of the Board in its sole and absolute discretion.</w:t>
      </w:r>
    </w:p>
    <w:p>
      <w:pPr>
        <w:spacing w:after="0" w:line="11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Section 7.2 </w:t>
      </w:r>
      <w:r>
        <w:rPr>
          <w:rFonts w:ascii="Times New Roman" w:cs="Times New Roman" w:eastAsia="Times New Roman" w:hAnsi="Times New Roman"/>
          <w:sz w:val="20"/>
          <w:szCs w:val="20"/>
          <w:u w:val="single" w:color="auto"/>
          <w:color w:val="auto"/>
        </w:rPr>
        <w:t>Special Meetings</w:t>
      </w:r>
      <w:r>
        <w:rPr>
          <w:rFonts w:ascii="Times New Roman" w:cs="Times New Roman" w:eastAsia="Times New Roman" w:hAnsi="Times New Roman"/>
          <w:sz w:val="20"/>
          <w:szCs w:val="20"/>
          <w:color w:val="auto"/>
        </w:rPr>
        <w:t>. Subject to the rights, if any, of the holders of any outstanding series of the Preferred Stock, and to the requirements of applicable law, special meetings of stockholders of the Corporation may be called only by the Chairman of the Board, Chief Executive Officer, or the Board pursuant to a resolution adopted by a majority of the Board, and the ability of the stockholders to call a special meeting is hereby specifically denied. Except as provided in the foregoing sentence, special meetings of stockholders may not be called by another person or persons.</w:t>
      </w:r>
    </w:p>
    <w:p>
      <w:pPr>
        <w:spacing w:after="0" w:line="11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7.3 </w:t>
      </w:r>
      <w:r>
        <w:rPr>
          <w:rFonts w:ascii="Times New Roman" w:cs="Times New Roman" w:eastAsia="Times New Roman" w:hAnsi="Times New Roman"/>
          <w:sz w:val="20"/>
          <w:szCs w:val="20"/>
          <w:u w:val="single" w:color="auto"/>
          <w:color w:val="auto"/>
        </w:rPr>
        <w:t>Advance Notice</w:t>
      </w:r>
      <w:r>
        <w:rPr>
          <w:rFonts w:ascii="Times New Roman" w:cs="Times New Roman" w:eastAsia="Times New Roman" w:hAnsi="Times New Roman"/>
          <w:sz w:val="20"/>
          <w:szCs w:val="20"/>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7.4 </w:t>
      </w:r>
      <w:r>
        <w:rPr>
          <w:rFonts w:ascii="Times New Roman" w:cs="Times New Roman" w:eastAsia="Times New Roman" w:hAnsi="Times New Roman"/>
          <w:sz w:val="20"/>
          <w:szCs w:val="20"/>
          <w:u w:val="single" w:color="auto"/>
          <w:color w:val="auto"/>
        </w:rPr>
        <w:t>No Action by Written Consent</w:t>
      </w:r>
      <w:r>
        <w:rPr>
          <w:rFonts w:ascii="Times New Roman" w:cs="Times New Roman" w:eastAsia="Times New Roman" w:hAnsi="Times New Roman"/>
          <w:sz w:val="20"/>
          <w:szCs w:val="20"/>
          <w:color w:val="auto"/>
        </w:rPr>
        <w:t>. Subject to the rights, if any, of the holders of any outstanding series of Preferred Stock, any action required or permitted to be taken by the stockholders of the Corporation must be effected by a duly called annual or special meeting of such stockholders and may not be effected by written consent of the stockholders of the Corporation.</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LIABILITY; INDEMNIFICATION</w:t>
      </w:r>
    </w:p>
    <w:p>
      <w:pPr>
        <w:spacing w:after="0" w:line="20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Section 8.1 </w:t>
      </w:r>
      <w:r>
        <w:rPr>
          <w:rFonts w:ascii="Times New Roman" w:cs="Times New Roman" w:eastAsia="Times New Roman" w:hAnsi="Times New Roman"/>
          <w:sz w:val="20"/>
          <w:szCs w:val="20"/>
          <w:u w:val="single" w:color="auto"/>
          <w:color w:val="auto"/>
        </w:rPr>
        <w:t>Limitation of Director Liability</w:t>
      </w:r>
      <w:r>
        <w:rPr>
          <w:rFonts w:ascii="Times New Roman" w:cs="Times New Roman" w:eastAsia="Times New Roman" w:hAnsi="Times New Roman"/>
          <w:sz w:val="20"/>
          <w:szCs w:val="20"/>
          <w:color w:val="auto"/>
        </w:rPr>
        <w:t>. To the full extent permitted by the DGCL and any other applicable law currently or hereafter in effect, a director of the Corporation shall not be personally liable to the Corporation or its stockholders for monetary damages for breach of fiduciary duty as a director.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1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color w:val="auto"/>
        </w:rPr>
        <w:t>Section 8.2</w:t>
      </w:r>
      <w:r>
        <w:rPr>
          <w:sz w:val="20"/>
          <w:szCs w:val="20"/>
          <w:color w:val="auto"/>
        </w:rPr>
        <w:tab/>
      </w:r>
      <w:r>
        <w:rPr>
          <w:rFonts w:ascii="Times New Roman" w:cs="Times New Roman" w:eastAsia="Times New Roman" w:hAnsi="Times New Roman"/>
          <w:sz w:val="19"/>
          <w:szCs w:val="19"/>
          <w:u w:val="single" w:color="auto"/>
          <w:color w:val="auto"/>
        </w:rPr>
        <w:t>Indemnification and Advancement of Expenses</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jc w:val="both"/>
        <w:ind w:firstLine="1304"/>
        <w:spacing w:after="0" w:line="253" w:lineRule="auto"/>
        <w:tabs>
          <w:tab w:leader="none" w:pos="193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(any such person,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whether the basis of such proceeding is alleged action in an official capacity as</w:t>
      </w:r>
    </w:p>
    <w:p>
      <w:pPr>
        <w:sectPr>
          <w:pgSz w:w="11900" w:h="16838" w:orient="portrait"/>
          <w:cols w:equalWidth="0" w:num="1">
            <w:col w:w="11240"/>
          </w:cols>
          <w:pgMar w:left="320" w:top="1413" w:right="339" w:bottom="1440" w:gutter="0" w:footer="0" w:header="0"/>
        </w:sectPr>
      </w:pPr>
    </w:p>
    <w:bookmarkStart w:id="107" w:name="page108"/>
    <w:bookmarkEnd w:id="107"/>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 director, officer, employee or agent, or in any other capacity while serving as such a director, officer, employee or agent, against all liability and loss suffered and expenses (including, without limitation, attorneys’ fees and expenses, judgments, fines, ERISA excise taxes and penalties and amounts paid in settlement) reasonably incurred or suffered by such indemnitee in connection with such proceeding. The Corporation shall to the fullest extent not prohibited by applicable law pay any and all expenses (including, without limitation, attorneys’ fees and expenses) incurred by an indemnitee in defending or otherwise participating in any proceeding in advance of its final disposition;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to the extent required by applicable law, such payment of expenses in advance of the final disposition of the proceeding shall be made only upon delivery to the Corporation of an undertaking, by or on behalf of the indemnitee, to repay, without interest, all amounts so advanced if it shall ultimately be determined by final judicial decision from which there is no further right to appeal that the indemnitee is not entitled to be indemnified for such expenses under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or otherwise. The rights to indemnification and advancement of expenses conferred by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(i) shall be contract rights; (ii) shall continue as to an indemnitee who has ceased to be a director, officer, employee or agent and shall inure to the benefit of his or her heirs, executors and administrators; and (iii) shall not be conditioned upon any prior determination that an indemnitee is entitled to indemnification under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with respect to the related proceeding. Notwithstanding the foregoing provisions of this </w:t>
      </w:r>
      <w:r>
        <w:rPr>
          <w:rFonts w:ascii="Times New Roman" w:cs="Times New Roman" w:eastAsia="Times New Roman" w:hAnsi="Times New Roman"/>
          <w:sz w:val="20"/>
          <w:szCs w:val="20"/>
          <w:u w:val="single" w:color="auto"/>
          <w:color w:val="auto"/>
        </w:rPr>
        <w:t>Section 8.2(a)</w:t>
      </w:r>
      <w:r>
        <w:rPr>
          <w:rFonts w:ascii="Times New Roman" w:cs="Times New Roman" w:eastAsia="Times New Roman" w:hAnsi="Times New Roman"/>
          <w:sz w:val="20"/>
          <w:szCs w:val="20"/>
          <w:color w:val="auto"/>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147" w:lineRule="exact"/>
        <w:rPr>
          <w:sz w:val="20"/>
          <w:szCs w:val="20"/>
          <w:color w:val="auto"/>
        </w:rPr>
      </w:pPr>
    </w:p>
    <w:p>
      <w:pPr>
        <w:jc w:val="both"/>
        <w:ind w:firstLine="1304"/>
        <w:spacing w:after="0" w:line="261" w:lineRule="auto"/>
        <w:tabs>
          <w:tab w:leader="none" w:pos="193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rights to indemnification and advancement of expenses conferred on any indemnitee by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shall not be exclusive of any other rights that any indemnitee may have or hereafter acquire under law, this Third Amended and Restated Certificate, the Bylaws, an agreement, vote of stockholders or disinterested directors, or otherwise.</w:t>
      </w:r>
    </w:p>
    <w:p>
      <w:pPr>
        <w:spacing w:after="0" w:line="127" w:lineRule="exact"/>
        <w:rPr>
          <w:rFonts w:ascii="Times New Roman" w:cs="Times New Roman" w:eastAsia="Times New Roman" w:hAnsi="Times New Roman"/>
          <w:sz w:val="20"/>
          <w:szCs w:val="20"/>
          <w:color w:val="auto"/>
        </w:rPr>
      </w:pPr>
    </w:p>
    <w:p>
      <w:pPr>
        <w:jc w:val="both"/>
        <w:ind w:firstLine="1304"/>
        <w:spacing w:after="0" w:line="251" w:lineRule="auto"/>
        <w:tabs>
          <w:tab w:leader="none" w:pos="193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repeal or amendment of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by the stockholders of the Corporation or by changes in law, or the adoption of any other provision of this Third Amended and Restated Certificate inconsistent with 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138"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xml:space="preserve"> shall not limit the right of the Corporation, to the extent and in the manner authorized or permitted by law, to indemnify and to advance expenses to persons other than indemnitees.</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CORPORATE OPPORTUNITY</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Corporation renounces, to the fullest extent permitted by law, any interest or expectancy of the Corporation in, or in being offered an opportunity to participate in, any Excluded Opportunity pursuant to Section 122(17) of the DGCL. As used herein, an “</w:t>
      </w:r>
      <w:r>
        <w:rPr>
          <w:rFonts w:ascii="Times New Roman" w:cs="Times New Roman" w:eastAsia="Times New Roman" w:hAnsi="Times New Roman"/>
          <w:sz w:val="20"/>
          <w:szCs w:val="20"/>
          <w:u w:val="single" w:color="auto"/>
          <w:color w:val="auto"/>
        </w:rPr>
        <w:t>Excluded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Opportunity</w:t>
      </w:r>
      <w:r>
        <w:rPr>
          <w:rFonts w:ascii="Times New Roman" w:cs="Times New Roman" w:eastAsia="Times New Roman" w:hAnsi="Times New Roman"/>
          <w:sz w:val="20"/>
          <w:szCs w:val="20"/>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person with the right to designate any such director pursuant to the Director Nomination Agreement (or any of such person’s Affiliates or its or their respective successors,</w:t>
      </w:r>
    </w:p>
    <w:p>
      <w:pPr>
        <w:sectPr>
          <w:pgSz w:w="11900" w:h="16838" w:orient="portrait"/>
          <w:cols w:equalWidth="0" w:num="1">
            <w:col w:w="11240"/>
          </w:cols>
          <w:pgMar w:left="320" w:top="1413" w:right="339" w:bottom="1440" w:gutter="0" w:footer="0" w:header="0"/>
        </w:sectPr>
      </w:pPr>
    </w:p>
    <w:bookmarkStart w:id="108" w:name="page109"/>
    <w:bookmarkEnd w:id="108"/>
    <w:p>
      <w:pPr>
        <w:jc w:val="both"/>
        <w:spacing w:after="0" w:line="253" w:lineRule="auto"/>
        <w:rPr>
          <w:sz w:val="20"/>
          <w:szCs w:val="20"/>
          <w:color w:val="auto"/>
        </w:rPr>
      </w:pPr>
      <w:r>
        <w:rPr>
          <w:rFonts w:ascii="Times New Roman" w:cs="Times New Roman" w:eastAsia="Times New Roman" w:hAnsi="Times New Roman"/>
          <w:sz w:val="20"/>
          <w:szCs w:val="20"/>
          <w:color w:val="auto"/>
        </w:rPr>
        <w:t>principals, directors, officers, members, managers or employees) (collectively, “</w:t>
      </w:r>
      <w:r>
        <w:rPr>
          <w:rFonts w:ascii="Times New Roman" w:cs="Times New Roman" w:eastAsia="Times New Roman" w:hAnsi="Times New Roman"/>
          <w:sz w:val="20"/>
          <w:szCs w:val="20"/>
          <w:u w:val="single" w:color="auto"/>
          <w:color w:val="auto"/>
        </w:rPr>
        <w:t>Covered Persons</w:t>
      </w:r>
      <w:r>
        <w:rPr>
          <w:rFonts w:ascii="Times New Roman" w:cs="Times New Roman" w:eastAsia="Times New Roman" w:hAnsi="Times New Roman"/>
          <w:sz w:val="20"/>
          <w:szCs w:val="20"/>
          <w:color w:val="auto"/>
        </w:rPr>
        <w:t xml:space="preserve">”), unless such matter, transaction or interest is presented to, or acquired, created or developed by, or otherwise comes into the possession of, such Covered Person expressly and solely in such Covered Person’s capacity as a director of the Corporation, and such opportunity is one the Corporation is legally and contractually permitted to undertake and would otherwise be reasonable for the Corporation to pursue. Any amendment, repeal or modification of the foregoing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shall not adversely affect any right or protection of any Covered Person existing at the time of such amendment, repeal or modification. For purposes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any person, any other person that controls, is controlled by, or is under common control with such person.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OF THIRD AMENDED AND RESTATED CERTIFICATE OF INCORPORATION</w:t>
      </w:r>
    </w:p>
    <w:p>
      <w:pPr>
        <w:spacing w:after="0" w:line="20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The Corporation reserves the right at any time and from time to time to amend, alter, change or repeal any provision contained in this Third Amended and Restated Certificate (including any Preferred Stock Designation), and other provisions authorized by the laws of the State of Delaware at the time in force that may be added or inserted, in the manner now or hereafter prescribed by this Third Amended and Restated Certificate and the DGCL; and, except as set forth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all rights, preferences and privileges of whatever nature herein conferred upon stockholders, directors or any other persons by and pursuant to this Third Amended and Restated Certificate in its present form or as hereafter amended are granted subject to the right reserved in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Notwithstanding anything to the contrary contained in this Third Amended and Restated Certificate or the Bylaws, and notwithstanding that a lesser percentage or vote may be permitted from time to time by applicable law, no provision of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(except by virtue of a filing of a Preferred Stock Designation, but subject to any vote required by law or by other provisions of this Third Amended and Restated Certificate with respect to such Preferred Stock Designation) may be altered, amended or repealed in any respect, nor may any provision of this Third Amended and Restated Certificate or of the Bylaws inconsistent therewith be adopted, unless in addition to any other vote required by this Third Amended and Restated Certificate or otherwise required by law, such alteration, amendment, repeal or adoption is approved at a meeting of the stockholders called for that purpose by the affirmative vote of the holders of at least 66</w:t>
      </w:r>
      <w:r>
        <w:rPr>
          <w:rFonts w:ascii="Times New Roman" w:cs="Times New Roman" w:eastAsia="Times New Roman" w:hAnsi="Times New Roman"/>
          <w:sz w:val="25"/>
          <w:szCs w:val="25"/>
          <w:color w:val="auto"/>
          <w:vertAlign w:val="superscript"/>
        </w:rPr>
        <w:t>2⁄3</w:t>
      </w:r>
      <w:r>
        <w:rPr>
          <w:rFonts w:ascii="Times New Roman" w:cs="Times New Roman" w:eastAsia="Times New Roman" w:hAnsi="Times New Roman"/>
          <w:sz w:val="20"/>
          <w:szCs w:val="20"/>
          <w:color w:val="auto"/>
        </w:rPr>
        <w:t xml:space="preserve">% of the voting power of all outstanding shares of capital stock of the Corporation entitled to vote generally in the election of directors, voting together as a single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so long as the Director Nomination Agreement remains in effect, no provision of this Third Amended and Restated Certificate may be amended, altered or repealed in any manner that would be contrary to or inconsistent with the terms of the Director Nomination Agreement.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EXCLUSIVE FORUM FOR CERTAIN LAWSUITS</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Section 11.1 </w:t>
      </w:r>
      <w:r>
        <w:rPr>
          <w:rFonts w:ascii="Times New Roman" w:cs="Times New Roman" w:eastAsia="Times New Roman" w:hAnsi="Times New Roman"/>
          <w:sz w:val="20"/>
          <w:szCs w:val="20"/>
          <w:u w:val="single" w:color="auto"/>
          <w:color w:val="auto"/>
        </w:rPr>
        <w:t>Forum</w:t>
      </w:r>
      <w:r>
        <w:rPr>
          <w:rFonts w:ascii="Times New Roman" w:cs="Times New Roman" w:eastAsia="Times New Roman" w:hAnsi="Times New Roman"/>
          <w:sz w:val="20"/>
          <w:szCs w:val="20"/>
          <w:color w:val="auto"/>
        </w:rPr>
        <w:t>. Unless the Corporation consents in writing to the selection of an alternative forum, the Court of Chancery of the State of Delaware (the “Court of Chancery”)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Third Amended and Restated Certificate or the Bylaws or as to which the DGCL confers jurisdiction on the Court of Chancery, or (iv) any action asserting a claim against the Corporation, its directors, officers or employees governed by the internal affairs doctrine, except for, as to each of (i) through (iv) above, any claim (A) as to which the Court of Chancery determines that there is an indispensable party not subject to the jurisdiction of the</w:t>
      </w:r>
    </w:p>
    <w:p>
      <w:pPr>
        <w:sectPr>
          <w:pgSz w:w="11900" w:h="16838" w:orient="portrait"/>
          <w:cols w:equalWidth="0" w:num="1">
            <w:col w:w="11240"/>
          </w:cols>
          <w:pgMar w:left="320" w:top="1413" w:right="339" w:bottom="1440" w:gutter="0" w:footer="0" w:header="0"/>
        </w:sectPr>
      </w:pPr>
    </w:p>
    <w:bookmarkStart w:id="109" w:name="page110"/>
    <w:bookmarkEnd w:id="109"/>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arising under the Securities Act of 1933, as amended, as to which the Court of Chancery and the federal district court for the District of Delaware shall have concurrent jurisdiction. Notwithstanding the foregoing, the provisions of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will not apply to suits brought to enforce a duty or liability created by the Securities Exchange Act of 1934, as amended, or any other claim for which the federal courts have exclusive jurisdiction. Any person or entity purchasing or otherwise acquiring any interest in any security of the Corporation shall be deemed to have notice of and consented to the provisions of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w:t>
      </w:r>
    </w:p>
    <w:p>
      <w:pPr>
        <w:spacing w:after="0" w:line="14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11.2 </w:t>
      </w:r>
      <w:r>
        <w:rPr>
          <w:rFonts w:ascii="Times New Roman" w:cs="Times New Roman" w:eastAsia="Times New Roman" w:hAnsi="Times New Roman"/>
          <w:sz w:val="20"/>
          <w:szCs w:val="20"/>
          <w:u w:val="single" w:color="auto"/>
          <w:color w:val="auto"/>
        </w:rPr>
        <w:t>Consent to Jurisdiction</w:t>
      </w:r>
      <w:r>
        <w:rPr>
          <w:rFonts w:ascii="Times New Roman" w:cs="Times New Roman" w:eastAsia="Times New Roman" w:hAnsi="Times New Roman"/>
          <w:sz w:val="20"/>
          <w:szCs w:val="20"/>
          <w:color w:val="auto"/>
        </w:rPr>
        <w:t xml:space="preserve">. If any action the subject matter of which is within the scope of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immediately above is filed in a court other than a court located within the State of Delaware (a “</w:t>
      </w:r>
      <w:r>
        <w:rPr>
          <w:rFonts w:ascii="Times New Roman" w:cs="Times New Roman" w:eastAsia="Times New Roman" w:hAnsi="Times New Roman"/>
          <w:sz w:val="20"/>
          <w:szCs w:val="20"/>
          <w:u w:val="single" w:color="auto"/>
          <w:color w:val="auto"/>
        </w:rPr>
        <w:t>Foreign Action</w:t>
      </w:r>
      <w:r>
        <w:rPr>
          <w:rFonts w:ascii="Times New Roman" w:cs="Times New Roman" w:eastAsia="Times New Roman" w:hAnsi="Times New Roman"/>
          <w:sz w:val="20"/>
          <w:szCs w:val="20"/>
          <w:color w:val="auto"/>
        </w:rPr>
        <w:t xml:space="preserve">”) in the name of any stockholder, such stockholder shall be deemed to have consented to (i) the personal jurisdiction of the state and federal courts located within the State of Delaware in connection with any action brought in any such court to enforce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immediately above (an “</w:t>
      </w:r>
      <w:r>
        <w:rPr>
          <w:rFonts w:ascii="Times New Roman" w:cs="Times New Roman" w:eastAsia="Times New Roman" w:hAnsi="Times New Roman"/>
          <w:sz w:val="20"/>
          <w:szCs w:val="20"/>
          <w:u w:val="single" w:color="auto"/>
          <w:color w:val="auto"/>
        </w:rPr>
        <w:t>FSC Enforcement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Action</w:t>
      </w:r>
      <w:r>
        <w:rPr>
          <w:rFonts w:ascii="Times New Roman" w:cs="Times New Roman" w:eastAsia="Times New Roman" w:hAnsi="Times New Roman"/>
          <w:sz w:val="20"/>
          <w:szCs w:val="20"/>
          <w:color w:val="auto"/>
        </w:rPr>
        <w:t>”) and (ii) having service of process made upon such stockholder in any such FSC Enforcement Action by service upon such stockholder’s counsel in the Foreign Action as agent for such stockholder.</w:t>
      </w:r>
    </w:p>
    <w:p>
      <w:pPr>
        <w:spacing w:after="0" w:line="1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11.3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xml:space="preserve">. If any provision or provisions of this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(including, without limitation, each portion of any sentence of this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 xml:space="preserve">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20"/>
          <w:szCs w:val="20"/>
          <w:u w:val="single" w:color="auto"/>
          <w:color w:val="auto"/>
        </w:rPr>
        <w:t>Article XI</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203 OF THE DGCL</w:t>
      </w:r>
    </w:p>
    <w:p>
      <w:pPr>
        <w:spacing w:after="0" w:line="21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Corporation hereby expressly elects not to be governed by Section 203 of the DGCL as now in effect or hereafter amended, or any successor statute thereto, and the restrictions contained in Section 203 of the DGCL shall not apply to the Corporation.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13" w:right="339" w:bottom="1440" w:gutter="0" w:footer="0" w:header="0"/>
        </w:sectPr>
      </w:pPr>
    </w:p>
    <w:bookmarkStart w:id="110" w:name="page111"/>
    <w:bookmarkEnd w:id="110"/>
    <w:p>
      <w:pPr>
        <w:spacing w:after="0" w:line="17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Eos Energy Enterprises, Inc. has caused this Third Amended and Restated Certificate to be duly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executed and acknowledged in its name and on its behalf by an authorized officer as of the date first set forth above.</w:t>
      </w: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Melissa Berube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8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Melissa Berube</w:t>
            </w:r>
          </w:p>
        </w:tc>
      </w:tr>
      <w:tr>
        <w:trPr>
          <w:trHeight w:val="229"/>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Melissa Berube</w:t>
            </w:r>
          </w:p>
        </w:tc>
      </w:tr>
      <w:tr>
        <w:trPr>
          <w:trHeight w:val="234"/>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Third Amended and Restated Certificate of Incorporation</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gridSpan w:val="5"/>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rPr>
              <w:t>EOS ENERGY ENTERPRISES, INC.</w:t>
            </w:r>
          </w:p>
        </w:tc>
        <w:tc>
          <w:tcPr>
            <w:tcW w:w="2340" w:type="dxa"/>
            <w:vAlign w:val="bottom"/>
          </w:tcPr>
          <w:p>
            <w:pPr>
              <w:spacing w:after="0"/>
              <w:rPr>
                <w:sz w:val="20"/>
                <w:szCs w:val="20"/>
                <w:color w:val="auto"/>
              </w:rPr>
            </w:pPr>
          </w:p>
        </w:tc>
      </w:tr>
      <w:tr>
        <w:trPr>
          <w:trHeight w:val="405"/>
        </w:trPr>
        <w:tc>
          <w:tcPr>
            <w:tcW w:w="4000" w:type="dxa"/>
            <w:vAlign w:val="bottom"/>
          </w:tcPr>
          <w:p>
            <w:pPr>
              <w:spacing w:after="0"/>
              <w:rPr>
                <w:sz w:val="24"/>
                <w:szCs w:val="24"/>
                <w:color w:val="auto"/>
              </w:rPr>
            </w:pPr>
          </w:p>
        </w:tc>
        <w:tc>
          <w:tcPr>
            <w:tcW w:w="4060" w:type="dxa"/>
            <w:vAlign w:val="bottom"/>
            <w:gridSpan w:val="4"/>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9"/>
              </w:rPr>
              <w:t>LIST OF SUBSIDIARIES</w:t>
            </w:r>
          </w:p>
        </w:tc>
        <w:tc>
          <w:tcPr>
            <w:tcW w:w="2340" w:type="dxa"/>
            <w:vAlign w:val="bottom"/>
          </w:tcPr>
          <w:p>
            <w:pPr>
              <w:spacing w:after="0"/>
              <w:rPr>
                <w:sz w:val="24"/>
                <w:szCs w:val="24"/>
                <w:color w:val="auto"/>
              </w:rPr>
            </w:pPr>
          </w:p>
        </w:tc>
      </w:tr>
      <w:tr>
        <w:trPr>
          <w:trHeight w:val="391"/>
        </w:trPr>
        <w:tc>
          <w:tcPr>
            <w:tcW w:w="4000" w:type="dxa"/>
            <w:vAlign w:val="bottom"/>
          </w:tcPr>
          <w:p>
            <w:pPr>
              <w:spacing w:after="0"/>
              <w:rPr>
                <w:sz w:val="24"/>
                <w:szCs w:val="24"/>
                <w:color w:val="auto"/>
              </w:rPr>
            </w:pPr>
          </w:p>
        </w:tc>
        <w:tc>
          <w:tcPr>
            <w:tcW w:w="4060" w:type="dxa"/>
            <w:vAlign w:val="bottom"/>
            <w:gridSpan w:val="4"/>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2340" w:type="dxa"/>
            <w:vAlign w:val="bottom"/>
          </w:tcPr>
          <w:p>
            <w:pPr>
              <w:spacing w:after="0"/>
              <w:rPr>
                <w:sz w:val="24"/>
                <w:szCs w:val="24"/>
                <w:color w:val="auto"/>
              </w:rPr>
            </w:pPr>
          </w:p>
        </w:tc>
      </w:tr>
      <w:tr>
        <w:trPr>
          <w:trHeight w:val="50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Country (State)</w:t>
            </w:r>
          </w:p>
        </w:tc>
        <w:tc>
          <w:tcPr>
            <w:tcW w:w="234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99"/>
              </w:rPr>
              <w:t>Percent Ownership</w:t>
            </w:r>
          </w:p>
        </w:tc>
      </w:tr>
      <w:tr>
        <w:trPr>
          <w:trHeight w:val="223"/>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Eos Energy Enterprises Intermediate Holdings, LLC</w:t>
            </w: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(Delaware)</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Eos Energy Storage LLC</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 (Delaware)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Eos Services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(Delaware)</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Eos Energy Storage India Private Limited</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Eos Energy Storage S.R.L</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HI-POWER, LLC</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 (Delaware)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Eos Ingenuity Lab,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(Delaware)</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Eos Enterprise Holdings, LLC</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 (Delaware)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Eos Energy Technology Holdings, LLC</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(Delaware)</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ectPr>
          <w:pgSz w:w="11900" w:h="16838" w:orient="portrait"/>
          <w:cols w:equalWidth="0" w:num="1">
            <w:col w:w="10400"/>
          </w:cols>
          <w:pgMar w:left="740" w:top="1440" w:right="7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333-263298 on Form S-3 and Registration Statement Nos. 333-265708 and 333-256766 on Form S-8 of our report dated February 28, 2023, relating to the financial statements of Eos Energy Enterprises, Inc. appearing in this Annual Report on Form 10-K for the year ended December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ectPr>
          <w:pgSz w:w="11900" w:h="16838" w:orient="portrait"/>
          <w:cols w:equalWidth="0" w:num="1">
            <w:col w:w="11240"/>
          </w:cols>
          <w:pgMar w:left="320" w:top="1417"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Mastrangelo, certify that:</w:t>
      </w:r>
    </w:p>
    <w:p>
      <w:pPr>
        <w:spacing w:after="0" w:line="198" w:lineRule="exact"/>
        <w:rPr>
          <w:sz w:val="20"/>
          <w:szCs w:val="20"/>
          <w:color w:val="auto"/>
        </w:rPr>
      </w:pPr>
    </w:p>
    <w:p>
      <w:pPr>
        <w:ind w:left="200" w:hanging="192"/>
        <w:spacing w:after="0"/>
        <w:tabs>
          <w:tab w:leader="none" w:pos="2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(the “Annual Report”) of Eos Energy Enterprises, Inc. (the “Registrant”);</w:t>
      </w:r>
    </w:p>
    <w:p>
      <w:pPr>
        <w:spacing w:after="0" w:line="198" w:lineRule="exact"/>
        <w:rPr>
          <w:rFonts w:ascii="Times New Roman" w:cs="Times New Roman" w:eastAsia="Times New Roman" w:hAnsi="Times New Roman"/>
          <w:sz w:val="18"/>
          <w:szCs w:val="18"/>
          <w:color w:val="auto"/>
        </w:rPr>
      </w:pPr>
    </w:p>
    <w:p>
      <w:pPr>
        <w:jc w:val="both"/>
        <w:ind w:firstLine="8"/>
        <w:spacing w:after="0" w:line="266" w:lineRule="auto"/>
        <w:tabs>
          <w:tab w:leader="none" w:pos="1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48"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21" w:lineRule="exact"/>
        <w:rPr>
          <w:rFonts w:ascii="Times New Roman" w:cs="Times New Roman" w:eastAsia="Times New Roman" w:hAnsi="Times New Roman"/>
          <w:sz w:val="18"/>
          <w:szCs w:val="18"/>
          <w:color w:val="auto"/>
        </w:rPr>
      </w:pPr>
    </w:p>
    <w:p>
      <w:pPr>
        <w:jc w:val="both"/>
        <w:ind w:firstLine="8"/>
        <w:spacing w:after="0" w:line="274" w:lineRule="auto"/>
        <w:tabs>
          <w:tab w:leader="none" w:pos="21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74" w:lineRule="exact"/>
        <w:rPr>
          <w:sz w:val="20"/>
          <w:szCs w:val="20"/>
          <w:color w:val="auto"/>
        </w:rPr>
      </w:pPr>
    </w:p>
    <w:p>
      <w:pPr>
        <w:jc w:val="both"/>
        <w:ind w:right="20" w:firstLine="8"/>
        <w:spacing w:after="0" w:line="274" w:lineRule="auto"/>
        <w:tabs>
          <w:tab w:leader="none" w:pos="25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4" w:lineRule="exact"/>
        <w:rPr>
          <w:rFonts w:ascii="Times New Roman" w:cs="Times New Roman" w:eastAsia="Times New Roman" w:hAnsi="Times New Roman"/>
          <w:sz w:val="18"/>
          <w:szCs w:val="18"/>
          <w:color w:val="auto"/>
        </w:rPr>
      </w:pPr>
    </w:p>
    <w:p>
      <w:pPr>
        <w:jc w:val="both"/>
        <w:ind w:firstLine="8"/>
        <w:spacing w:after="0" w:line="266" w:lineRule="auto"/>
        <w:tabs>
          <w:tab w:leader="none" w:pos="2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firstLine="8"/>
        <w:spacing w:after="0" w:line="282" w:lineRule="auto"/>
        <w:tabs>
          <w:tab w:leader="none" w:pos="28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80" w:lineRule="exact"/>
        <w:rPr>
          <w:rFonts w:ascii="Times New Roman" w:cs="Times New Roman" w:eastAsia="Times New Roman" w:hAnsi="Times New Roman"/>
          <w:sz w:val="18"/>
          <w:szCs w:val="18"/>
          <w:color w:val="auto"/>
        </w:rPr>
      </w:pPr>
    </w:p>
    <w:p>
      <w:pPr>
        <w:ind w:firstLine="8"/>
        <w:spacing w:after="0" w:line="282" w:lineRule="auto"/>
        <w:tabs>
          <w:tab w:leader="none" w:pos="27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Registrant 's internal control over financial reporting that occurred during the Registrant 's fourth fiscal quarter that has materially affected, or is reasonably likely to materially affect, the Registrant 's internal control over financial reporting; and</w:t>
      </w:r>
    </w:p>
    <w:p>
      <w:pPr>
        <w:spacing w:after="0" w:line="135" w:lineRule="exact"/>
        <w:rPr>
          <w:sz w:val="20"/>
          <w:szCs w:val="20"/>
          <w:color w:val="auto"/>
        </w:rPr>
      </w:pPr>
    </w:p>
    <w:p>
      <w:pPr>
        <w:ind w:right="20" w:firstLine="8"/>
        <w:spacing w:after="0" w:line="282" w:lineRule="auto"/>
        <w:tabs>
          <w:tab w:leader="none" w:pos="20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sz w:val="20"/>
          <w:szCs w:val="20"/>
          <w:color w:val="auto"/>
        </w:rPr>
      </w:pPr>
    </w:p>
    <w:p>
      <w:pPr>
        <w:ind w:firstLine="8"/>
        <w:spacing w:after="0" w:line="282" w:lineRule="auto"/>
        <w:tabs>
          <w:tab w:leader="none" w:pos="2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right="20" w:firstLine="8"/>
        <w:spacing w:after="0" w:line="297" w:lineRule="auto"/>
        <w:tabs>
          <w:tab w:leader="none" w:pos="2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February 28, 2023</w:t>
            </w: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Joseph Mastrangelo</w:t>
            </w:r>
          </w:p>
        </w:tc>
      </w:tr>
      <w:tr>
        <w:trPr>
          <w:trHeight w:val="263"/>
        </w:trPr>
        <w:tc>
          <w:tcPr>
            <w:tcW w:w="74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1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Joseph Mastrangelo</w:t>
            </w:r>
          </w:p>
        </w:tc>
        <w:tc>
          <w:tcPr>
            <w:tcW w:w="460" w:type="dxa"/>
            <w:vAlign w:val="bottom"/>
          </w:tcPr>
          <w:p>
            <w:pPr>
              <w:spacing w:after="0"/>
              <w:rPr>
                <w:sz w:val="22"/>
                <w:szCs w:val="22"/>
                <w:color w:val="auto"/>
              </w:rPr>
            </w:pPr>
          </w:p>
        </w:tc>
      </w:tr>
      <w:tr>
        <w:trPr>
          <w:trHeight w:val="243"/>
        </w:trPr>
        <w:tc>
          <w:tcPr>
            <w:tcW w:w="740" w:type="dxa"/>
            <w:vAlign w:val="bottom"/>
          </w:tcPr>
          <w:p>
            <w:pPr>
              <w:spacing w:after="0"/>
              <w:rPr>
                <w:sz w:val="21"/>
                <w:szCs w:val="21"/>
                <w:color w:val="auto"/>
              </w:rPr>
            </w:pPr>
          </w:p>
        </w:tc>
        <w:tc>
          <w:tcPr>
            <w:tcW w:w="6100" w:type="dxa"/>
            <w:vAlign w:val="bottom"/>
          </w:tcPr>
          <w:p>
            <w:pPr>
              <w:spacing w:after="0"/>
              <w:rPr>
                <w:sz w:val="21"/>
                <w:szCs w:val="21"/>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43"/>
        </w:trPr>
        <w:tc>
          <w:tcPr>
            <w:tcW w:w="740" w:type="dxa"/>
            <w:vAlign w:val="bottom"/>
          </w:tcPr>
          <w:p>
            <w:pPr>
              <w:spacing w:after="0"/>
              <w:rPr>
                <w:sz w:val="21"/>
                <w:szCs w:val="21"/>
                <w:color w:val="auto"/>
              </w:rPr>
            </w:pPr>
          </w:p>
        </w:tc>
        <w:tc>
          <w:tcPr>
            <w:tcW w:w="6100" w:type="dxa"/>
            <w:vAlign w:val="bottom"/>
          </w:tcPr>
          <w:p>
            <w:pPr>
              <w:spacing w:after="0"/>
              <w:rPr>
                <w:sz w:val="21"/>
                <w:szCs w:val="21"/>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bl>
    <w:p>
      <w:pPr>
        <w:sectPr>
          <w:pgSz w:w="11900" w:h="16838" w:orient="portrait"/>
          <w:cols w:equalWidth="0" w:num="1">
            <w:col w:w="11240"/>
          </w:cols>
          <w:pgMar w:left="320" w:top="765"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Nathan Kroeker, certify that:</w:t>
      </w:r>
    </w:p>
    <w:p>
      <w:pPr>
        <w:spacing w:after="0" w:line="185" w:lineRule="exact"/>
        <w:rPr>
          <w:sz w:val="20"/>
          <w:szCs w:val="20"/>
          <w:color w:val="auto"/>
        </w:rPr>
      </w:pPr>
    </w:p>
    <w:p>
      <w:pPr>
        <w:ind w:left="200" w:hanging="192"/>
        <w:spacing w:after="0"/>
        <w:tabs>
          <w:tab w:leader="none" w:pos="2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(the “Annual Report”) of Eos Energy Enterprises, Inc. (the “Registrant”);</w:t>
      </w:r>
    </w:p>
    <w:p>
      <w:pPr>
        <w:spacing w:after="0" w:line="198" w:lineRule="exact"/>
        <w:rPr>
          <w:rFonts w:ascii="Times New Roman" w:cs="Times New Roman" w:eastAsia="Times New Roman" w:hAnsi="Times New Roman"/>
          <w:sz w:val="18"/>
          <w:szCs w:val="18"/>
          <w:color w:val="auto"/>
        </w:rPr>
      </w:pPr>
    </w:p>
    <w:p>
      <w:pPr>
        <w:jc w:val="both"/>
        <w:ind w:firstLine="8"/>
        <w:spacing w:after="0" w:line="266" w:lineRule="auto"/>
        <w:tabs>
          <w:tab w:leader="none" w:pos="18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48"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34" w:lineRule="exact"/>
        <w:rPr>
          <w:rFonts w:ascii="Times New Roman" w:cs="Times New Roman" w:eastAsia="Times New Roman" w:hAnsi="Times New Roman"/>
          <w:sz w:val="18"/>
          <w:szCs w:val="18"/>
          <w:color w:val="auto"/>
        </w:rPr>
      </w:pPr>
    </w:p>
    <w:p>
      <w:pPr>
        <w:jc w:val="both"/>
        <w:ind w:firstLine="8"/>
        <w:spacing w:after="0" w:line="266" w:lineRule="auto"/>
        <w:tabs>
          <w:tab w:leader="none" w:pos="21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95" w:lineRule="exact"/>
        <w:rPr>
          <w:sz w:val="20"/>
          <w:szCs w:val="20"/>
          <w:color w:val="auto"/>
        </w:rPr>
      </w:pPr>
    </w:p>
    <w:p>
      <w:pPr>
        <w:jc w:val="both"/>
        <w:ind w:right="20" w:firstLine="8"/>
        <w:spacing w:after="0" w:line="266" w:lineRule="auto"/>
        <w:tabs>
          <w:tab w:leader="none" w:pos="2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81" w:lineRule="exact"/>
        <w:rPr>
          <w:rFonts w:ascii="Times New Roman" w:cs="Times New Roman" w:eastAsia="Times New Roman" w:hAnsi="Times New Roman"/>
          <w:sz w:val="18"/>
          <w:szCs w:val="18"/>
          <w:color w:val="auto"/>
        </w:rPr>
      </w:pPr>
    </w:p>
    <w:p>
      <w:pPr>
        <w:jc w:val="both"/>
        <w:ind w:firstLine="8"/>
        <w:spacing w:after="0" w:line="274" w:lineRule="auto"/>
        <w:tabs>
          <w:tab w:leader="none" w:pos="2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Times New Roman" w:cs="Times New Roman" w:eastAsia="Times New Roman" w:hAnsi="Times New Roman"/>
          <w:sz w:val="18"/>
          <w:szCs w:val="18"/>
          <w:color w:val="auto"/>
        </w:rPr>
      </w:pPr>
    </w:p>
    <w:p>
      <w:pPr>
        <w:ind w:firstLine="8"/>
        <w:spacing w:after="0" w:line="282" w:lineRule="auto"/>
        <w:tabs>
          <w:tab w:leader="none" w:pos="28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80" w:lineRule="exact"/>
        <w:rPr>
          <w:rFonts w:ascii="Times New Roman" w:cs="Times New Roman" w:eastAsia="Times New Roman" w:hAnsi="Times New Roman"/>
          <w:sz w:val="18"/>
          <w:szCs w:val="18"/>
          <w:color w:val="auto"/>
        </w:rPr>
      </w:pPr>
    </w:p>
    <w:p>
      <w:pPr>
        <w:ind w:firstLine="8"/>
        <w:spacing w:after="0" w:line="282" w:lineRule="auto"/>
        <w:tabs>
          <w:tab w:leader="none" w:pos="27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Registrant 's internal control over financial reporting that occurred during the Registrant 's fourth fiscal quarter that has materially affected, or is reasonably likely to materially affect, the Registrant 's internal control over financial reporting; and</w:t>
      </w:r>
    </w:p>
    <w:p>
      <w:pPr>
        <w:spacing w:after="0" w:line="135" w:lineRule="exact"/>
        <w:rPr>
          <w:sz w:val="20"/>
          <w:szCs w:val="20"/>
          <w:color w:val="auto"/>
        </w:rPr>
      </w:pPr>
    </w:p>
    <w:p>
      <w:pPr>
        <w:ind w:right="20" w:firstLine="8"/>
        <w:spacing w:after="0" w:line="282" w:lineRule="auto"/>
        <w:tabs>
          <w:tab w:leader="none" w:pos="20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sz w:val="20"/>
          <w:szCs w:val="20"/>
          <w:color w:val="auto"/>
        </w:rPr>
      </w:pPr>
    </w:p>
    <w:p>
      <w:pPr>
        <w:ind w:firstLine="8"/>
        <w:spacing w:after="0" w:line="282" w:lineRule="auto"/>
        <w:tabs>
          <w:tab w:leader="none" w:pos="2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right="20" w:firstLine="8"/>
        <w:spacing w:after="0" w:line="282" w:lineRule="auto"/>
        <w:tabs>
          <w:tab w:leader="none" w:pos="26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u w:val="single" w:color="auto"/>
          <w:color w:val="auto"/>
        </w:rPr>
        <w:t>/s/ Nathan Kroeker</w:t>
      </w:r>
    </w:p>
    <w:p>
      <w:pPr>
        <w:spacing w:after="0" w:line="50"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28, 2023</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Nathan Kroeker</w:t>
      </w:r>
    </w:p>
    <w:p>
      <w:pPr>
        <w:spacing w:after="0" w:line="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765" w:right="339" w:bottom="1440" w:gutter="0" w:footer="0" w:header="0"/>
        </w:sectPr>
      </w:pPr>
    </w:p>
    <w:bookmarkStart w:id="115" w:name="page116"/>
    <w:bookmarkEnd w:id="11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ind w:right="-59"/>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connection with the Annual Report of Eos Energy Enterprises, Inc. (the “Registrant”) on Form 10-K for the year ended December 31, 2022 as filed with the Securities and Exchange Commission on the date hereof (the “Report”), I, Joseph Mastrangelo, hereby certify, in the capacity and on the date indicated below, pursuant to 18 U.S.C. § 1350, as adopted pursuant to Section 906 of the Sarbanes-Oxley Act of 2002, that, to my knowledge:</w:t>
      </w:r>
    </w:p>
    <w:p>
      <w:pPr>
        <w:spacing w:after="0" w:line="199" w:lineRule="exact"/>
        <w:rPr>
          <w:sz w:val="20"/>
          <w:szCs w:val="20"/>
          <w:color w:val="auto"/>
        </w:rPr>
      </w:pPr>
    </w:p>
    <w:p>
      <w:pPr>
        <w:ind w:left="260" w:hanging="252"/>
        <w:spacing w:after="0"/>
        <w:tabs>
          <w:tab w:leader="none" w:pos="2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3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1160" w:val="left"/>
          <w:tab w:leader="none" w:pos="6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28, 2023</w:t>
      </w:r>
      <w:r>
        <w:rPr>
          <w:sz w:val="20"/>
          <w:szCs w:val="20"/>
          <w:color w:val="auto"/>
        </w:rPr>
        <w:tab/>
      </w:r>
      <w:r>
        <w:rPr>
          <w:rFonts w:ascii="Times New Roman" w:cs="Times New Roman" w:eastAsia="Times New Roman" w:hAnsi="Times New Roman"/>
          <w:sz w:val="18"/>
          <w:szCs w:val="18"/>
          <w:u w:val="single" w:color="auto"/>
          <w:color w:val="auto"/>
        </w:rPr>
        <w:t>/s/ Joseph Mastrangelo</w:t>
      </w:r>
    </w:p>
    <w:p>
      <w:pPr>
        <w:spacing w:after="0" w:line="4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Joseph Mastrangelo</w:t>
      </w:r>
    </w:p>
    <w:p>
      <w:pPr>
        <w:spacing w:after="0" w:line="3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90"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180"/>
          </w:cols>
          <w:pgMar w:left="320" w:top="1413" w:right="399" w:bottom="1440" w:gutter="0" w:footer="0" w:header="0"/>
        </w:sectPr>
      </w:pPr>
    </w:p>
    <w:bookmarkStart w:id="116" w:name="page117"/>
    <w:bookmarkEnd w:id="116"/>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ind w:right="-179"/>
        <w:spacing w:after="0" w:line="234"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1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connection with the Annual Report of Eos Energy Enterprises, Inc. (the “Registrant”) on Form 10-K for the year ended December 31, 2022 as filed with the Securities and Exchange Commission on the date hereof (the “Report”), I, Nathan Kroeker, hereby certify, in the capacity and on the date indicated below, pursuant to 18 U.S.C. § 1350, as adopted pursuant to Section 906 of the Sarbanes-Oxley Act of 2002, that, to my knowledge:</w:t>
      </w:r>
    </w:p>
    <w:p>
      <w:pPr>
        <w:spacing w:after="0" w:line="199" w:lineRule="exact"/>
        <w:rPr>
          <w:sz w:val="20"/>
          <w:szCs w:val="20"/>
          <w:color w:val="auto"/>
        </w:rPr>
      </w:pPr>
    </w:p>
    <w:p>
      <w:pPr>
        <w:ind w:left="260" w:hanging="252"/>
        <w:spacing w:after="0"/>
        <w:tabs>
          <w:tab w:leader="none" w:pos="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3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6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u w:val="single" w:color="auto"/>
          <w:color w:val="auto"/>
        </w:rPr>
        <w:t>/s/ Nathan Kroeker</w:t>
      </w:r>
    </w:p>
    <w:p>
      <w:pPr>
        <w:spacing w:after="0" w:line="50" w:lineRule="exact"/>
        <w:rPr>
          <w:sz w:val="20"/>
          <w:szCs w:val="20"/>
          <w:color w:val="auto"/>
        </w:rPr>
      </w:pPr>
    </w:p>
    <w:p>
      <w:pPr>
        <w:ind w:left="20"/>
        <w:spacing w:after="0"/>
        <w:tabs>
          <w:tab w:leader="none" w:pos="11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28, 2023</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Nathan Kroeker</w:t>
      </w:r>
    </w:p>
    <w:p>
      <w:pPr>
        <w:spacing w:after="0" w:line="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80"/>
      </w:cols>
      <w:pgMar w:left="320" w:top="1413"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1)"/>
      <w:numFmt w:val="lowerLetter"/>
      <w:start w:val="3"/>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3"/>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lvl w:ilvl="1">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1."/>
      <w:numFmt w:val="decimal"/>
      <w:start w:val="1"/>
    </w:lvl>
    <w:lvl w:ilvl="1">
      <w:lvlJc w:val="left"/>
      <w:lvlText w:val="•"/>
      <w:numFmt w:val="bullet"/>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15"/>
    </w:lvl>
  </w:abstractNum>
  <w:abstractNum w:abstractNumId="40">
    <w:nsid w:val="579478FE"/>
    <w:multiLevelType w:val="hybridMultilevel"/>
    <w:lvl w:ilvl="0">
      <w:lvlJc w:val="left"/>
      <w:lvlText w:val="%1"/>
      <w:numFmt w:val="lowerLetter"/>
      <w:start w:val="1"/>
    </w:lvl>
    <w:lvl w:ilvl="1">
      <w:lvlJc w:val="left"/>
      <w:lvlText w:val="(%2)"/>
      <w:numFmt w:val="lowerLetter"/>
      <w:start w:val="1"/>
    </w:lvl>
  </w:abstractNum>
  <w:abstractNum w:abstractNumId="41">
    <w:nsid w:val="749ABB43"/>
    <w:multiLevelType w:val="hybridMultilevel"/>
    <w:lvl w:ilvl="0">
      <w:lvlJc w:val="left"/>
      <w:lvlText w:val="(%1)"/>
      <w:numFmt w:val="lowerLetter"/>
      <w:start w:val="2"/>
    </w:lvl>
    <w:lvl w:ilvl="1">
      <w:lvlJc w:val="left"/>
      <w:lvlText w:val="%2"/>
      <w:numFmt w:val="lowerLetter"/>
      <w:start w:val="1"/>
    </w:lvl>
  </w:abstractNum>
  <w:abstractNum w:abstractNumId="42">
    <w:nsid w:val="3DC240FB"/>
    <w:multiLevelType w:val="hybridMultilevel"/>
    <w:lvl w:ilvl="0">
      <w:lvlJc w:val="left"/>
      <w:lvlText w:val="(%1)"/>
      <w:numFmt w:val="lowerLetter"/>
      <w:start w:val="1"/>
    </w:lvl>
  </w:abstractNum>
  <w:abstractNum w:abstractNumId="43">
    <w:nsid w:val="1BA026FA"/>
    <w:multiLevelType w:val="hybridMultilevel"/>
    <w:lvl w:ilvl="0">
      <w:lvlJc w:val="left"/>
      <w:lvlText w:val="(%1)"/>
      <w:numFmt w:val="lowerRoman"/>
      <w:start w:val="1"/>
    </w:lvl>
  </w:abstractNum>
  <w:abstractNum w:abstractNumId="44">
    <w:nsid w:val="79A1DEAA"/>
    <w:multiLevelType w:val="hybridMultilevel"/>
    <w:lvl w:ilvl="0">
      <w:lvlJc w:val="left"/>
      <w:lvlText w:val="(%1)"/>
      <w:numFmt w:val="lowerLetter"/>
      <w:start w:val="2"/>
    </w:lvl>
  </w:abstractNum>
  <w:abstractNum w:abstractNumId="45">
    <w:nsid w:val="75C6C33A"/>
    <w:multiLevelType w:val="hybridMultilevel"/>
    <w:lvl w:ilvl="0">
      <w:lvlJc w:val="left"/>
      <w:lvlText w:val="(%1)"/>
      <w:numFmt w:val="lowerLetter"/>
      <w:start w:val="1"/>
    </w:lvl>
  </w:abstractNum>
  <w:abstractNum w:abstractNumId="46">
    <w:nsid w:val="12E685FB"/>
    <w:multiLevelType w:val="hybridMultilevel"/>
    <w:lvl w:ilvl="0">
      <w:lvlJc w:val="left"/>
      <w:lvlText w:val="(%1)"/>
      <w:numFmt w:val="lowerLetter"/>
      <w:start w:val="1"/>
    </w:lvl>
  </w:abstractNum>
  <w:abstractNum w:abstractNumId="47">
    <w:nsid w:val="70C6A529"/>
    <w:multiLevelType w:val="hybridMultilevel"/>
    <w:lvl w:ilvl="0">
      <w:lvlJc w:val="left"/>
      <w:lvlText w:val="(%1)"/>
      <w:numFmt w:val="lowerLetter"/>
      <w:start w:val="2"/>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lowerLetter"/>
      <w:start w:val="1"/>
    </w:lvl>
  </w:abstractNum>
  <w:abstractNum w:abstractNumId="50">
    <w:nsid w:val="4F4EF005"/>
    <w:multiLevelType w:val="hybridMultilevel"/>
    <w:lvl w:ilvl="0">
      <w:lvlJc w:val="left"/>
      <w:lvlText w:val="%1."/>
      <w:numFmt w:val="decimal"/>
      <w:start w:val="5"/>
    </w:lvl>
  </w:abstractNum>
  <w:abstractNum w:abstractNumId="51">
    <w:nsid w:val="23F9C13C"/>
    <w:multiLevelType w:val="hybridMultilevel"/>
    <w:lvl w:ilvl="0">
      <w:lvlJc w:val="left"/>
      <w:lvlText w:val="(%1)"/>
      <w:numFmt w:val="lowerLetter"/>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lowerLetter"/>
      <w:start w:val="1"/>
    </w:lvl>
  </w:abstractNum>
  <w:abstractNum w:abstractNumId="54">
    <w:nsid w:val="39386575"/>
    <w:multiLevelType w:val="hybridMultilevel"/>
    <w:lvl w:ilvl="0">
      <w:lvlJc w:val="left"/>
      <w:lvlText w:val="%1."/>
      <w:numFmt w:val="decimal"/>
      <w:start w:val="5"/>
    </w:lvl>
  </w:abstractNum>
  <w:abstractNum w:abstractNumId="55">
    <w:nsid w:val="1CF10FD8"/>
    <w:multiLevelType w:val="hybridMultilevel"/>
    <w:lvl w:ilvl="0">
      <w:lvlJc w:val="left"/>
      <w:lvlText w:val="(%1)"/>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82" Type="http://schemas.openxmlformats.org/officeDocument/2006/relationships/image" Target="media/image56.png"/><Relationship Id="rId92" Type="http://schemas.openxmlformats.org/officeDocument/2006/relationships/image" Target="media/image57.png"/><Relationship Id="rId100" Type="http://schemas.openxmlformats.org/officeDocument/2006/relationships/image" Target="media/image58.png"/><Relationship Id="rId106" Type="http://schemas.openxmlformats.org/officeDocument/2006/relationships/image" Target="media/image59.png"/><Relationship Id="rId107" Type="http://schemas.openxmlformats.org/officeDocument/2006/relationships/image" Target="media/image60.png"/><Relationship Id="rId108" Type="http://schemas.openxmlformats.org/officeDocument/2006/relationships/image" Target="media/image61.png"/><Relationship Id="rId109" Type="http://schemas.openxmlformats.org/officeDocument/2006/relationships/image" Target="media/image62.png"/><Relationship Id="rId110" Type="http://schemas.openxmlformats.org/officeDocument/2006/relationships/image" Target="media/image63.png"/><Relationship Id="rId111" Type="http://schemas.openxmlformats.org/officeDocument/2006/relationships/image" Target="media/image64.png"/><Relationship Id="rId112" Type="http://schemas.openxmlformats.org/officeDocument/2006/relationships/image" Target="media/image65.png"/><Relationship Id="rId113" Type="http://schemas.openxmlformats.org/officeDocument/2006/relationships/image" Target="media/image66.png"/><Relationship Id="rId114" Type="http://schemas.openxmlformats.org/officeDocument/2006/relationships/image" Target="media/image67.png"/><Relationship Id="rId115" Type="http://schemas.openxmlformats.org/officeDocument/2006/relationships/image" Target="media/image68.png"/><Relationship Id="rId116" Type="http://schemas.openxmlformats.org/officeDocument/2006/relationships/image" Target="media/image69.png"/><Relationship Id="rId117" Type="http://schemas.openxmlformats.org/officeDocument/2006/relationships/image" Target="media/image70.png"/><Relationship Id="rId118" Type="http://schemas.openxmlformats.org/officeDocument/2006/relationships/image" Target="media/image71.png"/><Relationship Id="rId119" Type="http://schemas.openxmlformats.org/officeDocument/2006/relationships/image" Target="media/image72.png"/><Relationship Id="rId120" Type="http://schemas.openxmlformats.org/officeDocument/2006/relationships/image" Target="media/image73.png"/><Relationship Id="rId121" Type="http://schemas.openxmlformats.org/officeDocument/2006/relationships/image" Target="media/image74.png"/><Relationship Id="rId122" Type="http://schemas.openxmlformats.org/officeDocument/2006/relationships/image" Target="media/image75.png"/><Relationship Id="rId123" Type="http://schemas.openxmlformats.org/officeDocument/2006/relationships/image" Target="media/image76.png"/><Relationship Id="rId124" Type="http://schemas.openxmlformats.org/officeDocument/2006/relationships/image" Target="media/image77.png"/><Relationship Id="rId125" Type="http://schemas.openxmlformats.org/officeDocument/2006/relationships/image" Target="media/image78.png"/><Relationship Id="rId126" Type="http://schemas.openxmlformats.org/officeDocument/2006/relationships/image" Target="media/image79.png"/><Relationship Id="rId127" Type="http://schemas.openxmlformats.org/officeDocument/2006/relationships/image" Target="media/image80.png"/><Relationship Id="rId128" Type="http://schemas.openxmlformats.org/officeDocument/2006/relationships/image" Target="media/image81.png"/><Relationship Id="rId129" Type="http://schemas.openxmlformats.org/officeDocument/2006/relationships/image" Target="media/image82.png"/><Relationship Id="rId130" Type="http://schemas.openxmlformats.org/officeDocument/2006/relationships/image" Target="media/image83.png"/><Relationship Id="rId131" Type="http://schemas.openxmlformats.org/officeDocument/2006/relationships/image" Target="media/image84.png"/><Relationship Id="rId132" Type="http://schemas.openxmlformats.org/officeDocument/2006/relationships/image" Target="media/image85.png"/><Relationship Id="rId133" Type="http://schemas.openxmlformats.org/officeDocument/2006/relationships/image" Target="media/image86.png"/><Relationship Id="rId134" Type="http://schemas.openxmlformats.org/officeDocument/2006/relationships/image" Target="media/image87.png"/><Relationship Id="rId135" Type="http://schemas.openxmlformats.org/officeDocument/2006/relationships/image" Target="media/image88.png"/><Relationship Id="rId136" Type="http://schemas.openxmlformats.org/officeDocument/2006/relationships/image" Target="media/image89.png"/><Relationship Id="rId137" Type="http://schemas.openxmlformats.org/officeDocument/2006/relationships/image" Target="media/image90.png"/><Relationship Id="rId138" Type="http://schemas.openxmlformats.org/officeDocument/2006/relationships/image" Target="media/image91.png"/><Relationship Id="rId139" Type="http://schemas.openxmlformats.org/officeDocument/2006/relationships/image" Target="media/image92.png"/><Relationship Id="rId140" Type="http://schemas.openxmlformats.org/officeDocument/2006/relationships/image" Target="media/image93.png"/><Relationship Id="rId141" Type="http://schemas.openxmlformats.org/officeDocument/2006/relationships/image" Target="media/image94.png"/><Relationship Id="rId142"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54" Type="http://schemas.openxmlformats.org/officeDocument/2006/relationships/image" Target="media/image107.png"/><Relationship Id="rId155" Type="http://schemas.openxmlformats.org/officeDocument/2006/relationships/image" Target="media/image108.png"/><Relationship Id="rId156" Type="http://schemas.openxmlformats.org/officeDocument/2006/relationships/image" Target="media/image109.png"/><Relationship Id="rId157" Type="http://schemas.openxmlformats.org/officeDocument/2006/relationships/image" Target="media/image110.png"/><Relationship Id="rId158" Type="http://schemas.openxmlformats.org/officeDocument/2006/relationships/image" Target="media/image111.png"/><Relationship Id="rId159" Type="http://schemas.openxmlformats.org/officeDocument/2006/relationships/image" Target="media/image112.png"/><Relationship Id="rId160" Type="http://schemas.openxmlformats.org/officeDocument/2006/relationships/image" Target="media/image113.png"/><Relationship Id="rId161" Type="http://schemas.openxmlformats.org/officeDocument/2006/relationships/image" Target="media/image114.png"/><Relationship Id="rId162" Type="http://schemas.openxmlformats.org/officeDocument/2006/relationships/image" Target="media/image115.png"/><Relationship Id="rId163" Type="http://schemas.openxmlformats.org/officeDocument/2006/relationships/image" Target="media/image116.png"/><Relationship Id="rId164" Type="http://schemas.openxmlformats.org/officeDocument/2006/relationships/image" Target="media/image117.png"/><Relationship Id="rId165" Type="http://schemas.openxmlformats.org/officeDocument/2006/relationships/image" Target="media/image118.png"/><Relationship Id="rId166" Type="http://schemas.openxmlformats.org/officeDocument/2006/relationships/image" Target="media/image119.png"/><Relationship Id="rId167" Type="http://schemas.openxmlformats.org/officeDocument/2006/relationships/image" Target="media/image120.png"/><Relationship Id="rId168" Type="http://schemas.openxmlformats.org/officeDocument/2006/relationships/image" Target="media/image121.png"/><Relationship Id="rId169" Type="http://schemas.openxmlformats.org/officeDocument/2006/relationships/image" Target="media/image122.png"/><Relationship Id="rId170" Type="http://schemas.openxmlformats.org/officeDocument/2006/relationships/image" Target="media/image123.png"/><Relationship Id="rId171" Type="http://schemas.openxmlformats.org/officeDocument/2006/relationships/image" Target="media/image124.png"/><Relationship Id="rId172" Type="http://schemas.openxmlformats.org/officeDocument/2006/relationships/image" Target="media/image125.png"/><Relationship Id="rId173"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199" Type="http://schemas.openxmlformats.org/officeDocument/2006/relationships/image" Target="media/image152.png"/><Relationship Id="rId200" Type="http://schemas.openxmlformats.org/officeDocument/2006/relationships/image" Target="media/image153.png"/><Relationship Id="rId201" Type="http://schemas.openxmlformats.org/officeDocument/2006/relationships/image" Target="media/image154.png"/><Relationship Id="rId61" Type="http://schemas.openxmlformats.org/officeDocument/2006/relationships/hyperlink" Target="https://www.sec.gov/Archives/edgar/data/1805077/000121390020025523/ea126529ex2-1_briley.htm" TargetMode="External"/><Relationship Id="rId62" Type="http://schemas.openxmlformats.org/officeDocument/2006/relationships/hyperlink" Target="https://www.sec.gov/Archives/edgar/data/1805077/000162828022014885/secondamendedandrestatedby.htm" TargetMode="External"/><Relationship Id="rId63" Type="http://schemas.openxmlformats.org/officeDocument/2006/relationships/hyperlink" Target="https://www.sec.gov/Archives/edgar/data/1805077/000121390020038551/ea130208ex4-1_eosenergy.htm" TargetMode="External"/><Relationship Id="rId64" Type="http://schemas.openxmlformats.org/officeDocument/2006/relationships/hyperlink" Target="https://www.sec.gov/Archives/edgar/data/1805077/000121390020038551/ea130208ex4-2_eosenergy.htm" TargetMode="External"/><Relationship Id="rId65" Type="http://schemas.openxmlformats.org/officeDocument/2006/relationships/hyperlink" Target="https://www.sec.gov/Archives/edgar/data/0001805077/000162828021013617/ex41eosformofnote.htm" TargetMode="External"/><Relationship Id="rId66" Type="http://schemas.openxmlformats.org/officeDocument/2006/relationships/hyperlink" Target="https://www.sec.gov/Archives/edgar/data/1805077/000121390020013346/ea122222ex4-1_briley.htm" TargetMode="External"/><Relationship Id="rId67" Type="http://schemas.openxmlformats.org/officeDocument/2006/relationships/hyperlink" Target="https://www.sec.gov/Archives/edgar/data/1805077/000162828022004017/eos2021descriptionofsecuri.htm" TargetMode="External"/><Relationship Id="rId68" Type="http://schemas.openxmlformats.org/officeDocument/2006/relationships/hyperlink" Target="https://www.sec.gov/Archives/edgar/data/0001805077/000162828022009094/ex41wilmingtontrustindentu.htm" TargetMode="External"/><Relationship Id="rId71" Type="http://schemas.openxmlformats.org/officeDocument/2006/relationships/hyperlink" Target="https://www.sec.gov/Archives/edgar/data/1805077/000121390022032374/ea161481ex4-1_eosenergy.htm" TargetMode="External"/><Relationship Id="rId72" Type="http://schemas.openxmlformats.org/officeDocument/2006/relationships/hyperlink" Target="https://www.sec.gov/Archives/edgar/data/1805077/000121390022083603/ea170974ex4-1_eosenergy.htm" TargetMode="External"/><Relationship Id="rId73" Type="http://schemas.openxmlformats.org/officeDocument/2006/relationships/hyperlink" Target="https://www.sec.gov/Archives/edgar/data/1805077/000121390020038551/ea130208ex10-8_eosenergy.htm" TargetMode="External"/><Relationship Id="rId74" Type="http://schemas.openxmlformats.org/officeDocument/2006/relationships/hyperlink" Target="https://www.sec.gov/Archives/edgar/data/1805077/000121390020038551/ea130208ex10-10_eosenergy.htm" TargetMode="External"/><Relationship Id="rId75" Type="http://schemas.openxmlformats.org/officeDocument/2006/relationships/hyperlink" Target="https://www.sec.gov/Archives/edgar/data/1805077/000121390020038551/ea130208ex10-13_eosenergy.htm" TargetMode="External"/><Relationship Id="rId76" Type="http://schemas.openxmlformats.org/officeDocument/2006/relationships/hyperlink" Target="https://www.sec.gov/Archives/edgar/data/1805077/000162828021003738/employmentagreement.htm" TargetMode="External"/><Relationship Id="rId77" Type="http://schemas.openxmlformats.org/officeDocument/2006/relationships/hyperlink" Target="https://www.sec.gov/Archives/edgar/data/0001805077/000162828021004599/offerletter_2021xjodymar.htm" TargetMode="External"/><Relationship Id="rId78" Type="http://schemas.openxmlformats.org/officeDocument/2006/relationships/hyperlink" Target="https://www.sec.gov/Archives/edgar/data/0001805077/000162828021006230/eosenergyenterprisesinc-.htm" TargetMode="External"/><Relationship Id="rId79" Type="http://schemas.openxmlformats.org/officeDocument/2006/relationships/hyperlink" Target="https://www.sec.gov/Archives/edgar/data/0001805077/000162828021006860/eosholtecupa.htm" TargetMode="External"/><Relationship Id="rId80" Type="http://schemas.openxmlformats.org/officeDocument/2006/relationships/hyperlink" Target="https://www.sec.gov/Archives/edgar/data/0001805077/000162828021009566/a401rightsagreement.htm" TargetMode="External"/><Relationship Id="rId81" Type="http://schemas.openxmlformats.org/officeDocument/2006/relationships/hyperlink" Target="https://www.sec.gov/Archives/edgar/data/0001805077/000162828021009566/a402rightsagreement.htm" TargetMode="External"/><Relationship Id="rId83" Type="http://schemas.openxmlformats.org/officeDocument/2006/relationships/hyperlink" Target="https://www.sec.gov/Archives/edgar/data/0001805077/000162828021013617/ex-101eoseinvestmentagreem.htm" TargetMode="External"/><Relationship Id="rId84" Type="http://schemas.openxmlformats.org/officeDocument/2006/relationships/hyperlink" Target="https://www.sec.gov/Archives/edgar/data/0001805077/000162828021019632/ex101-trinitymefa.htm" TargetMode="External"/><Relationship Id="rId85" Type="http://schemas.openxmlformats.org/officeDocument/2006/relationships/hyperlink" Target="https://www.sec.gov/Archives/edgar/data/0001805077/000162828021019632/ex102-trinityguaranty.htm" TargetMode="External"/><Relationship Id="rId86" Type="http://schemas.openxmlformats.org/officeDocument/2006/relationships/hyperlink" Target="https://www.sec.gov/Archives/edgar/data/0001805077/000162828021025052/separationagreement12-13x2.htm" TargetMode="External"/><Relationship Id="rId87" Type="http://schemas.openxmlformats.org/officeDocument/2006/relationships/hyperlink" Target="https://www.sec.gov/Archives/edgar/data/0001805077/000162828021025052/employmentagreement12-13x2.htm" TargetMode="External"/><Relationship Id="rId88" Type="http://schemas.openxmlformats.org/officeDocument/2006/relationships/hyperlink" Target="https://www.sec.gov/Archives/edgar/data/0001805077/000162828022002537/eosofferletter-jtedone.htm" TargetMode="External"/><Relationship Id="rId89" Type="http://schemas.openxmlformats.org/officeDocument/2006/relationships/hyperlink" Target="https://www.sec.gov/Archives/edgar/data/0001805077/000162828022011192/eose-standbyequitypurchase.htm" TargetMode="External"/><Relationship Id="rId90" Type="http://schemas.openxmlformats.org/officeDocument/2006/relationships/hyperlink" Target="https://www.sec.gov/Archives/edgar/data/1805077/000162828022013296/joinderagreement_kochx05.htm" TargetMode="External"/><Relationship Id="rId91" Type="http://schemas.openxmlformats.org/officeDocument/2006/relationships/hyperlink" Target="https://www.sec.gov/Archives/edgar/data/1805077/000121390022032374/ea161481ex10-1_eosenergy.htm" TargetMode="External"/><Relationship Id="rId93" Type="http://schemas.openxmlformats.org/officeDocument/2006/relationships/hyperlink" Target="https://www.sec.gov/Archives/edgar/data/1805077/000121390022032374/ea161481ex10-2_eosenergy.htm" TargetMode="External"/><Relationship Id="rId94" Type="http://schemas.openxmlformats.org/officeDocument/2006/relationships/hyperlink" Target="https://www.sec.gov/Archives/edgar/data/0001805077/000162828022019887/seniorsecuredtermloancredi.htm" TargetMode="External"/><Relationship Id="rId95" Type="http://schemas.openxmlformats.org/officeDocument/2006/relationships/hyperlink" Target="https://www.sec.gov/Archives/edgar/data/1805077/000162828022019887/guaranteeandcollateralagre.htm" TargetMode="External"/><Relationship Id="rId96" Type="http://schemas.openxmlformats.org/officeDocument/2006/relationships/hyperlink" Target="https://www.sec.gov/Archives/edgar/data/1805077/000162828022021392/ex101commitmentincreaseagr.htm" TargetMode="External"/><Relationship Id="rId97" Type="http://schemas.openxmlformats.org/officeDocument/2006/relationships/hyperlink" Target="https://www.sec.gov/Archives/edgar/data/1805077/000162828022021392/ex102cowensalesagreement.htm" TargetMode="External"/><Relationship Id="rId98" Type="http://schemas.openxmlformats.org/officeDocument/2006/relationships/hyperlink" Target="https://www.sec.gov/Archives/edgar/data/1805077/000162828022024648/ex101amendeddirectorcomppo.htm" TargetMode="External"/><Relationship Id="rId99" Type="http://schemas.openxmlformats.org/officeDocument/2006/relationships/hyperlink" Target="https://www.sec.gov/Archives/edgar/data/1805077/000095010322019546/dp184228_ex1001.htm" TargetMode="External"/><Relationship Id="rId101" Type="http://schemas.openxmlformats.org/officeDocument/2006/relationships/hyperlink" Target="https://www.sec.gov/Archives/edgar/data/1805077/000180507722000006/ex101-q4atlascommitmentinc.htm" TargetMode="External"/><Relationship Id="rId102" Type="http://schemas.openxmlformats.org/officeDocument/2006/relationships/hyperlink" Target="https://www.sec.gov/Archives/edgar/data/1805077/000121390022083603/ea170974ex10-1_eosenergy.htm" TargetMode="External"/><Relationship Id="rId103" Type="http://schemas.openxmlformats.org/officeDocument/2006/relationships/hyperlink" Target="https://www.sec.gov/Archives/edgar/data/1805077/000121390022083603/ea170974ex10-2_eosenergy.htm" TargetMode="External"/><Relationship Id="rId104" Type="http://schemas.openxmlformats.org/officeDocument/2006/relationships/hyperlink" Target="https://www.sec.gov/Archives/edgar/data/1805077/000095010323000842/dp187337_ex1001.htm" TargetMode="External"/><Relationship Id="rId105" Type="http://schemas.openxmlformats.org/officeDocument/2006/relationships/hyperlink" Target="https://www.sec.gov/Archives/edgar/data/1805077/000095010323000842/dp187337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2023-03-01T06:31:21Z</dcterms:created>
  <dcterms:modified xsi:type="dcterms:W3CDTF">2023-03-01T06:31:21Z</dcterms:modified>
</cp:coreProperties>
</file>