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186960.xml.htm"/>
      <w:bookmarkStart w:id="1" w:name="kswkform4_178518696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Walters Marian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EOS ENERGY ENTERPRISES,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ALLEGHENY CENTER, NOVA TOWER 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Eos Energy Enterprises, Inc.</w:t>
              </w:r>
            </w:hyperlink>
            <w:r>
              <w:rPr/>
              <w:t xml:space="preserve"> [ </w:t>
            </w:r>
            <w:r>
              <w:rPr>
                <w:rFonts w:ascii="Times;serif" w:hAnsi="Times;serif"/>
                <w:color w:val="0000FF"/>
                <w:sz w:val="24"/>
                <w:shd w:fill="FFFFFF" w:val="clear"/>
              </w:rPr>
              <w:t>EOSE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5,942</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5,942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Granted as part of the Company's annual compensation review process and reflects an adjustment based on benchmarking against market compensation practices.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was granted RSUs that settle in common stock, which will vest on the earlier of (i) the first anniversary of the grant date and (ii) immediately prior to the date of the next annual shareholders meeting of the Company following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Not applicable.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Sumeet Puri as attorney-in-fact for Marian Walters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2905" TargetMode="External"/><Relationship Id="rId5" Type="http://schemas.openxmlformats.org/officeDocument/2006/relationships/hyperlink" Target="http://www.sec.gov/cgi-bin/browse-edgar?action=getcompany&amp;CIK=00018050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667</Words>
  <Characters>3613</Characters>
  <CharactersWithSpaces>4205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