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417830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443230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93" w:lineRule="exact"/>
        <w:rPr>
          <w:sz w:val="24"/>
          <w:szCs w:val="24"/>
          <w:color w:val="auto"/>
        </w:rPr>
      </w:pPr>
    </w:p>
    <w:p>
      <w:pPr>
        <w:ind w:left="500" w:right="1540" w:hanging="337"/>
        <w:spacing w:after="0" w:line="231" w:lineRule="auto"/>
        <w:tabs>
          <w:tab w:leader="none" w:pos="518"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370" w:lineRule="exact"/>
        <w:rPr>
          <w:sz w:val="24"/>
          <w:szCs w:val="24"/>
          <w:color w:val="auto"/>
        </w:rPr>
      </w:pPr>
    </w:p>
    <w:p>
      <w:pPr>
        <w:ind w:left="500" w:right="1520" w:hanging="429"/>
        <w:spacing w:after="0" w:line="215" w:lineRule="auto"/>
        <w:tabs>
          <w:tab w:leader="none" w:pos="518"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1847215</wp:posOffset>
            </wp:positionH>
            <wp:positionV relativeFrom="paragraph">
              <wp:posOffset>-23495</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001-39291</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EOS ENERGY ENTERPRISES, INC.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00"/>
          </w:cols>
          <w:pgMar w:left="320" w:top="314" w:right="379" w:bottom="1440" w:gutter="0" w:footer="0" w:header="0"/>
        </w:sectPr>
      </w:pPr>
    </w:p>
    <w:p>
      <w:pPr>
        <w:spacing w:after="0" w:line="13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08-7654321</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00" w:space="720"/>
            <w:col w:w="3980"/>
          </w:cols>
          <w:pgMar w:left="320" w:top="314" w:right="379" w:bottom="1440" w:gutter="0" w:footer="0" w:header="0"/>
          <w:type w:val="continuous"/>
        </w:sectPr>
      </w:pPr>
    </w:p>
    <w:p>
      <w:pPr>
        <w:spacing w:after="0" w:line="86"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3920 Park Avenue</w:t>
      </w:r>
    </w:p>
    <w:p>
      <w:pPr>
        <w:spacing w:after="0" w:line="40" w:lineRule="exact"/>
        <w:rPr>
          <w:sz w:val="24"/>
          <w:szCs w:val="24"/>
          <w:color w:val="auto"/>
        </w:rPr>
      </w:pPr>
    </w:p>
    <w:p>
      <w:pPr>
        <w:jc w:val="center"/>
        <w:ind w:left="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Edison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NJ</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08820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4">
            <w:col w:w="4000" w:space="720"/>
            <w:col w:w="520" w:space="440"/>
            <w:col w:w="1720" w:space="720"/>
            <w:col w:w="3080"/>
          </w:cols>
          <w:pgMar w:left="320" w:top="314"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(732) 225-8400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223"/>
        </w:trPr>
        <w:tc>
          <w:tcPr>
            <w:tcW w:w="37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37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EOSE</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9"/>
                <w:szCs w:val="19"/>
                <w:color w:val="auto"/>
              </w:rPr>
            </w:pPr>
          </w:p>
        </w:tc>
      </w:tr>
      <w:tr>
        <w:trPr>
          <w:trHeight w:val="175"/>
        </w:trPr>
        <w:tc>
          <w:tcPr>
            <w:tcW w:w="3760" w:type="dxa"/>
            <w:vAlign w:val="bottom"/>
          </w:tcPr>
          <w:p>
            <w:pPr>
              <w:jc w:val="center"/>
              <w:spacing w:after="0" w:line="176" w:lineRule="exact"/>
              <w:rPr>
                <w:sz w:val="20"/>
                <w:szCs w:val="20"/>
                <w:color w:val="auto"/>
              </w:rPr>
            </w:pPr>
            <w:r>
              <w:rPr>
                <w:rFonts w:ascii="Arial" w:cs="Arial" w:eastAsia="Arial" w:hAnsi="Arial"/>
                <w:sz w:val="18"/>
                <w:szCs w:val="18"/>
                <w:color w:val="auto"/>
                <w:w w:val="88"/>
              </w:rPr>
              <w:t>Warrants, each exercisable for one share of</w:t>
            </w:r>
          </w:p>
        </w:tc>
        <w:tc>
          <w:tcPr>
            <w:tcW w:w="3720" w:type="dxa"/>
            <w:vAlign w:val="bottom"/>
          </w:tcPr>
          <w:p>
            <w:pPr>
              <w:jc w:val="center"/>
              <w:spacing w:after="0" w:line="176" w:lineRule="exact"/>
              <w:rPr>
                <w:sz w:val="20"/>
                <w:szCs w:val="20"/>
                <w:color w:val="auto"/>
              </w:rPr>
            </w:pPr>
            <w:r>
              <w:rPr>
                <w:rFonts w:ascii="Arial" w:cs="Arial" w:eastAsia="Arial" w:hAnsi="Arial"/>
                <w:sz w:val="18"/>
                <w:szCs w:val="18"/>
                <w:color w:val="auto"/>
                <w:w w:val="92"/>
              </w:rPr>
              <w:t>EOSEW</w:t>
            </w:r>
          </w:p>
        </w:tc>
        <w:tc>
          <w:tcPr>
            <w:tcW w:w="3700" w:type="dxa"/>
            <w:vAlign w:val="bottom"/>
          </w:tcPr>
          <w:p>
            <w:pPr>
              <w:jc w:val="center"/>
              <w:spacing w:after="0" w:line="176" w:lineRule="exact"/>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5"/>
                <w:szCs w:val="15"/>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3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1"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760"/>
              <w:spacing w:after="0"/>
              <w:rPr>
                <w:sz w:val="20"/>
                <w:szCs w:val="20"/>
                <w:color w:val="auto"/>
              </w:rPr>
            </w:pPr>
            <w:r>
              <w:rPr>
                <w:rFonts w:ascii="Arial" w:cs="Arial" w:eastAsia="Arial" w:hAnsi="Arial"/>
                <w:sz w:val="18"/>
                <w:szCs w:val="18"/>
                <w:color w:val="auto"/>
              </w:rPr>
              <w:t>o</w:t>
            </w:r>
          </w:p>
        </w:tc>
        <w:tc>
          <w:tcPr>
            <w:tcW w:w="374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80"/>
              <w:spacing w:after="0"/>
              <w:rPr>
                <w:sz w:val="20"/>
                <w:szCs w:val="20"/>
                <w:color w:val="auto"/>
              </w:rPr>
            </w:pPr>
            <w:r>
              <w:rPr>
                <w:rFonts w:ascii="Arial" w:cs="Arial" w:eastAsia="Arial" w:hAnsi="Arial"/>
                <w:sz w:val="18"/>
                <w:szCs w:val="18"/>
                <w:color w:val="auto"/>
                <w:w w:val="79"/>
              </w:rPr>
              <w:t>o</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760"/>
              <w:spacing w:after="0"/>
              <w:rPr>
                <w:sz w:val="20"/>
                <w:szCs w:val="20"/>
                <w:color w:val="auto"/>
              </w:rPr>
            </w:pPr>
            <w:r>
              <w:rPr>
                <w:rFonts w:ascii="Arial" w:cs="Arial" w:eastAsia="Arial" w:hAnsi="Arial"/>
                <w:sz w:val="18"/>
                <w:szCs w:val="18"/>
                <w:color w:val="auto"/>
              </w:rPr>
              <w:t>x</w:t>
            </w:r>
          </w:p>
        </w:tc>
        <w:tc>
          <w:tcPr>
            <w:tcW w:w="374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80"/>
              <w:spacing w:after="0"/>
              <w:rPr>
                <w:sz w:val="20"/>
                <w:szCs w:val="20"/>
                <w:color w:val="auto"/>
              </w:rPr>
            </w:pPr>
            <w:r>
              <w:rPr>
                <w:rFonts w:ascii="Arial" w:cs="Arial" w:eastAsia="Arial" w:hAnsi="Arial"/>
                <w:sz w:val="18"/>
                <w:szCs w:val="18"/>
                <w:color w:val="auto"/>
                <w:w w:val="88"/>
              </w:rPr>
              <w:t>x</w:t>
            </w:r>
          </w:p>
        </w:tc>
      </w:tr>
      <w:tr>
        <w:trPr>
          <w:trHeight w:val="230"/>
        </w:trPr>
        <w:tc>
          <w:tcPr>
            <w:tcW w:w="3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80"/>
              <w:spacing w:after="0"/>
              <w:rPr>
                <w:sz w:val="20"/>
                <w:szCs w:val="20"/>
                <w:color w:val="auto"/>
              </w:rPr>
            </w:pPr>
            <w:r>
              <w:rPr>
                <w:rFonts w:ascii="Arial" w:cs="Arial" w:eastAsia="Arial" w:hAnsi="Arial"/>
                <w:sz w:val="18"/>
                <w:szCs w:val="18"/>
                <w:color w:val="auto"/>
                <w:w w:val="88"/>
              </w:rPr>
              <w:t>x</w:t>
            </w: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ind w:left="500"/>
        <w:spacing w:after="0"/>
        <w:tabs>
          <w:tab w:leader="none" w:pos="8120" w:val="left"/>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tab/>
        <w:t>No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APPLICABLE ONLY TO REGISTRANTS INVOLVED IN BANKRUPTCY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PROCEEDINGS DURING THE PRECEDING FIVE YEARS:</w:t>
      </w:r>
    </w:p>
    <w:p>
      <w:pPr>
        <w:spacing w:after="0" w:line="225" w:lineRule="exact"/>
        <w:rPr>
          <w:sz w:val="20"/>
          <w:szCs w:val="20"/>
          <w:color w:val="auto"/>
        </w:rPr>
      </w:pPr>
    </w:p>
    <w:p>
      <w:pPr>
        <w:ind w:right="320" w:firstLine="486"/>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registrant had outstanding 53,636,190 shares of common stock as of 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203200</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229235</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00" w:type="dxa"/>
            <w:vAlign w:val="bottom"/>
            <w:gridSpan w:val="2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gridSpan w:val="9"/>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80" w:type="dxa"/>
            <w:vAlign w:val="bottom"/>
            <w:gridSpan w:val="9"/>
            <w:shd w:val="clear" w:color="auto" w:fill="CCEEFF"/>
          </w:tcPr>
          <w:p>
            <w:pPr>
              <w:jc w:val="center"/>
              <w:ind w:right="2380"/>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PART I - FINANCIAL INFORMATION</w:t>
              </w:r>
            </w:hyperlink>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620" w:type="dxa"/>
            <w:vAlign w:val="bottom"/>
            <w:gridSpan w:val="20"/>
          </w:tcPr>
          <w:p>
            <w:pPr>
              <w:ind w:left="20"/>
              <w:spacing w:after="0" w:line="189" w:lineRule="exact"/>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740" w:type="dxa"/>
            <w:vAlign w:val="bottom"/>
          </w:tcPr>
          <w:p>
            <w:pPr>
              <w:jc w:val="center"/>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rPr>
            </w:pPr>
            <w:hyperlink w:anchor="page3">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June 30, 2021 </w:t>
            </w:r>
            <w:hyperlink w:anchor="page3">
              <w:r>
                <w:rPr>
                  <w:rFonts w:ascii="Arial" w:cs="Arial" w:eastAsia="Arial" w:hAnsi="Arial"/>
                  <w:sz w:val="18"/>
                  <w:szCs w:val="18"/>
                  <w:color w:val="auto"/>
                </w:rPr>
                <w:t xml:space="preserve">(Unaudited) And </w:t>
              </w:r>
            </w:hyperlink>
            <w:r>
              <w:rPr>
                <w:rFonts w:ascii="Arial" w:cs="Arial" w:eastAsia="Arial" w:hAnsi="Arial"/>
                <w:sz w:val="18"/>
                <w:szCs w:val="18"/>
                <w:color w:val="auto"/>
              </w:rPr>
              <w:t>December 31, 2020</w:t>
            </w:r>
          </w:p>
        </w:tc>
        <w:tc>
          <w:tcPr>
            <w:tcW w:w="740" w:type="dxa"/>
            <w:vAlign w:val="bottom"/>
            <w:shd w:val="clear" w:color="auto" w:fill="CCEEFF"/>
          </w:tcPr>
          <w:p>
            <w:pPr>
              <w:jc w:val="center"/>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20" w:type="dxa"/>
            <w:vAlign w:val="bottom"/>
            <w:gridSpan w:val="20"/>
          </w:tcPr>
          <w:p>
            <w:pPr>
              <w:ind w:left="20"/>
              <w:spacing w:after="0" w:line="189" w:lineRule="exact"/>
              <w:rPr>
                <w:rFonts w:ascii="Arial" w:cs="Arial" w:eastAsia="Arial" w:hAnsi="Arial"/>
                <w:sz w:val="18"/>
                <w:szCs w:val="18"/>
                <w:color w:val="auto"/>
                <w:w w:val="92"/>
              </w:rPr>
            </w:pPr>
            <w:hyperlink w:anchor="page4">
              <w:r>
                <w:rPr>
                  <w:rFonts w:ascii="Arial" w:cs="Arial" w:eastAsia="Arial" w:hAnsi="Arial"/>
                  <w:sz w:val="18"/>
                  <w:szCs w:val="18"/>
                  <w:color w:val="auto"/>
                  <w:w w:val="92"/>
                </w:rPr>
                <w:t xml:space="preserve">Condensed Consolidated Statements Of Operations For The Three Months and Six Months Ended </w:t>
              </w:r>
            </w:hyperlink>
            <w:r>
              <w:rPr>
                <w:rFonts w:ascii="Arial" w:cs="Arial" w:eastAsia="Arial" w:hAnsi="Arial"/>
                <w:sz w:val="18"/>
                <w:szCs w:val="18"/>
                <w:color w:val="auto"/>
                <w:w w:val="92"/>
              </w:rPr>
              <w:t xml:space="preserve">June 30, 2021 </w:t>
            </w:r>
            <w:hyperlink w:anchor="page4">
              <w:r>
                <w:rPr>
                  <w:rFonts w:ascii="Arial" w:cs="Arial" w:eastAsia="Arial" w:hAnsi="Arial"/>
                  <w:sz w:val="18"/>
                  <w:szCs w:val="18"/>
                  <w:color w:val="auto"/>
                  <w:w w:val="92"/>
                </w:rPr>
                <w:t>(Unaudited) And</w:t>
              </w:r>
            </w:hyperlink>
          </w:p>
        </w:tc>
        <w:tc>
          <w:tcPr>
            <w:tcW w:w="740" w:type="dxa"/>
            <w:vAlign w:val="bottom"/>
            <w:vMerge w:val="restart"/>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0" w:type="dxa"/>
            <w:vAlign w:val="bottom"/>
            <w:tcBorders>
              <w:top w:val="single" w:sz="8" w:color="auto"/>
            </w:tcBorders>
            <w:gridSpan w:val="18"/>
          </w:tcPr>
          <w:p>
            <w:pPr>
              <w:ind w:left="20"/>
              <w:spacing w:after="0" w:line="156" w:lineRule="exact"/>
              <w:rPr>
                <w:rFonts w:ascii="Arial" w:cs="Arial" w:eastAsia="Arial" w:hAnsi="Arial"/>
                <w:sz w:val="18"/>
                <w:szCs w:val="18"/>
                <w:color w:val="auto"/>
              </w:rPr>
            </w:pPr>
            <w:r>
              <w:rPr>
                <w:rFonts w:ascii="Arial" w:cs="Arial" w:eastAsia="Arial" w:hAnsi="Arial"/>
                <w:sz w:val="18"/>
                <w:szCs w:val="18"/>
                <w:color w:val="auto"/>
              </w:rPr>
              <w:t xml:space="preserve">June 30, 2020 </w:t>
            </w:r>
            <w:hyperlink w:anchor="page4">
              <w:r>
                <w:rPr>
                  <w:rFonts w:ascii="Arial" w:cs="Arial" w:eastAsia="Arial" w:hAnsi="Arial"/>
                  <w:sz w:val="18"/>
                  <w:szCs w:val="18"/>
                  <w:color w:val="auto"/>
                </w:rPr>
                <w:t>(Unaudited)</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w w:val="92"/>
              </w:rPr>
            </w:pPr>
            <w:hyperlink w:anchor="page5">
              <w:r>
                <w:rPr>
                  <w:rFonts w:ascii="Arial" w:cs="Arial" w:eastAsia="Arial" w:hAnsi="Arial"/>
                  <w:sz w:val="18"/>
                  <w:szCs w:val="18"/>
                  <w:color w:val="auto"/>
                  <w:w w:val="92"/>
                </w:rPr>
                <w:t xml:space="preserve">Condensed Consolidated Statements Of Shareholders’ Equity (Deficit) For The Six Months Ended </w:t>
              </w:r>
            </w:hyperlink>
            <w:r>
              <w:rPr>
                <w:rFonts w:ascii="Arial" w:cs="Arial" w:eastAsia="Arial" w:hAnsi="Arial"/>
                <w:sz w:val="18"/>
                <w:szCs w:val="18"/>
                <w:color w:val="auto"/>
                <w:w w:val="92"/>
              </w:rPr>
              <w:t xml:space="preserve">June 30, 2021 </w:t>
            </w:r>
            <w:hyperlink w:anchor="page4">
              <w:r>
                <w:rPr>
                  <w:rFonts w:ascii="Arial" w:cs="Arial" w:eastAsia="Arial" w:hAnsi="Arial"/>
                  <w:sz w:val="18"/>
                  <w:szCs w:val="18"/>
                  <w:color w:val="auto"/>
                  <w:w w:val="92"/>
                </w:rPr>
                <w:t>(Unaudited) And</w:t>
              </w:r>
            </w:hyperlink>
          </w:p>
        </w:tc>
        <w:tc>
          <w:tcPr>
            <w:tcW w:w="740" w:type="dxa"/>
            <w:vAlign w:val="bottom"/>
            <w:vMerge w:val="restart"/>
            <w:shd w:val="clear" w:color="auto" w:fill="CCEEFF"/>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20" w:type="dxa"/>
            <w:vAlign w:val="bottom"/>
            <w:tcBorders>
              <w:top w:val="single" w:sz="8" w:color="auto"/>
            </w:tcBorders>
            <w:gridSpan w:val="19"/>
            <w:shd w:val="clear" w:color="auto" w:fill="CCEEFF"/>
          </w:tcPr>
          <w:p>
            <w:pPr>
              <w:ind w:left="20"/>
              <w:spacing w:after="0" w:line="156" w:lineRule="exact"/>
              <w:rPr>
                <w:rFonts w:ascii="Arial" w:cs="Arial" w:eastAsia="Arial" w:hAnsi="Arial"/>
                <w:sz w:val="18"/>
                <w:szCs w:val="18"/>
                <w:color w:val="auto"/>
              </w:rPr>
            </w:pPr>
            <w:r>
              <w:rPr>
                <w:rFonts w:ascii="Arial" w:cs="Arial" w:eastAsia="Arial" w:hAnsi="Arial"/>
                <w:sz w:val="18"/>
                <w:szCs w:val="18"/>
                <w:color w:val="auto"/>
              </w:rPr>
              <w:t xml:space="preserve">June 30, 2020 </w:t>
            </w:r>
            <w:hyperlink w:anchor="page4">
              <w:r>
                <w:rPr>
                  <w:rFonts w:ascii="Arial" w:cs="Arial" w:eastAsia="Arial" w:hAnsi="Arial"/>
                  <w:sz w:val="18"/>
                  <w:szCs w:val="18"/>
                  <w:color w:val="auto"/>
                </w:rPr>
                <w:t>(Unaudited)</w:t>
              </w:r>
            </w:hyperlink>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20" w:type="dxa"/>
            <w:vAlign w:val="bottom"/>
            <w:gridSpan w:val="20"/>
          </w:tcPr>
          <w:p>
            <w:pPr>
              <w:ind w:left="20"/>
              <w:spacing w:after="0" w:line="189" w:lineRule="exact"/>
              <w:rPr>
                <w:rFonts w:ascii="Arial" w:cs="Arial" w:eastAsia="Arial" w:hAnsi="Arial"/>
                <w:sz w:val="18"/>
                <w:szCs w:val="18"/>
                <w:color w:val="auto"/>
                <w:w w:val="94"/>
              </w:rPr>
            </w:pPr>
            <w:hyperlink w:anchor="page6">
              <w:r>
                <w:rPr>
                  <w:rFonts w:ascii="Arial" w:cs="Arial" w:eastAsia="Arial" w:hAnsi="Arial"/>
                  <w:sz w:val="18"/>
                  <w:szCs w:val="18"/>
                  <w:color w:val="auto"/>
                  <w:w w:val="94"/>
                </w:rPr>
                <w:t xml:space="preserve">Condensed Consolidated Statements Of Cash Flows For </w:t>
              </w:r>
            </w:hyperlink>
            <w:hyperlink w:anchor="page5">
              <w:r>
                <w:rPr>
                  <w:rFonts w:ascii="Arial" w:cs="Arial" w:eastAsia="Arial" w:hAnsi="Arial"/>
                  <w:sz w:val="18"/>
                  <w:szCs w:val="18"/>
                  <w:color w:val="auto"/>
                  <w:w w:val="94"/>
                </w:rPr>
                <w:t xml:space="preserve">The Six Months Ended </w:t>
              </w:r>
            </w:hyperlink>
            <w:r>
              <w:rPr>
                <w:rFonts w:ascii="Arial" w:cs="Arial" w:eastAsia="Arial" w:hAnsi="Arial"/>
                <w:sz w:val="18"/>
                <w:szCs w:val="18"/>
                <w:color w:val="auto"/>
                <w:w w:val="94"/>
              </w:rPr>
              <w:t xml:space="preserve">June 30, 2021 </w:t>
            </w:r>
            <w:hyperlink w:anchor="page4">
              <w:r>
                <w:rPr>
                  <w:rFonts w:ascii="Arial" w:cs="Arial" w:eastAsia="Arial" w:hAnsi="Arial"/>
                  <w:sz w:val="18"/>
                  <w:szCs w:val="18"/>
                  <w:color w:val="auto"/>
                  <w:w w:val="94"/>
                </w:rPr>
                <w:t xml:space="preserve">(Unaudited) And </w:t>
              </w:r>
            </w:hyperlink>
            <w:r>
              <w:rPr>
                <w:rFonts w:ascii="Arial" w:cs="Arial" w:eastAsia="Arial" w:hAnsi="Arial"/>
                <w:sz w:val="18"/>
                <w:szCs w:val="18"/>
                <w:color w:val="auto"/>
                <w:w w:val="94"/>
              </w:rPr>
              <w:t>June 30, 2020</w:t>
            </w:r>
          </w:p>
        </w:tc>
        <w:tc>
          <w:tcPr>
            <w:tcW w:w="740" w:type="dxa"/>
            <w:vAlign w:val="bottom"/>
            <w:vMerge w:val="restart"/>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40" w:type="dxa"/>
            <w:vAlign w:val="bottom"/>
            <w:tcBorders>
              <w:top w:val="single" w:sz="8" w:color="auto"/>
            </w:tcBorders>
            <w:gridSpan w:val="17"/>
          </w:tcPr>
          <w:p>
            <w:pPr>
              <w:ind w:left="20"/>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(Unaudited)</w:t>
              </w:r>
            </w:hyperlink>
          </w:p>
        </w:tc>
        <w:tc>
          <w:tcPr>
            <w:tcW w:w="480" w:type="dxa"/>
            <w:vAlign w:val="bottom"/>
            <w:gridSpan w:val="3"/>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rPr>
            </w:pPr>
            <w:hyperlink w:anchor="page8">
              <w:r>
                <w:rPr>
                  <w:rFonts w:ascii="Arial" w:cs="Arial" w:eastAsia="Arial" w:hAnsi="Arial"/>
                  <w:sz w:val="18"/>
                  <w:szCs w:val="18"/>
                  <w:color w:val="auto"/>
                </w:rPr>
                <w:t>Notes To Unaudited Condensed Consolidated Financial Statements</w:t>
              </w:r>
            </w:hyperlink>
          </w:p>
        </w:tc>
        <w:tc>
          <w:tcPr>
            <w:tcW w:w="740" w:type="dxa"/>
            <w:vAlign w:val="bottom"/>
            <w:shd w:val="clear" w:color="auto" w:fill="CCEEFF"/>
          </w:tcPr>
          <w:p>
            <w:pPr>
              <w:jc w:val="center"/>
              <w:spacing w:after="0" w:line="189" w:lineRule="exact"/>
              <w:rPr>
                <w:rFonts w:ascii="Arial" w:cs="Arial" w:eastAsia="Arial" w:hAnsi="Arial"/>
                <w:sz w:val="18"/>
                <w:szCs w:val="18"/>
                <w:color w:val="auto"/>
                <w:w w:val="99"/>
              </w:rPr>
            </w:pPr>
            <w:hyperlink w:anchor="page8">
              <w:r>
                <w:rPr>
                  <w:rFonts w:ascii="Arial" w:cs="Arial" w:eastAsia="Arial" w:hAnsi="Arial"/>
                  <w:sz w:val="18"/>
                  <w:szCs w:val="18"/>
                  <w:color w:val="auto"/>
                  <w:w w:val="99"/>
                </w:rPr>
                <w:t>7</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9620" w:type="dxa"/>
            <w:vAlign w:val="bottom"/>
            <w:gridSpan w:val="20"/>
          </w:tcPr>
          <w:p>
            <w:pPr>
              <w:ind w:left="20"/>
              <w:spacing w:after="0" w:line="189" w:lineRule="exact"/>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740" w:type="dxa"/>
            <w:vAlign w:val="bottom"/>
          </w:tcPr>
          <w:p>
            <w:pPr>
              <w:jc w:val="center"/>
              <w:spacing w:after="0" w:line="189" w:lineRule="exact"/>
              <w:rPr>
                <w:rFonts w:ascii="Arial" w:cs="Arial" w:eastAsia="Arial" w:hAnsi="Arial"/>
                <w:sz w:val="18"/>
                <w:szCs w:val="18"/>
                <w:color w:val="auto"/>
                <w:w w:val="89"/>
              </w:rPr>
            </w:pPr>
            <w:hyperlink w:anchor="page25">
              <w:r>
                <w:rPr>
                  <w:rFonts w:ascii="Arial" w:cs="Arial" w:eastAsia="Arial" w:hAnsi="Arial"/>
                  <w:sz w:val="18"/>
                  <w:szCs w:val="18"/>
                  <w:color w:val="auto"/>
                  <w:w w:val="89"/>
                </w:rPr>
                <w:t>24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line="189" w:lineRule="exact"/>
              <w:rPr>
                <w:rFonts w:ascii="Arial" w:cs="Arial" w:eastAsia="Arial" w:hAnsi="Arial"/>
                <w:sz w:val="18"/>
                <w:szCs w:val="18"/>
                <w:color w:val="auto"/>
                <w:w w:val="90"/>
              </w:rPr>
            </w:pPr>
            <w:hyperlink w:anchor="page38">
              <w:r>
                <w:rPr>
                  <w:rFonts w:ascii="Arial" w:cs="Arial" w:eastAsia="Arial" w:hAnsi="Arial"/>
                  <w:sz w:val="18"/>
                  <w:szCs w:val="18"/>
                  <w:color w:val="auto"/>
                  <w:w w:val="90"/>
                </w:rPr>
                <w:t>Item 3.</w:t>
              </w:r>
            </w:hyperlink>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4420" w:type="dxa"/>
            <w:vAlign w:val="bottom"/>
            <w:tcBorders>
              <w:bottom w:val="single" w:sz="8" w:color="auto"/>
            </w:tcBorders>
            <w:gridSpan w:val="12"/>
            <w:shd w:val="clear" w:color="auto" w:fill="CCEEFF"/>
          </w:tcPr>
          <w:p>
            <w:pPr>
              <w:ind w:left="20"/>
              <w:spacing w:after="0" w:line="189" w:lineRule="exact"/>
              <w:rPr>
                <w:rFonts w:ascii="Arial" w:cs="Arial" w:eastAsia="Arial" w:hAnsi="Arial"/>
                <w:sz w:val="18"/>
                <w:szCs w:val="18"/>
                <w:color w:val="auto"/>
                <w:w w:val="92"/>
              </w:rPr>
            </w:pPr>
            <w:hyperlink w:anchor="page38">
              <w:r>
                <w:rPr>
                  <w:rFonts w:ascii="Arial" w:cs="Arial" w:eastAsia="Arial" w:hAnsi="Arial"/>
                  <w:sz w:val="18"/>
                  <w:szCs w:val="18"/>
                  <w:color w:val="auto"/>
                  <w:w w:val="92"/>
                </w:rPr>
                <w:t>Quantitative And Qualitative Disclosures About Market Risk</w:t>
              </w:r>
            </w:hyperlink>
          </w:p>
        </w:tc>
        <w:tc>
          <w:tcPr>
            <w:tcW w:w="5200" w:type="dxa"/>
            <w:vAlign w:val="bottom"/>
            <w:tcBorders>
              <w:bottom w:val="single" w:sz="8" w:color="CCEEFF"/>
            </w:tcBorders>
            <w:gridSpan w:val="8"/>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9620" w:type="dxa"/>
            <w:vAlign w:val="bottom"/>
            <w:gridSpan w:val="20"/>
          </w:tcPr>
          <w:p>
            <w:pPr>
              <w:ind w:left="20"/>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Controls And Procedures</w:t>
              </w:r>
            </w:hyperlink>
          </w:p>
        </w:tc>
        <w:tc>
          <w:tcPr>
            <w:tcW w:w="740" w:type="dxa"/>
            <w:vAlign w:val="bottom"/>
          </w:tcPr>
          <w:p>
            <w:pPr>
              <w:jc w:val="center"/>
              <w:spacing w:after="0" w:line="189" w:lineRule="exact"/>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80" w:type="dxa"/>
            <w:vAlign w:val="bottom"/>
            <w:gridSpan w:val="9"/>
          </w:tcPr>
          <w:p>
            <w:pPr>
              <w:jc w:val="center"/>
              <w:ind w:right="2400"/>
              <w:spacing w:after="0"/>
              <w:rPr>
                <w:rFonts w:ascii="Arial" w:cs="Arial" w:eastAsia="Arial" w:hAnsi="Arial"/>
                <w:sz w:val="18"/>
                <w:szCs w:val="18"/>
                <w:color w:val="auto"/>
                <w:w w:val="96"/>
              </w:rPr>
            </w:pPr>
            <w:hyperlink w:anchor="page39">
              <w:r>
                <w:rPr>
                  <w:rFonts w:ascii="Arial" w:cs="Arial" w:eastAsia="Arial" w:hAnsi="Arial"/>
                  <w:sz w:val="18"/>
                  <w:szCs w:val="18"/>
                  <w:color w:val="auto"/>
                  <w:w w:val="96"/>
                </w:rPr>
                <w:t>PART II - OTHER INFORMATION</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 xml:space="preserve">Item </w:t>
              </w:r>
            </w:hyperlink>
            <w:r>
              <w:rPr>
                <w:rFonts w:ascii="Arial" w:cs="Arial" w:eastAsia="Arial" w:hAnsi="Arial"/>
                <w:sz w:val="18"/>
                <w:szCs w:val="18"/>
                <w:color w:val="auto"/>
                <w:w w:val="90"/>
              </w:rPr>
              <w:t>1.</w:t>
            </w:r>
          </w:p>
        </w:tc>
        <w:tc>
          <w:tcPr>
            <w:tcW w:w="340" w:type="dxa"/>
            <w:vAlign w:val="bottom"/>
            <w:gridSpan w:val="3"/>
            <w:shd w:val="clear" w:color="auto" w:fill="CCEEFF"/>
          </w:tcPr>
          <w:p>
            <w:pPr>
              <w:spacing w:after="0"/>
              <w:rPr>
                <w:sz w:val="16"/>
                <w:szCs w:val="16"/>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7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sz w:val="20"/>
                <w:szCs w:val="20"/>
                <w:color w:val="auto"/>
              </w:rPr>
            </w:pPr>
            <w:r>
              <w:rPr>
                <w:rFonts w:ascii="Arial" w:cs="Arial" w:eastAsia="Arial" w:hAnsi="Arial"/>
                <w:sz w:val="18"/>
                <w:szCs w:val="18"/>
                <w:color w:val="auto"/>
              </w:rPr>
              <w:t>Item 1a.</w:t>
            </w:r>
          </w:p>
        </w:tc>
        <w:tc>
          <w:tcPr>
            <w:tcW w:w="9620" w:type="dxa"/>
            <w:vAlign w:val="bottom"/>
            <w:gridSpan w:val="20"/>
          </w:tcPr>
          <w:p>
            <w:pPr>
              <w:ind w:left="20"/>
              <w:spacing w:after="0" w:line="189" w:lineRule="exact"/>
              <w:rPr>
                <w:sz w:val="20"/>
                <w:szCs w:val="20"/>
                <w:color w:val="auto"/>
              </w:rPr>
            </w:pPr>
            <w:r>
              <w:rPr>
                <w:rFonts w:ascii="Arial" w:cs="Arial" w:eastAsia="Arial" w:hAnsi="Arial"/>
                <w:sz w:val="18"/>
                <w:szCs w:val="18"/>
                <w:color w:val="auto"/>
              </w:rPr>
              <w:t>Risk Factors</w:t>
            </w:r>
          </w:p>
        </w:tc>
        <w:tc>
          <w:tcPr>
            <w:tcW w:w="740" w:type="dxa"/>
            <w:vAlign w:val="bottom"/>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Item 2.</w:t>
              </w:r>
            </w:hyperlink>
          </w:p>
        </w:tc>
        <w:tc>
          <w:tcPr>
            <w:tcW w:w="340" w:type="dxa"/>
            <w:vAlign w:val="bottom"/>
            <w:gridSpan w:val="3"/>
            <w:shd w:val="clear" w:color="auto" w:fill="CCEEFF"/>
          </w:tcPr>
          <w:p>
            <w:pPr>
              <w:spacing w:after="0"/>
              <w:rPr>
                <w:sz w:val="18"/>
                <w:szCs w:val="18"/>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Unregistered Sales Of Equity Securities And Use Of Proceeds</w:t>
              </w:r>
            </w:hyperlink>
          </w:p>
        </w:tc>
        <w:tc>
          <w:tcPr>
            <w:tcW w:w="7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Item 3.</w:t>
              </w:r>
            </w:hyperlink>
          </w:p>
        </w:tc>
        <w:tc>
          <w:tcPr>
            <w:tcW w:w="340" w:type="dxa"/>
            <w:vAlign w:val="bottom"/>
            <w:tcBorders>
              <w:top w:val="single" w:sz="8" w:color="CCEEFF"/>
            </w:tcBorders>
            <w:gridSpan w:val="3"/>
          </w:tcPr>
          <w:p>
            <w:pPr>
              <w:spacing w:after="0"/>
              <w:rPr>
                <w:sz w:val="16"/>
                <w:szCs w:val="16"/>
                <w:color w:val="auto"/>
              </w:rPr>
            </w:pPr>
          </w:p>
        </w:tc>
        <w:tc>
          <w:tcPr>
            <w:tcW w:w="4480" w:type="dxa"/>
            <w:vAlign w:val="bottom"/>
            <w:tcBorders>
              <w:top w:val="single" w:sz="8" w:color="auto"/>
            </w:tcBorders>
            <w:gridSpan w:val="13"/>
          </w:tcPr>
          <w:p>
            <w:pPr>
              <w:ind w:left="20"/>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Defaults Upon Senior Securities</w:t>
              </w:r>
            </w:hyperlink>
          </w:p>
        </w:tc>
        <w:tc>
          <w:tcPr>
            <w:tcW w:w="5140" w:type="dxa"/>
            <w:vAlign w:val="bottom"/>
            <w:tcBorders>
              <w:top w:val="single" w:sz="8" w:color="CCEEFF"/>
            </w:tcBorders>
            <w:gridSpan w:val="7"/>
          </w:tcPr>
          <w:p>
            <w:pPr>
              <w:spacing w:after="0"/>
              <w:rPr>
                <w:sz w:val="16"/>
                <w:szCs w:val="16"/>
                <w:color w:val="auto"/>
              </w:rPr>
            </w:pPr>
          </w:p>
        </w:tc>
        <w:tc>
          <w:tcPr>
            <w:tcW w:w="740" w:type="dxa"/>
            <w:vAlign w:val="bottom"/>
            <w:tcBorders>
              <w:top w:val="single" w:sz="8" w:color="CCEEFF"/>
            </w:tcBorders>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Item 4.</w:t>
              </w:r>
            </w:hyperlink>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1780" w:type="dxa"/>
            <w:vAlign w:val="bottom"/>
            <w:tcBorders>
              <w:bottom w:val="single" w:sz="8" w:color="auto"/>
            </w:tcBorders>
            <w:gridSpan w:val="8"/>
            <w:shd w:val="clear" w:color="auto" w:fill="CCEEFF"/>
          </w:tcPr>
          <w:p>
            <w:pPr>
              <w:ind w:left="20"/>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Mine Safety Disclosures</w:t>
              </w:r>
            </w:hyperlink>
          </w:p>
        </w:tc>
        <w:tc>
          <w:tcPr>
            <w:tcW w:w="7840" w:type="dxa"/>
            <w:vAlign w:val="bottom"/>
            <w:tcBorders>
              <w:bottom w:val="single" w:sz="8" w:color="CCEEFF"/>
            </w:tcBorders>
            <w:gridSpan w:val="12"/>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9620" w:type="dxa"/>
            <w:vAlign w:val="bottom"/>
            <w:gridSpan w:val="20"/>
          </w:tcPr>
          <w:p>
            <w:pPr>
              <w:ind w:left="20"/>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Other Information</w:t>
              </w:r>
            </w:hyperlink>
          </w:p>
        </w:tc>
        <w:tc>
          <w:tcPr>
            <w:tcW w:w="740" w:type="dxa"/>
            <w:vAlign w:val="bottom"/>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auto"/>
                <w:w w:val="90"/>
              </w:rPr>
            </w:pPr>
            <w:hyperlink w:anchor="page40">
              <w:r>
                <w:rPr>
                  <w:rFonts w:ascii="Arial" w:cs="Arial" w:eastAsia="Arial" w:hAnsi="Arial"/>
                  <w:sz w:val="18"/>
                  <w:szCs w:val="18"/>
                  <w:color w:val="auto"/>
                  <w:w w:val="90"/>
                </w:rPr>
                <w:t>Item 6.</w:t>
              </w:r>
            </w:hyperlink>
          </w:p>
        </w:tc>
        <w:tc>
          <w:tcPr>
            <w:tcW w:w="340" w:type="dxa"/>
            <w:vAlign w:val="bottom"/>
            <w:gridSpan w:val="3"/>
            <w:shd w:val="clear" w:color="auto" w:fill="CCEEFF"/>
          </w:tcPr>
          <w:p>
            <w:pPr>
              <w:spacing w:after="0"/>
              <w:rPr>
                <w:sz w:val="16"/>
                <w:szCs w:val="16"/>
                <w:color w:val="auto"/>
              </w:rPr>
            </w:pPr>
          </w:p>
        </w:tc>
        <w:tc>
          <w:tcPr>
            <w:tcW w:w="9620" w:type="dxa"/>
            <w:vAlign w:val="bottom"/>
            <w:gridSpan w:val="20"/>
            <w:shd w:val="clear" w:color="auto" w:fill="CCEEFF"/>
          </w:tcPr>
          <w:p>
            <w:pPr>
              <w:ind w:left="20"/>
              <w:spacing w:after="0" w:line="189" w:lineRule="exact"/>
              <w:rPr>
                <w:rFonts w:ascii="Arial" w:cs="Arial" w:eastAsia="Arial" w:hAnsi="Arial"/>
                <w:sz w:val="18"/>
                <w:szCs w:val="18"/>
                <w:color w:val="auto"/>
              </w:rPr>
            </w:pPr>
            <w:hyperlink w:anchor="page40">
              <w:r>
                <w:rPr>
                  <w:rFonts w:ascii="Arial" w:cs="Arial" w:eastAsia="Arial" w:hAnsi="Arial"/>
                  <w:sz w:val="18"/>
                  <w:szCs w:val="18"/>
                  <w:color w:val="auto"/>
                </w:rPr>
                <w:t>Exhibits</w:t>
              </w:r>
            </w:hyperlink>
          </w:p>
        </w:tc>
        <w:tc>
          <w:tcPr>
            <w:tcW w:w="7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39</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auto"/>
                <w:w w:val="97"/>
              </w:rPr>
            </w:pPr>
            <w:hyperlink w:anchor="page42">
              <w:r>
                <w:rPr>
                  <w:rFonts w:ascii="Arial" w:cs="Arial" w:eastAsia="Arial" w:hAnsi="Arial"/>
                  <w:sz w:val="18"/>
                  <w:szCs w:val="18"/>
                  <w:color w:val="auto"/>
                  <w:w w:val="97"/>
                </w:rPr>
                <w:t>Signatures</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spacing w:after="0" w:line="189"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3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BALANCE SHEETS ($ IN THOUSANDS)</w:t>
      </w:r>
    </w:p>
    <w:p>
      <w:pPr>
        <w:spacing w:after="0" w:line="16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of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tcPr>
          <w:p>
            <w:pPr>
              <w:jc w:val="center"/>
              <w:spacing w:after="0"/>
              <w:rPr>
                <w:sz w:val="20"/>
                <w:szCs w:val="20"/>
                <w:color w:val="auto"/>
              </w:rPr>
            </w:pPr>
            <w:r>
              <w:rPr>
                <w:rFonts w:ascii="Arial" w:cs="Arial" w:eastAsia="Arial" w:hAnsi="Arial"/>
                <w:sz w:val="16"/>
                <w:szCs w:val="16"/>
                <w:b w:val="1"/>
                <w:bCs w:val="1"/>
                <w:color w:val="auto"/>
                <w:w w:val="93"/>
              </w:rPr>
              <w:t>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121,853</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Grants receivable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Vendor deposits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06"/>
        </w:trPr>
        <w:tc>
          <w:tcPr>
            <w:tcW w:w="7980" w:type="dxa"/>
            <w:vAlign w:val="bottom"/>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91,742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127,367</w:t>
            </w:r>
          </w:p>
        </w:tc>
        <w:tc>
          <w:tcPr>
            <w:tcW w:w="0" w:type="dxa"/>
            <w:vAlign w:val="bottom"/>
          </w:tcPr>
          <w:p>
            <w:pPr>
              <w:spacing w:after="0"/>
              <w:rPr>
                <w:sz w:val="1"/>
                <w:szCs w:val="1"/>
                <w:color w:val="auto"/>
              </w:rPr>
            </w:pPr>
          </w:p>
        </w:tc>
      </w:tr>
      <w:tr>
        <w:trPr>
          <w:trHeight w:val="165"/>
        </w:trPr>
        <w:tc>
          <w:tcPr>
            <w:tcW w:w="7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5,653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joint venture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long term</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38"/>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MEMBERS EQUITY (DEFICIT)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Accounts payable and accrued expenses - related parties</w:t>
            </w: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firm purchase commitments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Capital lease, current portion</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current portion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13,585</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Arial" w:cs="Arial" w:eastAsia="Arial" w:hAnsi="Arial"/>
                <w:sz w:val="16"/>
                <w:szCs w:val="16"/>
                <w:color w:val="auto"/>
              </w:rPr>
              <w:t>Long term liabilities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Capital lease</w:t>
            </w: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Warrants liability</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 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17,479</w:t>
            </w:r>
          </w:p>
        </w:tc>
        <w:tc>
          <w:tcPr>
            <w:tcW w:w="0" w:type="dxa"/>
            <w:vAlign w:val="bottom"/>
          </w:tcPr>
          <w:p>
            <w:pPr>
              <w:spacing w:after="0"/>
              <w:rPr>
                <w:sz w:val="1"/>
                <w:szCs w:val="1"/>
                <w:color w:val="auto"/>
              </w:rPr>
            </w:pPr>
          </w:p>
        </w:tc>
      </w:tr>
      <w:tr>
        <w:trPr>
          <w:trHeight w:val="131"/>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9)</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80" w:type="dxa"/>
            <w:vAlign w:val="bottom"/>
          </w:tcPr>
          <w:p>
            <w:pPr>
              <w:jc w:val="center"/>
              <w:spacing w:after="0" w:line="166" w:lineRule="exact"/>
              <w:rPr>
                <w:sz w:val="20"/>
                <w:szCs w:val="20"/>
                <w:color w:val="auto"/>
              </w:rPr>
            </w:pPr>
            <w:r>
              <w:rPr>
                <w:rFonts w:ascii="Arial" w:cs="Arial" w:eastAsia="Arial" w:hAnsi="Arial"/>
                <w:sz w:val="16"/>
                <w:szCs w:val="16"/>
                <w:color w:val="auto"/>
                <w:w w:val="90"/>
              </w:rPr>
              <w:t>Common Stock, $0.0001 par value, 200,000,000 shares authorized, 53,353,858 and 48,943,082 shares outstanding at</w:t>
            </w:r>
          </w:p>
        </w:tc>
        <w:tc>
          <w:tcPr>
            <w:tcW w:w="2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980" w:type="dxa"/>
            <w:vAlign w:val="bottom"/>
          </w:tcPr>
          <w:p>
            <w:pPr>
              <w:ind w:left="180"/>
              <w:spacing w:after="0"/>
              <w:rPr>
                <w:sz w:val="20"/>
                <w:szCs w:val="20"/>
                <w:color w:val="auto"/>
              </w:rPr>
            </w:pPr>
            <w:r>
              <w:rPr>
                <w:rFonts w:ascii="Arial" w:cs="Arial" w:eastAsia="Arial" w:hAnsi="Arial"/>
                <w:sz w:val="16"/>
                <w:szCs w:val="16"/>
                <w:color w:val="auto"/>
              </w:rPr>
              <w:t>June 30, 2021 and December 31, 2020, respectively</w:t>
            </w: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Contingently Issuable Common Stock</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166"/>
        </w:trPr>
        <w:tc>
          <w:tcPr>
            <w:tcW w:w="7980" w:type="dxa"/>
            <w:vAlign w:val="bottom"/>
          </w:tcPr>
          <w:p>
            <w:pPr>
              <w:ind w:left="180"/>
              <w:spacing w:after="0" w:line="166" w:lineRule="exact"/>
              <w:rPr>
                <w:sz w:val="20"/>
                <w:szCs w:val="20"/>
                <w:color w:val="auto"/>
              </w:rPr>
            </w:pPr>
            <w:r>
              <w:rPr>
                <w:rFonts w:ascii="Arial" w:cs="Arial" w:eastAsia="Arial" w:hAnsi="Arial"/>
                <w:sz w:val="16"/>
                <w:szCs w:val="16"/>
                <w:color w:val="auto"/>
                <w:w w:val="99"/>
              </w:rPr>
              <w:t>Preferred stock, $0.0001 par value, 1,000,000 shares authorized, no shares outstanding at June 30, 2021 and</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 in capital</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395,491</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(292,311)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120,785</w:t>
            </w:r>
          </w:p>
        </w:tc>
        <w:tc>
          <w:tcPr>
            <w:tcW w:w="0" w:type="dxa"/>
            <w:vAlign w:val="bottom"/>
          </w:tcPr>
          <w:p>
            <w:pPr>
              <w:spacing w:after="0"/>
              <w:rPr>
                <w:sz w:val="1"/>
                <w:szCs w:val="1"/>
                <w:color w:val="auto"/>
              </w:rPr>
            </w:pPr>
          </w:p>
        </w:tc>
      </w:tr>
      <w:tr>
        <w:trPr>
          <w:trHeight w:val="212"/>
        </w:trPr>
        <w:tc>
          <w:tcPr>
            <w:tcW w:w="7980" w:type="dxa"/>
            <w:vAlign w:val="bottom"/>
          </w:tcPr>
          <w:p>
            <w:pPr>
              <w:ind w:left="340"/>
              <w:spacing w:after="0"/>
              <w:rPr>
                <w:sz w:val="20"/>
                <w:szCs w:val="20"/>
                <w:color w:val="auto"/>
              </w:rPr>
            </w:pPr>
            <w:r>
              <w:rPr>
                <w:rFonts w:ascii="Arial" w:cs="Arial" w:eastAsia="Arial" w:hAnsi="Arial"/>
                <w:sz w:val="16"/>
                <w:szCs w:val="16"/>
                <w:b w:val="1"/>
                <w:bCs w:val="1"/>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109,854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138,264</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STATEMENTS OF OPERATIONS ($ IN THOUSANDS)</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three months and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5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12,464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pre-existing agreement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Grant (income) expense,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r>
      <w:tr>
        <w:trPr>
          <w:trHeight w:val="257"/>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related party</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Remeasurement of equity method investment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embedded derivative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Change in fair value, warrants liability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(loss) from equity in unconsolidated joint venture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Sale of state tax attributes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Basic and diluted loss per share attributable to common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57"/>
        </w:trPr>
        <w:tc>
          <w:tcPr>
            <w:tcW w:w="4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shareholders</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7"/>
        </w:trPr>
        <w:tc>
          <w:tcPr>
            <w:tcW w:w="4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Weighted average shares of Common Stock</w:t>
            </w:r>
            <w:r>
              <w:rPr>
                <w:rFonts w:ascii="Arial" w:cs="Arial" w:eastAsia="Arial" w:hAnsi="Arial"/>
                <w:sz w:val="23"/>
                <w:szCs w:val="23"/>
                <w:b w:val="1"/>
                <w:bCs w:val="1"/>
                <w:color w:val="auto"/>
                <w:vertAlign w:val="superscript"/>
              </w:rPr>
              <w:t>2</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51,792,365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3,930,336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51,630,088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3,930,336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51,792,365</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51,630,088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28"/>
          <w:szCs w:val="28"/>
          <w:color w:val="auto"/>
          <w:vertAlign w:val="superscript"/>
        </w:rPr>
      </w:pPr>
      <w:r>
        <w:rPr>
          <w:rFonts w:ascii="Arial" w:cs="Arial" w:eastAsia="Arial" w:hAnsi="Arial"/>
          <w:sz w:val="16"/>
          <w:szCs w:val="16"/>
          <w:color w:val="auto"/>
        </w:rPr>
        <w:t>Retroactive application of recapitalization given effect herein</w:t>
      </w:r>
    </w:p>
    <w:p>
      <w:pPr>
        <w:spacing w:after="0" w:line="64" w:lineRule="exact"/>
        <w:rPr>
          <w:rFonts w:ascii="Arial" w:cs="Arial" w:eastAsia="Arial" w:hAnsi="Arial"/>
          <w:sz w:val="28"/>
          <w:szCs w:val="28"/>
          <w:color w:val="auto"/>
          <w:vertAlign w:val="superscript"/>
        </w:rPr>
      </w:pPr>
    </w:p>
    <w:p>
      <w:pPr>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6"/>
          <w:szCs w:val="16"/>
          <w:color w:val="auto"/>
        </w:rPr>
        <w:t xml:space="preserve"> Retroactive application of recapitalization given effect herein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15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SHAREHOLDERS’ EQUITY (DEFICIT) ($ IN</w:t>
      </w:r>
    </w:p>
    <w:p>
      <w:pPr>
        <w:jc w:val="right"/>
        <w:ind w:right="20"/>
        <w:spacing w:after="0"/>
        <w:rPr>
          <w:sz w:val="20"/>
          <w:szCs w:val="20"/>
          <w:color w:val="auto"/>
        </w:rPr>
      </w:pPr>
      <w:r>
        <w:rPr>
          <w:rFonts w:ascii="Arial" w:cs="Arial" w:eastAsia="Arial" w:hAnsi="Arial"/>
          <w:sz w:val="18"/>
          <w:szCs w:val="18"/>
          <w:b w:val="1"/>
          <w:bCs w:val="1"/>
          <w:color w:val="auto"/>
        </w:rPr>
        <w:t>THOUSANDS)</w:t>
      </w:r>
    </w:p>
    <w:p>
      <w:pPr>
        <w:spacing w:after="0" w:line="12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14605</wp:posOffset>
            </wp:positionV>
            <wp:extent cx="5383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120"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2580" w:type="dxa"/>
            <w:vAlign w:val="bottom"/>
          </w:tcPr>
          <w:p>
            <w:pPr>
              <w:spacing w:after="0"/>
              <w:rPr>
                <w:sz w:val="23"/>
                <w:szCs w:val="23"/>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23"/>
                <w:szCs w:val="23"/>
                <w:b w:val="1"/>
                <w:bCs w:val="1"/>
                <w:color w:val="auto"/>
                <w:vertAlign w:val="superscript"/>
              </w:rPr>
              <w:t>3</w:t>
            </w:r>
          </w:p>
        </w:tc>
        <w:tc>
          <w:tcPr>
            <w:tcW w:w="12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Contingently</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4"/>
              </w:rPr>
              <w:t>Paid in</w:t>
            </w:r>
          </w:p>
        </w:tc>
        <w:tc>
          <w:tcPr>
            <w:tcW w:w="180" w:type="dxa"/>
            <w:vAlign w:val="bottom"/>
          </w:tcPr>
          <w:p>
            <w:pPr>
              <w:spacing w:after="0"/>
              <w:rPr>
                <w:sz w:val="15"/>
                <w:szCs w:val="15"/>
                <w:color w:val="auto"/>
              </w:rPr>
            </w:pPr>
          </w:p>
        </w:tc>
        <w:tc>
          <w:tcPr>
            <w:tcW w:w="120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88"/>
              </w:rPr>
              <w:t>Issuable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(183,722)</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3,930,336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(213,416)</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(193,051)</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48,943,082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Release of Block B Sponsor</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w w:val="98"/>
              </w:rPr>
              <w:t>Earnout Shares from restriction</w:t>
            </w:r>
            <w:r>
              <w:rPr>
                <w:rFonts w:ascii="Arial" w:cs="Arial" w:eastAsia="Arial" w:hAnsi="Arial"/>
                <w:sz w:val="23"/>
                <w:szCs w:val="23"/>
                <w:color w:val="auto"/>
                <w:w w:val="98"/>
                <w:vertAlign w:val="superscript"/>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w w:val="94"/>
              </w:rPr>
              <w:t>Issuance of Contingently Issuable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1,999,185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(17,600)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8"/>
                <w:szCs w:val="18"/>
                <w:color w:val="auto"/>
              </w:rPr>
              <w:t>Common Stock</w:t>
            </w:r>
            <w:r>
              <w:rPr>
                <w:rFonts w:ascii="Arial" w:cs="Arial" w:eastAsia="Arial" w:hAnsi="Arial"/>
                <w:sz w:val="23"/>
                <w:szCs w:val="23"/>
                <w:color w:val="auto"/>
                <w:vertAlign w:val="superscript"/>
              </w:rPr>
              <w:t>5</w:t>
            </w: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51,801,267</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415,569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(313,767)</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101,807</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87,177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public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1,465,414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(54,043)</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53,353,858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(367,810)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28"/>
          <w:szCs w:val="28"/>
          <w:color w:val="auto"/>
          <w:vertAlign w:val="superscript"/>
        </w:rPr>
      </w:pPr>
      <w:r>
        <w:rPr>
          <w:rFonts w:ascii="Arial" w:cs="Arial" w:eastAsia="Arial" w:hAnsi="Arial"/>
          <w:sz w:val="16"/>
          <w:szCs w:val="16"/>
          <w:color w:val="auto"/>
        </w:rPr>
        <w:t>Retroactive application of recapitalization given effect herein</w:t>
      </w:r>
    </w:p>
    <w:p>
      <w:pPr>
        <w:spacing w:after="0" w:line="64" w:lineRule="exact"/>
        <w:rPr>
          <w:rFonts w:ascii="Arial" w:cs="Arial" w:eastAsia="Arial" w:hAnsi="Arial"/>
          <w:sz w:val="28"/>
          <w:szCs w:val="28"/>
          <w:color w:val="auto"/>
          <w:vertAlign w:val="superscript"/>
        </w:rPr>
      </w:pPr>
    </w:p>
    <w:p>
      <w:pPr>
        <w:spacing w:after="0" w:line="19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4</w:t>
      </w:r>
      <w:r>
        <w:rPr>
          <w:rFonts w:ascii="Arial" w:cs="Arial" w:eastAsia="Arial" w:hAnsi="Arial"/>
          <w:sz w:val="16"/>
          <w:szCs w:val="16"/>
          <w:color w:val="auto"/>
        </w:rPr>
        <w:t xml:space="preserve"> See Note 18 for discussion of Sponsor Earnout Shares</w:t>
      </w:r>
    </w:p>
    <w:p>
      <w:pPr>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5</w:t>
      </w:r>
      <w:r>
        <w:rPr>
          <w:rFonts w:ascii="Arial" w:cs="Arial" w:eastAsia="Arial" w:hAnsi="Arial"/>
          <w:sz w:val="16"/>
          <w:szCs w:val="16"/>
          <w:color w:val="auto"/>
        </w:rPr>
        <w:t xml:space="preserve"> See Note 18 for discussion of Contingently Issuable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STATEMENTS OF CASH FLOWS ($ IN THOUSANDS)</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June 30, 2020</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Adjustment to reconcile net loss to net cash used in operating activities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disposal of property and equipment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Remeasurement of equity method investment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(income) from equity in unconsolidated joint venture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Accreted interest on convertible notes payable-related party</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6,745</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embedded derivative</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Change in fair value, warrants liability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Receivable on sale of state tax attributes</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4,060</w:t>
            </w: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and other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Grants receivable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Vendor deposits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8080" w:type="dxa"/>
            <w:vAlign w:val="bottom"/>
          </w:tcPr>
          <w:p>
            <w:pPr>
              <w:ind w:left="280"/>
              <w:spacing w:after="0"/>
              <w:rPr>
                <w:sz w:val="20"/>
                <w:szCs w:val="20"/>
                <w:color w:val="auto"/>
              </w:rPr>
            </w:pPr>
            <w:r>
              <w:rPr>
                <w:rFonts w:ascii="Arial" w:cs="Arial" w:eastAsia="Arial" w:hAnsi="Arial"/>
                <w:sz w:val="16"/>
                <w:szCs w:val="16"/>
                <w:color w:val="auto"/>
              </w:rPr>
              <w:t>Security deposits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Accounts payable and accrued expenses-related parties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firm purchase commitments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08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8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080" w:type="dxa"/>
            <w:vAlign w:val="bottom"/>
          </w:tcPr>
          <w:p>
            <w:pPr>
              <w:ind w:left="26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r>
      <w:tr>
        <w:trPr>
          <w:trHeight w:val="132"/>
        </w:trPr>
        <w:tc>
          <w:tcPr>
            <w:tcW w:w="8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notes receivable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Business acquisition, net of cash acquired</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joint venture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185"/>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Capital lease payments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Proceeds from exercise of public warrants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convertible notes payable -related party</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Repayment of other financing</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contingently redeemable preferred units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0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17,508</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3,021</w:t>
            </w:r>
          </w:p>
        </w:tc>
      </w:tr>
      <w:tr>
        <w:trPr>
          <w:trHeight w:val="145"/>
        </w:trPr>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(47,163)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21"/>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08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r>
      <w:tr>
        <w:trPr>
          <w:trHeight w:val="223"/>
        </w:trPr>
        <w:tc>
          <w:tcPr>
            <w:tcW w:w="8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and unpaid capital expenditures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62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08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8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Eos Energy Enterprises, Inc. (f/k/a B. Riley Principal Merger Corp. II (“BMRG”)) (the “Company” or "Eos") designs, develops, manufactures, and sells innovative energy storage solutions for electric utilities as well as commercial and industrial end users. Eos has developed and has received patents on an innovative battery design relying on a unique zinc oxidation/reduction cycle to generate output current and to recharge. The Battery Management System (“BMS”) software uses proprietary Eos-developed algorithms and includes ambient and battery temperature sensors, as well as voltage and current sensors for the strings and the system. Eos and its partners focus on a collaborative approach to jointly develop and sell safe, reliable, long-lasting low-cost turn-key alternating current (“AC”) integrated systems using Eos’s direct current (“DC”) Battery System. The Company has a manufacturing facility located in Pittsburgh, Pennsylvania to manufacture the DC Battery Systems integrated with the BMS for DC Battery Systems. The Company’s primary markets focus on integrating battery storage solutions with (1) solar systems that are connected to the utility power grid (2) solar systems that are not connected to the utility power grid (3) storage systems utilized to relieve congestion and (4) storage systems to assist commercial and industrial customers in reducing their peak energy usage or participating in the utilities ancillary and demand response markets. The location of the Company’s major markets are seen in North America, Europe, Africa, and Asia.</w:t>
      </w:r>
    </w:p>
    <w:p>
      <w:pPr>
        <w:spacing w:after="0" w:line="1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the use of the terms “the Company”, “we,” “us,” and “our” in these notes to the unaudited condensed consolidated financial statements refers to Eos Energy Enterprises, Inc. and its consolidated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unaudited condensed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generally accepted accounting principles in the United States (U.S. GAAP) have been condensed or omitted pursuant to the rules and regulations of the U.S. Securities and Exchange Commission. These unaudited condensed consolidated financial statements should be read in conjunction with the audited financial statements and notes thereto included in the Annual Report on Form 10-K of the Company for the year ended December 31, 2020. These interim results are not necessarily indicative of results for the full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Prior Year Presentation</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reported results of operations. Adjustment has been made to the Consolidated Balance sheet for the year ended December 31, 2020, to reclassify notes receivable from other assets. In addition, the loss from pre-existing agreement for the three months ended March 31, 2021 and for the three and six months ended June 30, 2020 were reclassified from general and administrative expense to loss from pre-existing agreement on the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December 2019, the FASB issued Accounting Standards Update No. 2019-12 –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as part of its initiative to reduce complexity in the accounting standards. The amendments in ASU 2019-12 eliminate certain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Company has adopted this ASU in Q1 2021. The adoption did not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8, 2021, the Company entered into a unit purchase agreement (the “Purchase Agreement”) with Holtec Power, Inc. (“Holtec”), in accordance with the terms and conditions of which the Company purchased from Holtec the remaining 51% percent interest in HI-POWER, LLC (“Hi-Power”) that was not already owned by the Company. Hi-Power was incorporated as a joint venture between the Company and Holtec in 2019 (refer to Note 7). In connection with the transaction, the Company also entered into a transition services agreement and a sublease with Holtec. The transaction closed on April 9, 2021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 Agreement provides that the Company will pay an aggregate purchase price of $25,000 for 51% interest in Hi-Power, pursuant to the following schedule: $5,000 on each of May 31, 2021, May 31, 2022, May 31, 2023, May 31, 2024, and May 31, 2025, evidenced by a secured promissory note secured by the assets of the Company. The Purchase Agreement also requires that the Company pay to Holtec, on the closing of the Transactions, an amount in cash equal to $10,283. Payments to Holtec under this Purchase Agreement totaled $35,283. The fair value of these payments was $33,474 at the Acquisition Date and included $32,750 allocated to the termination of a pre-existing agreement with Holtec and $724 allocated to the acquisition.</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obligations and rights of both parties under the pre-existing Joint Venture Agreement were terminated at the time of acquisition and $32,750 of the fair value of the consideration transferred was allocated to the termination of such agreement, which resulted in a loss on pre-existing agreement of $22,516 and $30,368 during the three and six months ended June 30, 2021, respectively. As of June 30, 2021, the Company had paid $10,283 on the date of closing and $5,000 notes payable due on May 31, 2021. The present value of the remaining payments was recorded as debt, which as of June 30, 2021 includes a current portion of $4,825 and a long-term portion of $13,540.</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acquisition of the remaining 51% ownership interest in Hi-Power, we accounted for our initial 49% ownership interest in Hi-Power as an unconsolidated joint venture under the equity method of accounting (refer to Note 7). In connection with the acquisition of the remaining 51% ownership interest in Hi-Power, our consolidated financial statements now include all of the accounts of Hi-Power, and all intercompany balances and transactions have been eliminated in consolidation. The results of operations of Hi-Power have been included in the Company’s condensed consolidated financial statements from the date of acquisition. The acquisition of Hi-Power did not have a material impact on the Company’s condensed consolidated financial statements, and therefore historical and pro forma disclosures have not been presented.</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consideration transferred for our now 100% ownership interest in connection with this acquisition, net of intercompany balances between the Company and Hi-Power, totaled $418, of which $205 represents the fair value of our previously held 49% ownership interest in Hi-Power. In accordance with </w:t>
      </w:r>
      <w:r>
        <w:rPr>
          <w:rFonts w:ascii="Arial" w:cs="Arial" w:eastAsia="Arial" w:hAnsi="Arial"/>
          <w:sz w:val="16"/>
          <w:szCs w:val="16"/>
          <w:i w:val="1"/>
          <w:iCs w:val="1"/>
          <w:color w:val="auto"/>
        </w:rPr>
        <w:t>ASC Topic 805-10-25-10</w:t>
      </w:r>
      <w:r>
        <w:rPr>
          <w:rFonts w:ascii="Arial" w:cs="Arial" w:eastAsia="Arial" w:hAnsi="Arial"/>
          <w:sz w:val="16"/>
          <w:szCs w:val="16"/>
          <w:color w:val="auto"/>
        </w:rPr>
        <w:t>, we remeasured our previously held 49% ownership interest in Hi-Power at its acquisition date fair value. As of the acquisition date, a loss of $7,480 was recognized in earnings for the remeasurement of our previously held 49% ownership interest.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Acquisition </w:t>
      </w:r>
      <w:r>
        <w:rPr>
          <w:rFonts w:ascii="Arial" w:cs="Arial" w:eastAsia="Arial" w:hAnsi="Arial"/>
          <w:sz w:val="18"/>
          <w:szCs w:val="18"/>
          <w:color w:val="auto"/>
        </w:rPr>
        <w:t>(cont.)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Vendor deposits</w:t>
            </w:r>
          </w:p>
        </w:tc>
        <w:tc>
          <w:tcPr>
            <w:tcW w:w="6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4,331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firm purchase commitments</w:t>
            </w:r>
          </w:p>
        </w:tc>
        <w:tc>
          <w:tcPr>
            <w:tcW w:w="6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r>
      <w:tr>
        <w:trPr>
          <w:trHeight w:val="248"/>
        </w:trPr>
        <w:tc>
          <w:tcPr>
            <w:tcW w:w="83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assets acquired, net of cash and cash equivalents of $53 </w:t>
            </w:r>
            <w:r>
              <w:rPr>
                <w:rFonts w:ascii="Arial" w:cs="Arial" w:eastAsia="Arial" w:hAnsi="Arial"/>
                <w:sz w:val="23"/>
                <w:szCs w:val="23"/>
                <w:color w:val="auto"/>
                <w:vertAlign w:val="superscript"/>
              </w:rPr>
              <w:t>6</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and the measurement for acquisition consideration are based on management’s best estimates and assumptions as of the reporting date and are considered preliminary. The provisional measurements of identifiable assets and liabilities, and the resulting goodwill related to these acquisitions are subject to change and the final purchase price accounting could be different from the amounts presented herein. We expect to finalize the valuation as soon as practicable, but not later than one year from the acquisition date.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expects the goodwill recognized as part of the acquisition will be deductible for U.S. income tax purposes. The Company also incurred non-consideration acquisition expenses including legal and accounting services related to the acquisition. The acquisition costs are recorded in general and administrative expenses on the Company’s condensed consolidated statement of operations.</w:t>
      </w:r>
    </w:p>
    <w:p>
      <w:pPr>
        <w:spacing w:after="0" w:line="139" w:lineRule="exact"/>
        <w:rPr>
          <w:sz w:val="20"/>
          <w:szCs w:val="20"/>
          <w:color w:val="auto"/>
        </w:rPr>
      </w:pPr>
    </w:p>
    <w:p>
      <w:pPr>
        <w:ind w:right="9420" w:firstLine="8"/>
        <w:spacing w:after="0" w:line="522"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contract assets and liabilities from contracts with customers: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29"/>
        </w:trPr>
        <w:tc>
          <w:tcPr>
            <w:tcW w:w="4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5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recognizes contract assets resulting from the timing of revenue recognition and invoicing. Contract liabilities primarily relate to advance consideration received from customers in advance of the Company satisfying performance obligations under contractual arrangements. Contract balances are reported in a net contract asset or liability position on a contract-by-contract basis at the end of each reporting period. The contract assets were recorded in prepaid expenses and other current assets as of June 30, 2021.</w:t>
      </w:r>
    </w:p>
    <w:p>
      <w:pPr>
        <w:spacing w:after="0" w:line="16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Contract assets increased by $603 and $— during the six months ended June 30, 2021 and 2020, respectively. Contract liabilities increased by $1,263 during the six months ended June 30, 2021 and increased by $27 during the six months ended June 30, 2020, respectively.</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$77 and $— of revenue during the three and six months ended June 30, 2021 and June 30, 2020 that was included in the contract liability balance at the beginning of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of $1,340 as of June 30, 2021 are expected to be recognized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3" w:lineRule="exact"/>
        <w:rPr>
          <w:sz w:val="20"/>
          <w:szCs w:val="20"/>
          <w:color w:val="auto"/>
        </w:rPr>
      </w:pPr>
    </w:p>
    <w:p>
      <w:pPr>
        <w:ind w:left="5580" w:right="3820" w:hanging="5572"/>
        <w:spacing w:after="0" w:line="832" w:lineRule="auto"/>
        <w:tabs>
          <w:tab w:leader="none" w:pos="147"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Net assets acquired exclude the intercompany balance between Eos and Hi-Power and cash acquired.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we acquired the remaining 51% interest in Hi-Power on April 9, 2021, our inventory balances as of June 30, 2021 include all inventories held at our manufacturing facility, Hi-Power. The following table provides information about inventory balances: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4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color w:val="auto"/>
              </w:rPr>
              <w:t>Total Inventory,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1"/>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4"/>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621"/>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Useful lives</w:t>
            </w:r>
          </w:p>
        </w:tc>
        <w:tc>
          <w:tcPr>
            <w:tcW w:w="1180" w:type="dxa"/>
            <w:vAlign w:val="bottom"/>
          </w:tcPr>
          <w:p>
            <w:pPr>
              <w:spacing w:after="0"/>
              <w:rPr>
                <w:sz w:val="24"/>
                <w:szCs w:val="24"/>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180" w:type="dxa"/>
            <w:vAlign w:val="bottom"/>
          </w:tcPr>
          <w:p>
            <w:pPr>
              <w:spacing w:after="0"/>
              <w:rPr>
                <w:sz w:val="19"/>
                <w:szCs w:val="19"/>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9"/>
                <w:szCs w:val="19"/>
                <w:color w:val="auto"/>
              </w:rPr>
            </w:pPr>
          </w:p>
        </w:tc>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0"/>
              </w:rPr>
              <w:t>Lesser of useful life/remaining lease</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years</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10,722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
        </w:trPr>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$602 and $375 during the three months ended June 30, 2021 and 2020, and $1,077 and $730 during the six months ended June 30,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consist of various patents valued at $400, which represents the cost to acquire the patents. These patents are determined to have useful lives and are amortized into the results of operations over ten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June 30, 2021 and 2020, the Company recorded amortization expenses of $10 for each period related to patents.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2021 and 2020, the Company recorded amortization expenses of $20 for each period related to patents.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expense of intangible assets as of June 30, 2021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Remainder of 2021</w:t>
            </w:r>
          </w:p>
        </w:tc>
        <w:tc>
          <w:tcPr>
            <w:tcW w:w="69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6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Thereafter</w:t>
            </w:r>
          </w:p>
        </w:tc>
        <w:tc>
          <w:tcPr>
            <w:tcW w:w="6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6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10</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unconsolidated joint venture</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2019, the Company entered into an agreement with Holtec Power, Inc. (“Holtec”) to form the unconsolidated joint venture (“JV”) Hi-Power. The JV was formed in order to manufacture the products for all of the Company’s projects in North America. Accordingly, the Company has purchased battery storage systems and spare parts from the JV. The facility is located in Pittsburgh, Pennsylvania. The Company’s financial commitment to the JV upon inception was $4,100 in the form of a combination of cash and special purpose manufacturing equipment. The Company’s initial ownership interest was 49%. On April 9, 2021, the Company acquired the remaining 51% ownership interest and Hi-Power became a wholly owned subsidiary thereafter. Refer to Note 2 for the acquisition details.</w:t>
      </w:r>
    </w:p>
    <w:p>
      <w:pPr>
        <w:spacing w:after="0" w:line="1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joint venture commenced manufacturing activities in the fourth quarter of 2020. Contributions made to the JV were $— and $329, respectively for the three months ended June 30, 2021 and 2020 and $4,000 and $550, respectively for the six months ended June 30, 2021 and 2020.</w:t>
      </w:r>
    </w:p>
    <w:p>
      <w:pPr>
        <w:spacing w:after="0" w:line="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investment income (loss) recognized from the unconsolidated joint venture under the equity method of accounting was $— and $(8) for the three months ended June 30, 2021 and 2020, respectively and $440 and $(39) for the six months ended June 30, 2021 and 2020, respectively. Our investment in the unconsolidated joint venture as of December 31, 2020 was $3,736.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receivable and Variable interest entities (“VIEs”) consideration</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Notes receivable consist primarily of amounts due to us related to the financing we offered to customers. We report notes receivable at the principal balance outstanding less an allowance for losses. We monitor the financial condition of the notes receivable and record provisions for estimated losses when we believe it is probable that the holders of the notes receivable will be unable to make their required payments. We charge interest at a fixed rate and interest income is calculated by applying the effective rate to the outstanding principal balance. The Company had notes receivable of $4,122 and $100 outstanding as of June 30, 2021 and December 31, 2020, respectively, with no loss reserved for the uncollectible balances.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customers to whom we offer financing through notes receivables are VIEs. However, the Company is not a primary beneficiary, because we do not have power to direct the activities of the VIEs that most significantly impact the VIEs’ economic performance. The VIEs are not consolidated into the Company’s financial statements but rather disclosed in the notes to our financial statements under ASC 810-10-50-4. The maximum loss exposure is limited to the carrying value of notes receivable as of the balances sheet dates.</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2021, we had agreements to provide loans to our customers for $11,348. $4,183 was drawn on those commitments as of June 30, 2021. The funding under certain loan agreements is contingent on reaching certain milestones defined by the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24, 2016, Eos entered into a long-term non-cancelable, operating lease for 45,000 sq. ft. of space for our current headquarters facility in Edison, New Jersey. On April 26, 2017, Eos entered into a lease for an additional 18,000 sq. ft. of adjoining space. These leases expire in September 2026 with renewal options up to 2036. Further, these leases require monthly rent payments along with executory costs, which include real estate taxes, repairs, maintenance, and insurance. In addition, the terms of the leases contain cost escalations of approximately 10% annually. On April 8, 2021, in connection with the acquisition, Hi-Power entered into a sublease agreement with Holtec, with the lease expiring on December 31, 2022. This lease requires monthly rent payments, consisting of a base rent along with executory costs. The Company also has certain non-cancelable capital lease agreements for office equipment.</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rent expense including common area maintenance was $319 and $219 for the three months ended June 30, 2021 and 2020, and $547 and $447 for the six months ended June 30, 2021 and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 xml:space="preserve">9. Commitments and Contingencies </w:t>
            </w:r>
            <w:r>
              <w:rPr>
                <w:rFonts w:ascii="Arial" w:cs="Arial" w:eastAsia="Arial" w:hAnsi="Arial"/>
                <w:sz w:val="18"/>
                <w:szCs w:val="18"/>
                <w:color w:val="auto"/>
              </w:rPr>
              <w:t>(cont.)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260" w:type="dxa"/>
            <w:vAlign w:val="bottom"/>
          </w:tcPr>
          <w:p>
            <w:pPr>
              <w:ind w:left="660"/>
              <w:spacing w:after="0"/>
              <w:rPr>
                <w:sz w:val="20"/>
                <w:szCs w:val="20"/>
                <w:color w:val="auto"/>
              </w:rPr>
            </w:pPr>
            <w:r>
              <w:rPr>
                <w:rFonts w:ascii="Arial" w:cs="Arial" w:eastAsia="Arial" w:hAnsi="Arial"/>
                <w:sz w:val="18"/>
                <w:szCs w:val="18"/>
                <w:color w:val="auto"/>
              </w:rPr>
              <w:t>Future minimum lease commitments as of June 30, 2021 are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c>
          <w:tcPr>
            <w:tcW w:w="280" w:type="dxa"/>
            <w:vAlign w:val="bottom"/>
          </w:tcPr>
          <w:p>
            <w:pPr>
              <w:spacing w:after="0"/>
              <w:rPr>
                <w:sz w:val="24"/>
                <w:szCs w:val="24"/>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Later years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Purchase Commitments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ensure adequate and timely supply of raw material for production, the Company from time to time enters into non-cancellable purchase contracts with vendors. As of June 30, 2021, the Company has open purchase commitments of $20,602 under these contracts. At the end of each reporting period, the Company evaluates its non-cancellable firm purchase commitments and records a loss, if any, using the same lower of cost or market approach. In assessing the potential loss provision, we use the stated contract price and expected production volume under the relevant sales contract. The Company records a purchase commitment loss if the net realizable value of the inventory is less than the cost.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Grant Expense, Net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Eos was approved for two grants by the California Energy Commission (CEC) totaling approximately $7,000. In accordance with the grant agreements, Eos is responsible for conducting studies to demonstrate the benefits of certain energy-saving technologies to utility companies and consumers in the State of California and is entitled to receive portions of the grants based upon expenses incurred.</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June 30, 2021 and 2020, Eos recorded grant (income) expense, net of $(52) and $263, respectively, which comprised of grant income of $648 and $209 and grant costs of $596 and $472. During the six months ended June 30, 2021 and 2020, Eos recorded grant (income) expense, net of $(44) and $609, respectively, which comprised of grant income of $977 and $209 and grant costs of $933 and $818. For the three and six months ended June 30, 2020, Eos received payments of $1,376 from the CEC. The Company did not receive any payments from the CEC for the three and six months ended June 30, 2021.</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and December 31, 2020, the Company had $232 and $1,136 of deferred grant income, which were recorded in accounts payable and accrued expense on the Balance Sheets, as well as a receivable in the amount of $204 and $131, respectively. The expenses incurred by Eos relate to the performance of studies in accordance with the respective grant agreements, and the grants received or receivable from the CEC are recorded as an offset to the related expenses for which the grant is intended to compensate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2021, the reported income tax provision was nil and differs from the amount computed by applying the statutory US federal income tax rates of 21% to the income before income taxes due to pretax losses for which no tax benefit can be recognized, state and local taxes, and nondeductible expense for US income tax purposes.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2020, the reported income tax provision was nil and differs from the amount computed by applying the statutory US federal income tax rates of 21% to the income before income taxes due to pretax losses for which no tax benefit can be recognized, state and local taxes, and nondeductible expenses for US income tax purposes.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Income Taxes </w:t>
      </w:r>
      <w:r>
        <w:rPr>
          <w:rFonts w:ascii="Arial" w:cs="Arial" w:eastAsia="Arial" w:hAnsi="Arial"/>
          <w:sz w:val="18"/>
          <w:szCs w:val="18"/>
          <w:color w:val="auto"/>
        </w:rPr>
        <w:t>(cont.)</w:t>
      </w:r>
    </w:p>
    <w:p>
      <w:pPr>
        <w:spacing w:after="0" w:line="2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(benefit)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each balance sheet date, management assesses the likelihood that Eos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Eos will be able to utilize its deferred tax assets at June 30, 2021 and June 30, 2020 due to cumulative losses. Therefore, Eos has a valuation allowance against its net deferred tax assets.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2021, Eos has unrecognized tax benefits associated with uncertain tax positions that, if recognized, would not affect the effective tax rate on income from continuing operations. Eos is not currently under examination by any taxing jurisdiction, and none of the uncertain tax positions is expected to reverse within the next 12 months.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2020, Eos has not recorded any unrecognized tax benefits associated with uncertain tax positions.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six-month period ending June 30, 2021, the Company participated in the New Jersey Economic Development Authority Technology Business Tax Certificate Transfer Program and sold a portion of its available 2019 and 2017 New Jersey net operating losses (“NOLs”) and 2019 research and development credits in the amounts of $20,126 and $548, respectively. For the three and six months ended June 30, 2021, the Company has recognized a gain of $2,194 related to the sale in the statement of operations. The lifetime cap of the transfer program is $20,000 of tax-effected attributes and the Company has sold approximately $14,000 as of June 30, 2021, leaving the Company with approximately $6,000 tax-effected attributes that may be sold in the future.</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Eos files income tax returns in federal and various state jurisdictions. The open tax years for federal and state returns is generally 2016 and forward. In addition, NOLs generated in closed years and utilized in open years are subject to adjustment by the tax authorities. Eos is not currently under examination by any taxing jurisdiction.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in response to the Covid-19 pandemic. The CARES Act provided several forms of tax law changes, though Eos does not expect that any will have a material impact on the tax provision.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2020, Eos issued convertible notes payable to certain members. Refer to Note 13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Expenses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2020, accounts payable and accrued expense-related parties contained $138 consultant fee payable to an affiliate. Additionally, amounts accrued to Holtec under the Joint Venture Agreement were $— and $2,382 as of June 30, 2021 and December 31, 2020, respectively, which was paid off in connection with the acquisition of Hi-Power. For the three and six months ended June 30, 2020, $217 and $995 were charged to loss on pre-existing agreement, respectively. For the three and six months ended June 30, 2021, $22,516 and $30,368 were charged to loss on pre-existing agreement in connection with the Hi-Power acquisition, respectively. Refer to Note 2 for the acquisition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deposits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vendor deposits included a balance of $278 for deposits made to Hi-Power.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Convertible Notes Payable</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During the six months ended June 30, 2020, the Company had Convertible notes payable — related party (the “Convertible Notes”) outstanding which includes Convertible Notes issued from February 2019 to May 2019 (“Phase I Note”), 2019 Phase II notes Convertible Notes issued from June 2019 to December 31, 2019 (“2019 Phase II Notes”), and Convertible Notes issued in 2020 (“2020 Phase II Notes”). The 2020 Phase II notes with aggregate principal of $1,524 (the “Convertible Notes”) were issued during the six months ended June 30, 2020. The Convertible Notes are secured by all assets and intellectual property of the Company. AltEnergy Storage Bridge, LLC (“AltEnergy”) and its affiliates have combined beneficial ownership in the Company exceeding 10% and therefore constitute a related party of the Company, pursuant to ASC 850, </w:t>
      </w:r>
      <w:r>
        <w:rPr>
          <w:rFonts w:ascii="Arial" w:cs="Arial" w:eastAsia="Arial" w:hAnsi="Arial"/>
          <w:sz w:val="17"/>
          <w:szCs w:val="17"/>
          <w:i w:val="1"/>
          <w:iCs w:val="1"/>
          <w:color w:val="auto"/>
        </w:rPr>
        <w:t>Related Parties</w:t>
      </w:r>
      <w:r>
        <w:rPr>
          <w:rFonts w:ascii="Arial" w:cs="Arial" w:eastAsia="Arial" w:hAnsi="Arial"/>
          <w:sz w:val="17"/>
          <w:szCs w:val="17"/>
          <w:color w:val="auto"/>
        </w:rPr>
        <w:t>. As of June 30, 2020, AltEnergy owned approximately 20% of the Company’s Common and Preferred Units.</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remaining note holders do not meet the definition of a related party under ASC 850. However, the Convertible Notes were issued to each of the note holders under identical terms, and AltEnergy serves as the administrative agent of all note holders under the Convertible Note agreements. Therefore, the disclosures within Note 13 encompass all of the Convertible Notes.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 to issuance of the 2019 and 2020 Phase II Notes, the Company entered into subscription agreements to sell Preferred Units to the Holders equal to the principal balance of the 2019 and 2020 Phase II Notes at a price of $0.50 per unit. The proceeds were allocated to the 2019 and 2020 Phase II Notes and Preferred Units based on their relative fair values at the date of issuance.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2020, the Company issued 2020 Phase II Notes, concurrently with Preferred Units to certain investors for aggregate cash proceeds of $3,026.</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proceeds were allocated to the 2020 Phase II Notes and Preferred Units based on their relative fair values at the date of issuance. During the six months ended June 30, 2020, the Company recognized $469 attributable to the 2020 Phase II Preferred Units, which was recorded as a discount against the 2020 Phase II Notes. $825 of the of the 2020 Phase II Notes were issued to AltEnergy.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Conversion Features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conversion option on the Phase I Notes generated a beneficial conversion feature (BCF). A BCF arises when a debt or equity security is issued with an embedded conversion option that is in the money at inception because the conversion option has an effective strike price that is less than the fair value of the underlying equity security at the commitment date. The Company recognized this BCF by allocating the intrinsic value of the conversion option to additional paid-in capital, which resulted in a discount on the Phase I Notes. The Company amortized the discount into interest expense on the commitment date, as the conversion option is immediately exercisable.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Both the occurrence of a Qualified Financing and the exercise of the holders’ put options represent contingent events outside the Company’s control that can accelerate repayment of the Convertible Notes. Therefore, these features constitute embedded derivatives that require bifurcation pursuant to ASC 815-15, </w:t>
      </w:r>
      <w:r>
        <w:rPr>
          <w:rFonts w:ascii="Arial" w:cs="Arial" w:eastAsia="Arial" w:hAnsi="Arial"/>
          <w:sz w:val="18"/>
          <w:szCs w:val="18"/>
          <w:i w:val="1"/>
          <w:iCs w:val="1"/>
          <w:color w:val="auto"/>
        </w:rPr>
        <w:t>Embedded Derivatives</w:t>
      </w:r>
      <w:r>
        <w:rPr>
          <w:rFonts w:ascii="Arial" w:cs="Arial" w:eastAsia="Arial" w:hAnsi="Arial"/>
          <w:sz w:val="18"/>
          <w:szCs w:val="18"/>
          <w:color w:val="auto"/>
        </w:rPr>
        <w: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2020, embedded derivative liabilities with initial fair value of $199 were recognized. These amounts were recorded as discounts on the Convertible Notes. During the three and six months ended June 30, 2020, a change in fair value of embedded derivative gain of $1,358 and $843 has been recognized, respectively.</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accounted for the Convertible Notes as deeply discounted zero coupon debt instruments. The balances payable at maturity reflect liquidation multiples of 3.0 and 6.0 times the stated face value of the Phase I Note and Phase II Notes, respectively. The following balances were recognized upon issuance of the Convertible Notes during the six months ended June 30,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13. Convertible Notes Payable </w:t>
            </w:r>
            <w:r>
              <w:rPr>
                <w:rFonts w:ascii="Arial" w:cs="Arial" w:eastAsia="Arial" w:hAnsi="Arial"/>
                <w:sz w:val="18"/>
                <w:szCs w:val="18"/>
                <w:color w:val="auto"/>
              </w:rPr>
              <w:t>(cont.)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08"/>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ind w:left="760"/>
              <w:spacing w:after="0"/>
              <w:rPr>
                <w:sz w:val="20"/>
                <w:szCs w:val="20"/>
                <w:color w:val="auto"/>
              </w:rPr>
            </w:pPr>
            <w:r>
              <w:rPr>
                <w:rFonts w:ascii="Arial" w:cs="Arial" w:eastAsia="Arial" w:hAnsi="Arial"/>
                <w:sz w:val="18"/>
                <w:szCs w:val="18"/>
                <w:b w:val="1"/>
                <w:bCs w:val="1"/>
                <w:color w:val="auto"/>
              </w:rPr>
              <w:t>June 30, 2020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Phase I</w:t>
            </w:r>
          </w:p>
        </w:tc>
        <w:tc>
          <w:tcPr>
            <w:tcW w:w="28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Phase II</w:t>
            </w:r>
          </w:p>
        </w:tc>
        <w:tc>
          <w:tcPr>
            <w:tcW w:w="34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85,637</w:t>
            </w:r>
          </w:p>
        </w:tc>
        <w:tc>
          <w:tcPr>
            <w:tcW w:w="580" w:type="dxa"/>
            <w:vAlign w:val="bottom"/>
            <w:tcBorders>
              <w:top w:val="single" w:sz="8" w:color="CCEEFF"/>
            </w:tcBorders>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(50,979)</w:t>
            </w:r>
          </w:p>
        </w:tc>
        <w:tc>
          <w:tcPr>
            <w:tcW w:w="58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(discount), embedded derivative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w:t>
            </w:r>
          </w:p>
        </w:tc>
        <w:tc>
          <w:tcPr>
            <w:tcW w:w="58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580" w:type="dxa"/>
            <w:vAlign w:val="bottom"/>
            <w:shd w:val="clear" w:color="auto" w:fill="CCEEFF"/>
          </w:tcPr>
          <w:p>
            <w:pPr>
              <w:spacing w:after="0"/>
              <w:rPr>
                <w:sz w:val="19"/>
                <w:szCs w:val="19"/>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Convertible notes payable,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29,196</w:t>
            </w:r>
          </w:p>
        </w:tc>
        <w:tc>
          <w:tcPr>
            <w:tcW w:w="5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2020, the Company recognized aggregate interest expense of $3,030 and $6,745 related to the Convertible Notes, respectively.</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business combination on November 16, 2020 (the “Merger Date”), the Convertible Notes were then exchanged for the common stock of the Company per the “Conversion upon Qualified Financing” term in the convertible note agreement. 10,886,300 shares of common stock were issued to the notes holders based on the liquidation amount of $108,900 as of the Merger Date and purchase price of $10 per shares agreed upon in the agreement and plan for merger.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14. Long-term debt</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8080" w:type="dxa"/>
            <w:vAlign w:val="bottom"/>
          </w:tcPr>
          <w:p>
            <w:pPr>
              <w:ind w:left="660"/>
              <w:spacing w:after="0"/>
              <w:rPr>
                <w:sz w:val="20"/>
                <w:szCs w:val="20"/>
                <w:color w:val="auto"/>
              </w:rPr>
            </w:pPr>
            <w:r>
              <w:rPr>
                <w:rFonts w:ascii="Arial" w:cs="Arial" w:eastAsia="Arial" w:hAnsi="Arial"/>
                <w:sz w:val="18"/>
                <w:szCs w:val="18"/>
                <w:color w:val="auto"/>
              </w:rPr>
              <w:t>The following is a summary of the Company’s long-term indebtedness: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0"/>
        </w:trPr>
        <w:tc>
          <w:tcPr>
            <w:tcW w:w="8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Long-term debt,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7, 2020, the Company received $1,257 related to its filing under the Paycheck Protection Program and Coronavirus Aid, Relief,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Economic Security Act (the “CARES Act”). The payment terms of the note are as follows:</w:t>
      </w:r>
    </w:p>
    <w:p>
      <w:pPr>
        <w:spacing w:after="0" w:line="170" w:lineRule="exact"/>
        <w:rPr>
          <w:sz w:val="20"/>
          <w:szCs w:val="20"/>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payments during the deferral period, which is defined as the ten-month period beginning eight weeks after the cash from the loan was received.</w:t>
      </w:r>
    </w:p>
    <w:p>
      <w:pPr>
        <w:spacing w:after="0" w:line="143"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Commencing one month after the expiration of the deferral period, and continuing on the same day of each month thereafter until the maturity date, the Company shall pay to JPMorgan Chase Bank, N.A. (the “Lender”), monthly payments of principal and interest, each in such equal amount required to fully amortize the principal amount outstanding on the note on the last day of the deferral period by the maturity date (twenty-four months from the date of the note, or April 7, 2022). In April 2021, the deferral period was extended to July 29, 2021 and the first payment is due on August 16, 2021.</w:t>
      </w:r>
    </w:p>
    <w:p>
      <w:pPr>
        <w:spacing w:after="0" w:line="14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the maturity date, the Company shall pay the Lender any and all unpaid principal plus accrued and unpaid interest plus interest accrued during the deferral period.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prepay this note at any time without payment of any premium.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Long-term debt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Lender is participating in the Paycheck Protection Program to help businesses impacted by the economic impact from COVID-19. Forgiveness of this loan is only available for amounts used for the limited purposes specified within the Small Business Administration’s (the “SBA”) requirements. To obtain forgiveness, the Company must certify that the loan was used in accordance with the requirements and provide supporting documentation. The Company used all proceeds from the PPP Loan to retain employees, maintain payroll, lease and utility payments and other operational expenses to support business continuity throughout the COVID-19 pandemic, which amounts we believe to be eligible for forgiveness, subject to the provisions of the CARES Act. As of the date of this report, the Company has applied for forgiveness of the loan which is dependent upon approval of the SBA.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Hi-Power acquisition (Refer to Note 2 - Acquisition), the Company agreed to pay an aggregate purchase price of $25,000. $5,000 of the $25,000 purchase price was paid in May 2021. The fair value of the notes payable was estimated using active market quotes, based on our current incremental borrowing rates for similar types of borrowing arrangements, which are Level 2 inputs. Based on the analysis performed, the fair value and the carrying value of the remaining payments of the notes payable was recorded as debt, which includes a current portion of $4,825 and a long-term portion of $13,540 as of June 30,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Contingently Redeemable Preferred Units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2020, the Company had outstanding Series C, Series D, and 2019-2020 Bridge Preferred Units, which were issued at $1.10, $1.75, and $0.50 per unit, respectively. The activity attributable to the Preferred Units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Preferred Units</w:t>
            </w:r>
          </w:p>
        </w:tc>
      </w:tr>
      <w:tr>
        <w:trPr>
          <w:trHeight w:val="223"/>
        </w:trPr>
        <w:tc>
          <w:tcPr>
            <w:tcW w:w="8300" w:type="dxa"/>
            <w:vAlign w:val="bottom"/>
          </w:tcPr>
          <w:p>
            <w:pPr>
              <w:spacing w:after="0"/>
              <w:rPr>
                <w:sz w:val="19"/>
                <w:szCs w:val="19"/>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b w:val="1"/>
                <w:bCs w:val="1"/>
                <w:color w:val="auto"/>
              </w:rPr>
              <w:t>Units</w:t>
            </w:r>
          </w:p>
        </w:tc>
        <w:tc>
          <w:tcPr>
            <w:tcW w:w="26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109,365</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Contributions allocated to preferred units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109,624</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Contributions allocated to preferred units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connection with the Merger on November 16, 2020, the Preferred Units were converted to 255,523,120 EOS Energy Storage LLC (“EES”) common units. 14,727,844 shares of the Company's common stock were issued to the EES Preferred Units 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Warrants liability</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Company’s outstanding warrants were issued by BMRG in connection with its initial public offering (the “Public Warrants”) and concurrent private placement (the “Private Warrants” and, together with the Public Warrants, the “Warrants”) on May 22, 2020. Upon consummation of the Merger on November 16, 2020, the Public Warrants and Private Placement Warrants were set to become exercisable on May 22, 2021 for shares of the Company’s common stock with the same terms and exercise provisions prior to the Merger. The Private Placement Warrants meet the definition of a derivative. On the basis of the SEC Division of Corporation Finance’s April 12, 2021 Public Statement-Staff Statement on Accounting and Reporting Considerations for Warrants Issued by Special Purpose Acquisition Companies (“SPACS”), the Private Placement Warrants do not meet the scope exception as prescribed by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Accordingly, the Company recognized the Private Placement Warrants as of the Merger Date on November 16, 2020 at fair value and classified them as a liability in the Company’s consolidated balance sheet. Thereafter, changes in fair value are recognized in earnings as a derivative gain (loss) in the Company’s consolidated Statement of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Warrants liability </w:t>
      </w:r>
      <w:r>
        <w:rPr>
          <w:rFonts w:ascii="Arial" w:cs="Arial" w:eastAsia="Arial" w:hAnsi="Arial"/>
          <w:sz w:val="18"/>
          <w:szCs w:val="18"/>
          <w:color w:val="auto"/>
        </w:rPr>
        <w:t>(cont.)</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Private Placement Warrants are classified as Level 2 financial instruments in the fair value hierarchy. They are valued on the basis of the quoted price of the Public Warrants, adjusted for insignificant differences between the Public Warrants and Private Placement Warrants. 325,000 Private Placement Warrants were outstanding with a fair value of $2,340 and $2,701 as of June 30, 2021 and December 31, 2020, respectively. The change in fair value for the three and six months ended June 30, 2021 amounted to $585 and $361, respectively. The change has been recognized as a derivative income in the Company’s consolidated Statement of Operations for the three and six months ended June 30,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2012, Eos has issued stock options to employees and certain service providers under the 2012 Eos Equity Incentive Plan (“2012 Plan”). In addition to stock options, the 2012 Plan provides for the issuance of other forms of stock-based compensation, including profit interests, unit appreciation rights and restricted units. Subsequent to the closing of the Merger, the Company approved the 2020 Equity Incentive Plan (the “2020 Incentive Plan”) and reserved 6,000,000 shares of common stock for issuance thereunder. In 2021, the Company reserved additional 498,021 shares for the 2020 Incentive Plan. The 2020 Incentive Plan became effective immediately upon the Closing of the Merger and all equity granted under the 2012 Plan were converted into equivalent equity under the 2020 Incentive Plan. As of June 30, 2021 and December 31, 2020, the Company has stock options and restricted units issued under the 2020 Incentive Plan.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condensed consolidated statement of operations was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For the three months ended June 30</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For the six months ended June 30</w:t>
            </w:r>
          </w:p>
        </w:tc>
        <w:tc>
          <w:tcPr>
            <w:tcW w:w="24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r>
      <w:tr>
        <w:trPr>
          <w:trHeight w:val="223"/>
        </w:trPr>
        <w:tc>
          <w:tcPr>
            <w:tcW w:w="2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w:t>
            </w:r>
          </w:p>
        </w:tc>
      </w:tr>
      <w:tr>
        <w:trPr>
          <w:trHeight w:val="230"/>
        </w:trPr>
        <w:tc>
          <w:tcPr>
            <w:tcW w:w="2380" w:type="dxa"/>
            <w:vAlign w:val="bottom"/>
          </w:tcPr>
          <w:p>
            <w:pPr>
              <w:ind w:left="660"/>
              <w:spacing w:after="0"/>
              <w:rPr>
                <w:sz w:val="20"/>
                <w:szCs w:val="20"/>
                <w:color w:val="auto"/>
              </w:rPr>
            </w:pPr>
            <w:r>
              <w:rPr>
                <w:rFonts w:ascii="Arial" w:cs="Arial" w:eastAsia="Arial" w:hAnsi="Arial"/>
                <w:sz w:val="18"/>
                <w:szCs w:val="18"/>
                <w:color w:val="auto"/>
              </w:rPr>
              <w:t>Restricted units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9"/>
                <w:szCs w:val="19"/>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48"/>
        </w:trPr>
        <w:tc>
          <w:tcPr>
            <w:tcW w:w="2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six months ended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Weighted-Average</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5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2020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2,143,636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(6,434)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June 30, 2021</w:t>
            </w:r>
          </w:p>
        </w:tc>
        <w:tc>
          <w:tcPr>
            <w:tcW w:w="1520" w:type="dxa"/>
            <w:vAlign w:val="bottom"/>
          </w:tcPr>
          <w:p>
            <w:pPr>
              <w:jc w:val="right"/>
              <w:spacing w:after="0"/>
              <w:rPr>
                <w:sz w:val="20"/>
                <w:szCs w:val="20"/>
                <w:color w:val="auto"/>
              </w:rPr>
            </w:pPr>
            <w:r>
              <w:rPr>
                <w:rFonts w:ascii="Arial" w:cs="Arial" w:eastAsia="Arial" w:hAnsi="Arial"/>
                <w:sz w:val="18"/>
                <w:szCs w:val="18"/>
                <w:color w:val="auto"/>
              </w:rPr>
              <w:t>2,099,560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9.39</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Units (RU) activity during the six months ended June 30, 2021 under our 2020 Incentive Plan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Units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5"/>
              </w:rPr>
              <w:t>Grant-Data Fair Value</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RU Outstanding at January 1, 2021</w:t>
            </w:r>
          </w:p>
        </w:tc>
        <w:tc>
          <w:tcPr>
            <w:tcW w:w="1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42,318</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2,012,600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17.52</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RU Outstanding at June 30, 2021</w:t>
            </w:r>
          </w:p>
        </w:tc>
        <w:tc>
          <w:tcPr>
            <w:tcW w:w="1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2,054,918</w:t>
            </w:r>
          </w:p>
        </w:tc>
        <w:tc>
          <w:tcPr>
            <w:tcW w:w="480" w:type="dxa"/>
            <w:vAlign w:val="bottom"/>
            <w:tcBorders>
              <w:top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6260" w:type="dxa"/>
            <w:vAlign w:val="bottom"/>
            <w:gridSpan w:val="3"/>
          </w:tcPr>
          <w:p>
            <w:pPr>
              <w:jc w:val="right"/>
              <w:ind w:right="45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Stock-Based Compensation </w:t>
      </w:r>
      <w:r>
        <w:rPr>
          <w:rFonts w:ascii="Arial" w:cs="Arial" w:eastAsia="Arial" w:hAnsi="Arial"/>
          <w:sz w:val="18"/>
          <w:szCs w:val="18"/>
          <w:color w:val="auto"/>
        </w:rPr>
        <w:t>(cont.)</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June 30, 2021 and December 31, 2020, 2,537,090 and 4,094,770 shares remain for future issuance, respectively. Options vest generally over three to five years and have a term of five to ten years. During the six months ended June 30, 2021 and 2020, the Company granted stock options with both service and performance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the completion of project milestones, achievement of operational certifications, and the Company’s closing of financing rounds. As of June 30, 2021, within the total options outstanding, there were 74,929 performance-based stock options, all of which are expected to vest in the next five years.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unrecognized stock compensation expenses amount to $37,383 and include $32,597 attributable to RUs and $4,786 attributable to stock options. The weighted average remaining vesting period for the RUs and stock options was 2.7 years and 1.5 years as of June 30, 2021,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assumptions used to determine the fair value of options granted in the six months ended June 30, 2021 and 2020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57.31 %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50.00 %</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1.09 %</w:t>
            </w:r>
          </w:p>
        </w:tc>
        <w:tc>
          <w:tcPr>
            <w:tcW w:w="1320" w:type="dxa"/>
            <w:vAlign w:val="bottom"/>
          </w:tcPr>
          <w:p>
            <w:pPr>
              <w:jc w:val="right"/>
              <w:spacing w:after="0"/>
              <w:rPr>
                <w:sz w:val="20"/>
                <w:szCs w:val="20"/>
                <w:color w:val="auto"/>
              </w:rPr>
            </w:pPr>
            <w:r>
              <w:rPr>
                <w:rFonts w:ascii="Arial" w:cs="Arial" w:eastAsia="Arial" w:hAnsi="Arial"/>
                <w:sz w:val="18"/>
                <w:szCs w:val="18"/>
                <w:color w:val="auto"/>
              </w:rPr>
              <w:t>0.49 %</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0 %</w:t>
            </w:r>
          </w:p>
        </w:tc>
        <w:tc>
          <w:tcPr>
            <w:tcW w:w="132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RUs issued were valued at the stock prices of the Company on the grant date.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grant date fair value of all options granted was $9.08 and $2.08 per option for the six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Shareholders’ Equity</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Preferred Shares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such designations, voting and other rights and preferences as may be determined from time to time by the Company’s Board of Directors. At June 30, 2021 and December 31, 2020, there were no shares of preferred stock issued or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authorized to issue 200,000,000 shares of common stock with $0.0001 par value. Holders of the Company’s common stock are entitled to one vote for each share. At June 30, 2021 and December 31, 2020, there were 53,353,858 and 48,943,082 common stocks issued and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Issuable Common Stock</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12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January 22, 2021, the Triggering Event for the issuance of the Earnout Shares occurred as the Company's stock price exceeded $16.00 per share for 20 trading days within a consecutive 30-trading day period during the Earnout Period. Accordingly, 1,999,185 Shares were issued to the unitholders of 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18. Shareholders’ Equity </w:t>
      </w:r>
      <w:r>
        <w:rPr>
          <w:rFonts w:ascii="Arial" w:cs="Arial" w:eastAsia="Arial" w:hAnsi="Arial"/>
          <w:sz w:val="18"/>
          <w:szCs w:val="18"/>
          <w:color w:val="auto"/>
        </w:rPr>
        <w:t>(cont.)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Earnout Shares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five-year period, there are no triggering events, the Sponsor Earnout Shares will be forfeited and canceled for no consideration. If after the five-year period, only the triggering event described in clause (a) above has occurred, the remaining 859,000 Sponsor Earnout Shares described in clause (b) will be forfeited and canceled for no consideration.</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22, 2021, as the Company's stock price exceeded $16.00 per share for 20 trading days within a consecutive 30-trading day period, Block B Sponsor Earnout Shares were released from restriction.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sold warrants to purchase 9,075,000 shares of the Company's common stock in the public offering and the private placement on May 22, 2020. One warrant entitles the holder to purchase one whole share of common stock at a price of $11.50 per share. At December 31, 2020, there were 8,750,000 Public Warrants outstanding recorded as equity, which became exercisable on May 22, 2021. For the three and six months ended June 30, 2021, 1,465,414 Public Warrants were exercised. At June 30, 2021, there were 7,284,586 Public Warrants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we incurred a net loss for the three and six months ended June 30, 2021 and 2020, the potential dilutive shares from stock option, restricted units and warrants were excluded from the calculation of diluted net loss per share because their effect would have been anti-dilutive for the periods presented. Therefore, basic and diluted EPS are computed using the same number of weighted average shares for the three and six months ended June 30, 2021 and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Revision of Previously Reported Consolidated Financial Statements as of and for the year ended December 31, 2020</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12, 2021, the SEC Division of Corporation of Finance released Staff Statement on Accounting and Reporting Considerations for Warrants Issued by Special Purpose Acquisition Companies (“SPACs”) (the “Statement”). Upon review and analysis of the Statement, management determined that the Company’s Private Placement Warrants issued in connection with BMRG's IPO on May 22, 2020 (see Notes 1 and Note 15) do not meet the scope exception from derivative accounting prescribed by ASC 815-40. Accordingly, the Private Placement Warrants should have been recognized by the Company at fair value as of the November 16, 2020 Merger Date and classified as a liability, rather than equity in the Company’s previously reported consolidated balance sheet as of December 31, 2020. Thereafter, the change in fair value of the outstanding Warrants should have been recognized as a derivative gain (loss) each reporting period in the Company’s consolidated Statement of Operations. The fair value of the Private Placement Warrants as of the Merger Date on November 16, 2020 and December 31, 2020 amounted to $559 and $2,701,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Revision of Previously Reported Consolidated Financial Statements as of and for the year ended December 31, 2020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change in fair value from the Merger Date on November 16, 2020 through December 31, 2020 amounted to $2,142 and has been recognized as a derivative loss in the Company’s consolidated Statement of Operations for the year ended December 31, 2020. Management concluded the effect of this error is not quantitatively or qualitatively material on the Company’s previously reported consolidated financial statements as of and for the year ended December 31, 2020. However, the Company has elected to correct the impact of this immaterial error in the accompanying Condensed Consolidated Balance Sheet as of December 31, 2020 and Condensed Consolidated Statement of Shareholders’ Equity for the six months ended June 30, 2021 by increasing previously reported Accumulated Deficit and decreasing Additional Paid-In Capital by $2,142 and $559, respectively and increasing Warrants liability by $2,701 as of December 31, 2020.</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correction noted above, the Company identified and has elected to correct certain other errors that originated in 2020 which management has concluded are not quantitatively or qualitatively material to the Company’s previously reported consolidated financial statements as of and for the year ended December 31, 2020. The nature of these other errors pertains to immaterial reconciling adjustments in certain of the Company’s accounts payable and financing account balances as of December 31, 2020. Accordingly, the accompanying Condensed Consolidated Balance Sheet as of December 31, 2020 and Condensed Consolidated Statement of Shareholders’ Equity for the six months ended June 30, 2021 have been revised to give effect to the correction of these other errors by decreasing previously reported Accounts payable and accrued expenses by $390, reclassifying $147 from Long Term Debt, Current Portion, to Long Term Debt, decreasing Contingently Issuable Common Stock by $344, increasing Additional Paid-In Capital by $137, and decreasing Accumulated Deficit by $597 as of December 31, 2020.</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reflect the impact of the correction of all the above errors on the Company’s previously reported consolidated financial statements as of and for the year ended December 31, 2020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gridSpan w:val="4"/>
            <w:shd w:val="clear" w:color="auto" w:fill="CCEEFF"/>
          </w:tcPr>
          <w:p>
            <w:pPr>
              <w:ind w:left="760"/>
              <w:spacing w:after="0"/>
              <w:rPr>
                <w:sz w:val="20"/>
                <w:szCs w:val="20"/>
                <w:color w:val="auto"/>
              </w:rPr>
            </w:pPr>
            <w:r>
              <w:rPr>
                <w:rFonts w:ascii="Arial" w:cs="Arial" w:eastAsia="Arial" w:hAnsi="Arial"/>
                <w:sz w:val="18"/>
                <w:szCs w:val="18"/>
                <w:b w:val="1"/>
                <w:bCs w:val="1"/>
                <w:color w:val="auto"/>
                <w:w w:val="98"/>
              </w:rPr>
              <w:t>As of December 31, 2020</w:t>
            </w:r>
          </w:p>
        </w:tc>
        <w:tc>
          <w:tcPr>
            <w:tcW w:w="1440" w:type="dxa"/>
            <w:vAlign w:val="bottom"/>
            <w:tcBorders>
              <w:bottom w:val="single" w:sz="8" w:color="auto"/>
            </w:tcBorders>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40" w:type="dxa"/>
            <w:vAlign w:val="bottom"/>
            <w:gridSpan w:val="2"/>
          </w:tcPr>
          <w:p>
            <w:pPr>
              <w:ind w:left="640"/>
              <w:spacing w:after="0" w:line="169" w:lineRule="exact"/>
              <w:rPr>
                <w:sz w:val="20"/>
                <w:szCs w:val="20"/>
                <w:color w:val="auto"/>
              </w:rPr>
            </w:pPr>
            <w:r>
              <w:rPr>
                <w:rFonts w:ascii="Arial" w:cs="Arial" w:eastAsia="Arial" w:hAnsi="Arial"/>
                <w:sz w:val="18"/>
                <w:szCs w:val="18"/>
                <w:b w:val="1"/>
                <w:bCs w:val="1"/>
                <w:color w:val="auto"/>
              </w:rPr>
              <w:t>As</w:t>
            </w:r>
          </w:p>
        </w:tc>
        <w:tc>
          <w:tcPr>
            <w:tcW w:w="14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Warrants</w:t>
            </w:r>
          </w:p>
        </w:tc>
        <w:tc>
          <w:tcPr>
            <w:tcW w:w="1400" w:type="dxa"/>
            <w:vAlign w:val="bottom"/>
            <w:gridSpan w:val="2"/>
          </w:tcPr>
          <w:p>
            <w:pPr>
              <w:ind w:left="580"/>
              <w:spacing w:after="0" w:line="169" w:lineRule="exact"/>
              <w:rPr>
                <w:sz w:val="20"/>
                <w:szCs w:val="20"/>
                <w:color w:val="auto"/>
              </w:rPr>
            </w:pPr>
            <w:r>
              <w:rPr>
                <w:rFonts w:ascii="Arial" w:cs="Arial" w:eastAsia="Arial" w:hAnsi="Arial"/>
                <w:sz w:val="18"/>
                <w:szCs w:val="18"/>
                <w:b w:val="1"/>
                <w:bCs w:val="1"/>
                <w:color w:val="auto"/>
              </w:rPr>
              <w:t>Other</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Originally</w:t>
            </w:r>
          </w:p>
        </w:tc>
        <w:tc>
          <w:tcPr>
            <w:tcW w:w="148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5"/>
              </w:rPr>
              <w:t>Immaterial</w:t>
            </w:r>
          </w:p>
        </w:tc>
        <w:tc>
          <w:tcPr>
            <w:tcW w:w="196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adjustments</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adjustments</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Consolidated Balance Sheet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Long term debt, current portion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Long term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Long 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Warrants liability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2,701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long term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17,479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48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Contingently Issuable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Additional paid in capital</w:t>
            </w:r>
          </w:p>
        </w:tc>
        <w:tc>
          <w:tcPr>
            <w:tcW w:w="1140" w:type="dxa"/>
            <w:vAlign w:val="bottom"/>
          </w:tcPr>
          <w:p>
            <w:pPr>
              <w:jc w:val="right"/>
              <w:spacing w:after="0"/>
              <w:rPr>
                <w:sz w:val="20"/>
                <w:szCs w:val="20"/>
                <w:color w:val="auto"/>
              </w:rPr>
            </w:pPr>
            <w:r>
              <w:rPr>
                <w:rFonts w:ascii="Arial" w:cs="Arial" w:eastAsia="Arial" w:hAnsi="Arial"/>
                <w:sz w:val="18"/>
                <w:szCs w:val="18"/>
                <w:color w:val="auto"/>
              </w:rPr>
              <w:t>395,913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395,491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82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w w:val="92"/>
              </w:rPr>
              <w:t>Total liabilities, contingently redeemable preferred units,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10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and shareholders’ equity</w:t>
            </w: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Revision of Previously Reported Consolidated Financial Statements as of and for the year ended December 31, 2020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7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w w:val="93"/>
              </w:rPr>
              <w:t>For the six months ended June 30, 2021</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As Originally</w:t>
            </w:r>
          </w:p>
        </w:tc>
        <w:tc>
          <w:tcPr>
            <w:tcW w:w="156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Warrants</w:t>
            </w:r>
          </w:p>
        </w:tc>
        <w:tc>
          <w:tcPr>
            <w:tcW w:w="1800" w:type="dxa"/>
            <w:vAlign w:val="bottom"/>
            <w:gridSpan w:val="3"/>
          </w:tcPr>
          <w:p>
            <w:pPr>
              <w:ind w:left="640"/>
              <w:spacing w:after="0" w:line="169" w:lineRule="exact"/>
              <w:rPr>
                <w:sz w:val="20"/>
                <w:szCs w:val="20"/>
                <w:color w:val="auto"/>
              </w:rPr>
            </w:pPr>
            <w:r>
              <w:rPr>
                <w:rFonts w:ascii="Arial" w:cs="Arial" w:eastAsia="Arial" w:hAnsi="Arial"/>
                <w:sz w:val="18"/>
                <w:szCs w:val="18"/>
                <w:b w:val="1"/>
                <w:bCs w:val="1"/>
                <w:color w:val="auto"/>
              </w:rPr>
              <w:t>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00" w:type="dxa"/>
            <w:vAlign w:val="bottom"/>
            <w:gridSpan w:val="3"/>
          </w:tcPr>
          <w:p>
            <w:pPr>
              <w:jc w:val="center"/>
              <w:ind w:right="360"/>
              <w:spacing w:after="0" w:line="176" w:lineRule="exact"/>
              <w:rPr>
                <w:sz w:val="20"/>
                <w:szCs w:val="20"/>
                <w:color w:val="auto"/>
              </w:rPr>
            </w:pPr>
            <w:r>
              <w:rPr>
                <w:rFonts w:ascii="Arial" w:cs="Arial" w:eastAsia="Arial" w:hAnsi="Arial"/>
                <w:sz w:val="18"/>
                <w:szCs w:val="18"/>
                <w:b w:val="1"/>
                <w:bCs w:val="1"/>
                <w:color w:val="auto"/>
                <w:w w:val="97"/>
              </w:rPr>
              <w:t>Immaterial</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b w:val="1"/>
                <w:bCs w:val="1"/>
                <w:color w:val="auto"/>
              </w:rPr>
              <w:t>Reported</w:t>
            </w:r>
          </w:p>
        </w:tc>
        <w:tc>
          <w:tcPr>
            <w:tcW w:w="156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adjustments</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CCEEFF"/>
            </w:tcBorders>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w w:val="94"/>
              </w:rPr>
              <w:t>Condensed Consolidated Statements of Shareholders'</w:t>
            </w: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(Deficit)</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40"/>
              <w:spacing w:after="0"/>
              <w:rPr>
                <w:sz w:val="20"/>
                <w:szCs w:val="20"/>
                <w:color w:val="auto"/>
              </w:rPr>
            </w:pPr>
            <w:r>
              <w:rPr>
                <w:rFonts w:ascii="Arial" w:cs="Arial" w:eastAsia="Arial" w:hAnsi="Arial"/>
                <w:sz w:val="18"/>
                <w:szCs w:val="18"/>
                <w:color w:val="auto"/>
              </w:rPr>
              <w:t>Balance, December 31, 2020</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Additional Paid in Capital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6"/>
              </w:rPr>
              <w:t>137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395,491</w:t>
            </w: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17,944</w:t>
            </w:r>
          </w:p>
        </w:tc>
        <w:tc>
          <w:tcPr>
            <w:tcW w:w="100" w:type="dxa"/>
            <w:vAlign w:val="bottom"/>
          </w:tcPr>
          <w:p>
            <w:pPr>
              <w:spacing w:after="0"/>
              <w:rPr>
                <w:sz w:val="19"/>
                <w:szCs w:val="19"/>
                <w:color w:val="auto"/>
              </w:rPr>
            </w:pPr>
          </w:p>
        </w:tc>
        <w:tc>
          <w:tcPr>
            <w:tcW w:w="15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left="890"/>
              <w:spacing w:after="0"/>
              <w:rPr>
                <w:sz w:val="20"/>
                <w:szCs w:val="20"/>
                <w:color w:val="auto"/>
              </w:rPr>
            </w:pPr>
            <w:r>
              <w:rPr>
                <w:rFonts w:ascii="Arial" w:cs="Arial" w:eastAsia="Arial" w:hAnsi="Arial"/>
                <w:sz w:val="18"/>
                <w:szCs w:val="18"/>
                <w:color w:val="auto"/>
                <w:w w:val="90"/>
              </w:rPr>
              <w:t>(344)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6"/>
              </w:rPr>
              <w:t>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0" w:type="dxa"/>
            <w:vAlign w:val="bottom"/>
          </w:tcPr>
          <w:p>
            <w:pPr>
              <w:spacing w:after="0"/>
              <w:rPr>
                <w:sz w:val="1"/>
                <w:szCs w:val="1"/>
                <w:color w:val="auto"/>
              </w:rPr>
            </w:pPr>
          </w:p>
        </w:tc>
      </w:tr>
      <w:tr>
        <w:trPr>
          <w:trHeight w:val="230"/>
        </w:trPr>
        <w:tc>
          <w:tcPr>
            <w:tcW w:w="4740" w:type="dxa"/>
            <w:vAlign w:val="bottom"/>
          </w:tcPr>
          <w:p>
            <w:pPr>
              <w:ind w:left="56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color w:val="auto"/>
              </w:rPr>
              <w:t>123,096</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20"/>
                <w:szCs w:val="20"/>
                <w:color w:val="auto"/>
              </w:rPr>
            </w:pPr>
          </w:p>
        </w:tc>
        <w:tc>
          <w:tcPr>
            <w:tcW w:w="1440" w:type="dxa"/>
            <w:vAlign w:val="bottom"/>
          </w:tcPr>
          <w:p>
            <w:pPr>
              <w:jc w:val="center"/>
              <w:ind w:left="930"/>
              <w:spacing w:after="0"/>
              <w:rPr>
                <w:sz w:val="20"/>
                <w:szCs w:val="20"/>
                <w:color w:val="auto"/>
              </w:rPr>
            </w:pPr>
            <w:r>
              <w:rPr>
                <w:rFonts w:ascii="Arial" w:cs="Arial" w:eastAsia="Arial" w:hAnsi="Arial"/>
                <w:sz w:val="18"/>
                <w:szCs w:val="18"/>
                <w:color w:val="auto"/>
                <w:w w:val="86"/>
              </w:rPr>
              <w:t>390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6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w w:val="92"/>
              </w:rPr>
              <w:t>For the year ended December 31, 2020</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Originally</w:t>
            </w:r>
          </w:p>
        </w:tc>
        <w:tc>
          <w:tcPr>
            <w:tcW w:w="52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Warrants</w:t>
            </w:r>
          </w:p>
        </w:tc>
        <w:tc>
          <w:tcPr>
            <w:tcW w:w="600" w:type="dxa"/>
            <w:vAlign w:val="bottom"/>
          </w:tcPr>
          <w:p>
            <w:pPr>
              <w:spacing w:after="0"/>
              <w:rPr>
                <w:sz w:val="14"/>
                <w:szCs w:val="14"/>
                <w:color w:val="auto"/>
              </w:rPr>
            </w:pPr>
          </w:p>
        </w:tc>
        <w:tc>
          <w:tcPr>
            <w:tcW w:w="110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700" w:type="dxa"/>
            <w:vAlign w:val="bottom"/>
            <w:gridSpan w:val="3"/>
          </w:tcPr>
          <w:p>
            <w:pPr>
              <w:ind w:left="380"/>
              <w:spacing w:after="0" w:line="176" w:lineRule="exact"/>
              <w:rPr>
                <w:sz w:val="20"/>
                <w:szCs w:val="20"/>
                <w:color w:val="auto"/>
              </w:rPr>
            </w:pPr>
            <w:r>
              <w:rPr>
                <w:rFonts w:ascii="Arial" w:cs="Arial" w:eastAsia="Arial" w:hAnsi="Arial"/>
                <w:sz w:val="18"/>
                <w:szCs w:val="18"/>
                <w:b w:val="1"/>
                <w:bCs w:val="1"/>
                <w:color w:val="auto"/>
              </w:rPr>
              <w:t>Immaterial</w:t>
            </w:r>
          </w:p>
        </w:tc>
        <w:tc>
          <w:tcPr>
            <w:tcW w:w="52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As Revised</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Reported</w:t>
            </w:r>
          </w:p>
        </w:tc>
        <w:tc>
          <w:tcPr>
            <w:tcW w:w="1740" w:type="dxa"/>
            <w:vAlign w:val="bottom"/>
            <w:gridSpan w:val="3"/>
          </w:tcPr>
          <w:p>
            <w:pPr>
              <w:ind w:left="340"/>
              <w:spacing w:after="0"/>
              <w:rPr>
                <w:sz w:val="20"/>
                <w:szCs w:val="20"/>
                <w:color w:val="auto"/>
              </w:rPr>
            </w:pPr>
            <w:r>
              <w:rPr>
                <w:rFonts w:ascii="Arial" w:cs="Arial" w:eastAsia="Arial" w:hAnsi="Arial"/>
                <w:sz w:val="18"/>
                <w:szCs w:val="18"/>
                <w:b w:val="1"/>
                <w:bCs w:val="1"/>
                <w:color w:val="auto"/>
              </w:rPr>
              <w:t>adjustments</w:t>
            </w:r>
          </w:p>
        </w:tc>
        <w:tc>
          <w:tcPr>
            <w:tcW w:w="1700" w:type="dxa"/>
            <w:vAlign w:val="bottom"/>
            <w:gridSpan w:val="3"/>
          </w:tcPr>
          <w:p>
            <w:pPr>
              <w:ind w:left="340"/>
              <w:spacing w:after="0"/>
              <w:rPr>
                <w:sz w:val="20"/>
                <w:szCs w:val="20"/>
                <w:color w:val="auto"/>
              </w:rPr>
            </w:pPr>
            <w:r>
              <w:rPr>
                <w:rFonts w:ascii="Arial" w:cs="Arial" w:eastAsia="Arial" w:hAnsi="Arial"/>
                <w:sz w:val="18"/>
                <w:szCs w:val="18"/>
                <w:b w:val="1"/>
                <w:bCs w:val="1"/>
                <w:color w:val="auto"/>
              </w:rPr>
              <w:t>adjustments</w:t>
            </w:r>
          </w:p>
        </w:tc>
        <w:tc>
          <w:tcPr>
            <w:tcW w:w="5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Consolidated Statement of Operations</w:t>
            </w: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30"/>
        </w:trPr>
        <w:tc>
          <w:tcPr>
            <w:tcW w:w="3680" w:type="dxa"/>
            <w:vAlign w:val="bottom"/>
          </w:tcPr>
          <w:p>
            <w:pPr>
              <w:ind w:left="760"/>
              <w:spacing w:after="0"/>
              <w:rPr>
                <w:sz w:val="20"/>
                <w:szCs w:val="20"/>
                <w:color w:val="auto"/>
              </w:rPr>
            </w:pPr>
            <w:r>
              <w:rPr>
                <w:rFonts w:ascii="Arial" w:cs="Arial" w:eastAsia="Arial" w:hAnsi="Arial"/>
                <w:sz w:val="18"/>
                <w:szCs w:val="18"/>
                <w:b w:val="1"/>
                <w:bCs w:val="1"/>
                <w:color w:val="auto"/>
              </w:rPr>
              <w:t>Total costs and expenses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0" w:type="dxa"/>
            <w:vAlign w:val="bottom"/>
          </w:tcPr>
          <w:p>
            <w:pPr>
              <w:spacing w:after="0"/>
              <w:rPr>
                <w:sz w:val="1"/>
                <w:szCs w:val="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Change in fair value, Sponsor Earnout</w:t>
            </w: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4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560"/>
              <w:spacing w:after="0"/>
              <w:rPr>
                <w:sz w:val="20"/>
                <w:szCs w:val="20"/>
                <w:color w:val="auto"/>
              </w:rPr>
            </w:pPr>
            <w:r>
              <w:rPr>
                <w:rFonts w:ascii="Arial" w:cs="Arial" w:eastAsia="Arial" w:hAnsi="Arial"/>
                <w:sz w:val="18"/>
                <w:szCs w:val="18"/>
                <w:color w:val="auto"/>
              </w:rPr>
              <w:t>Change in fair value, warrants liability</w:t>
            </w:r>
          </w:p>
        </w:tc>
        <w:tc>
          <w:tcPr>
            <w:tcW w:w="4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340"/>
              <w:spacing w:after="0" w:line="163" w:lineRule="exact"/>
              <w:rPr>
                <w:sz w:val="20"/>
                <w:szCs w:val="20"/>
                <w:color w:val="auto"/>
              </w:rPr>
            </w:pPr>
            <w:r>
              <w:rPr>
                <w:rFonts w:ascii="Arial" w:cs="Arial" w:eastAsia="Arial" w:hAnsi="Arial"/>
                <w:sz w:val="18"/>
                <w:szCs w:val="18"/>
                <w:b w:val="1"/>
                <w:bCs w:val="1"/>
                <w:color w:val="auto"/>
              </w:rPr>
              <w:t>Basic and diluted loss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attributable to common shareholders</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3680" w:type="dxa"/>
            <w:vAlign w:val="bottom"/>
          </w:tcPr>
          <w:p>
            <w:pPr>
              <w:ind w:left="56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Revision of Previously Reported Consolidated Financial Statements as of and for the year ended December 31, 2020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w w:val="92"/>
              </w:rPr>
              <w:t>For the year ended December 31, 2020</w:t>
            </w: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520" w:type="dxa"/>
            <w:vAlign w:val="bottom"/>
            <w:gridSpan w:val="3"/>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As Originally</w:t>
            </w:r>
          </w:p>
        </w:tc>
        <w:tc>
          <w:tcPr>
            <w:tcW w:w="20" w:type="dxa"/>
            <w:vAlign w:val="bottom"/>
          </w:tcPr>
          <w:p>
            <w:pPr>
              <w:spacing w:after="0"/>
              <w:rPr>
                <w:sz w:val="14"/>
                <w:szCs w:val="14"/>
                <w:color w:val="auto"/>
              </w:rPr>
            </w:pPr>
          </w:p>
        </w:tc>
        <w:tc>
          <w:tcPr>
            <w:tcW w:w="1540" w:type="dxa"/>
            <w:vAlign w:val="bottom"/>
            <w:gridSpan w:val="3"/>
          </w:tcPr>
          <w:p>
            <w:pPr>
              <w:jc w:val="center"/>
              <w:ind w:right="160"/>
              <w:spacing w:after="0" w:line="169" w:lineRule="exact"/>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5"/>
              </w:rPr>
              <w:t>Other Immaterial</w:t>
            </w:r>
          </w:p>
        </w:tc>
        <w:tc>
          <w:tcPr>
            <w:tcW w:w="20" w:type="dxa"/>
            <w:vAlign w:val="bottom"/>
          </w:tcPr>
          <w:p>
            <w:pPr>
              <w:spacing w:after="0"/>
              <w:rPr>
                <w:sz w:val="14"/>
                <w:szCs w:val="1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9"/>
                <w:szCs w:val="19"/>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Shareholders' Equity (Deficit)</w:t>
            </w: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125,680</w:t>
            </w: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395,491</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17,944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(17,944)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(290,766)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(292,311)</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Shareholders' Equity (Deficit)</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125,682</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w w:val="92"/>
              </w:rPr>
              <w:t>For the year ended December 31, 2020</w:t>
            </w: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52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3"/>
              </w:rPr>
              <w:t>As Originally</w:t>
            </w:r>
          </w:p>
        </w:tc>
        <w:tc>
          <w:tcPr>
            <w:tcW w:w="20" w:type="dxa"/>
            <w:vAlign w:val="bottom"/>
          </w:tcPr>
          <w:p>
            <w:pPr>
              <w:spacing w:after="0"/>
              <w:rPr>
                <w:sz w:val="15"/>
                <w:szCs w:val="15"/>
                <w:color w:val="auto"/>
              </w:rPr>
            </w:pPr>
          </w:p>
        </w:tc>
        <w:tc>
          <w:tcPr>
            <w:tcW w:w="1540" w:type="dxa"/>
            <w:vAlign w:val="bottom"/>
            <w:gridSpan w:val="3"/>
          </w:tcPr>
          <w:p>
            <w:pPr>
              <w:jc w:val="center"/>
              <w:ind w:right="120"/>
              <w:spacing w:after="0" w:line="183" w:lineRule="exact"/>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5"/>
                <w:szCs w:val="15"/>
                <w:color w:val="auto"/>
              </w:rPr>
            </w:pPr>
          </w:p>
        </w:tc>
        <w:tc>
          <w:tcPr>
            <w:tcW w:w="150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7"/>
              </w:rPr>
              <w:t>Other Immaterial</w:t>
            </w:r>
          </w:p>
        </w:tc>
        <w:tc>
          <w:tcPr>
            <w:tcW w:w="20" w:type="dxa"/>
            <w:vAlign w:val="bottom"/>
          </w:tcPr>
          <w:p>
            <w:pPr>
              <w:spacing w:after="0"/>
              <w:rPr>
                <w:sz w:val="15"/>
                <w:szCs w:val="15"/>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8"/>
                <w:szCs w:val="18"/>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adjustments</w:t>
            </w:r>
          </w:p>
        </w:tc>
        <w:tc>
          <w:tcPr>
            <w:tcW w:w="2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adjustments</w:t>
            </w:r>
          </w:p>
        </w:tc>
        <w:tc>
          <w:tcPr>
            <w:tcW w:w="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176"/>
        </w:trPr>
        <w:tc>
          <w:tcPr>
            <w:tcW w:w="5200" w:type="dxa"/>
            <w:vAlign w:val="bottom"/>
          </w:tcPr>
          <w:p>
            <w:pPr>
              <w:ind w:left="240"/>
              <w:spacing w:after="0" w:line="176" w:lineRule="exact"/>
              <w:rPr>
                <w:sz w:val="20"/>
                <w:szCs w:val="20"/>
                <w:color w:val="auto"/>
              </w:rPr>
            </w:pPr>
            <w:r>
              <w:rPr>
                <w:rFonts w:ascii="Arial" w:cs="Arial" w:eastAsia="Arial" w:hAnsi="Arial"/>
                <w:sz w:val="18"/>
                <w:szCs w:val="18"/>
                <w:color w:val="auto"/>
              </w:rPr>
              <w:t>Adjustment to reconcile net loss to net cash used in operating</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activities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fair value, Sponsor Earnout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30"/>
        </w:trPr>
        <w:tc>
          <w:tcPr>
            <w:tcW w:w="5200" w:type="dxa"/>
            <w:vAlign w:val="bottom"/>
          </w:tcPr>
          <w:p>
            <w:pPr>
              <w:ind w:left="460"/>
              <w:spacing w:after="0"/>
              <w:rPr>
                <w:sz w:val="20"/>
                <w:szCs w:val="20"/>
                <w:color w:val="auto"/>
              </w:rPr>
            </w:pPr>
            <w:r>
              <w:rPr>
                <w:rFonts w:ascii="Arial" w:cs="Arial" w:eastAsia="Arial" w:hAnsi="Arial"/>
                <w:sz w:val="18"/>
                <w:szCs w:val="18"/>
                <w:color w:val="auto"/>
              </w:rPr>
              <w:t>Change in fair value, warrants liability</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1"/>
        </w:trPr>
        <w:tc>
          <w:tcPr>
            <w:tcW w:w="5200" w:type="dxa"/>
            <w:vAlign w:val="bottom"/>
          </w:tcPr>
          <w:p>
            <w:pPr>
              <w:spacing w:after="0"/>
              <w:rPr>
                <w:sz w:val="24"/>
                <w:szCs w:val="24"/>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CONSOLIDATED CONDENSED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July 6, 2021, the Company entered into an investment agreement with Spring Creek Capital, LLC, a subsidiary of Koch Industries, Inc. (“Koch”) relating to the issuance and sale to Koch of $100,000 in aggregate principal amount of the Company’s 5%/6% Convertible Senior PIK Toggle Notes due 2026 (the “Notes”). The transactions contemplated by the investment agreement closed on July 7, 2021 with the $100,000 fully funded.</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Notes will bear interest at a rate of 5.00% per annum if interest is paid in cash, or, if interest is paid by issuing additional notes, at a rate of 6.00% per annum. Interest on the Notes is payable semi-annually in arrears on June 30 and December 30, commencing on December 30, 2021. It is expected that the Notes will mature on June 30, 2026, subject to earlier conversion, redemption or repurchase.</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are convertible at the option of the holder at any time until the business day prior to the maturity date, including in connection with a redemption by the Company. The Notes will be convertible into shares of the Company’s common stock, par value $0.0001 per share, based on an initial conversion rate of 49.9910 shares of the Company’s common stock per $1 principal amount of the Notes, in each case subject to customary anti-dilution and other adjustments.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or after June 30, 2024, the Notes will be redeemable by the Company in the event that the closing sale price of the Company’s common stock has been at least 130% of the conversion price then in effect for at least 20 trading days during any 30 consecutive trading day period ending on, and including, the trading day immediately preceding the date on which the Company provides the redemption notice at a redemption price of 100% of the principal amount of such Notes, plus accrued and unpaid interest.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certain exceptions, upon the occurrence of certain fundamental changes described in the form of indenture, the holders of the Notes may require that the Company repurchase all or part of the principal amount of the Notes at a purchase price of 100% of the principal amount of such Notes, plus accrued and unpaid interest.</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 Riley Securities, Inc, an affiliate of B. Riley Financial Inc. was engaged by the Company to act as the placement agent for this transaction. B. Riley Financial Inc. and its affiliates have combined beneficial ownership in the Company exceeding 10% and therefore constitute a related party of the Company, pursuant to </w:t>
      </w:r>
      <w:r>
        <w:rPr>
          <w:rFonts w:ascii="Arial" w:cs="Arial" w:eastAsia="Arial" w:hAnsi="Arial"/>
          <w:sz w:val="18"/>
          <w:szCs w:val="18"/>
          <w:i w:val="1"/>
          <w:iCs w:val="1"/>
          <w:color w:val="auto"/>
        </w:rPr>
        <w:t>ASC 850, Related Parties</w:t>
      </w:r>
      <w:r>
        <w:rPr>
          <w:rFonts w:ascii="Arial" w:cs="Arial" w:eastAsia="Arial" w:hAnsi="Arial"/>
          <w:sz w:val="18"/>
          <w:szCs w:val="18"/>
          <w:color w:val="auto"/>
        </w:rPr>
        <w:t>. The engagement of B Riley was approved in accordance with the Company's related person transaction policy as described in its most recent proxy statement for its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financial statements included elsewhere in this report and our annual report on Form 10-K for the year ended December 31, 2020, including the financial statements and notes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Information May Prove Inaccurate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report contains statements about the future, sometimes referred to as “forward-looking” statements. Forward-looking statements are typically identified by the use of the words “believe,” “may,” “could,” “should,” “expect,” “anticipate,” “estimate,” “project,” “propose,” “plan,” “intend,” and similar words and expressions. Statements that describe our future strategic plans, goals, or objectives are also forward-looking statements.</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Readers of this report are cautioned that any forward-looking statements, including those regarding our management’s current beliefs, expectations, anticipations, estimations, projections, proposals, plans, or intentions, are not guarantees of future performance or results of events and involve risks and uncertainties. The forward-looking information is based on present circumstances and on our predictions respecting events that have not occurred, that may not occur, or that may occur with different consequences from those now assumed or anticipated. Actual events or results may differ materially from those discussed in the forward-looking statements as a result of various factors. See also the “Risk Factors” disclosures</w:t>
      </w:r>
    </w:p>
    <w:p>
      <w:pPr>
        <w:spacing w:after="0" w:line="2" w:lineRule="exact"/>
        <w:rPr>
          <w:sz w:val="20"/>
          <w:szCs w:val="20"/>
          <w:color w:val="auto"/>
        </w:rPr>
      </w:pPr>
    </w:p>
    <w:p>
      <w:pPr>
        <w:ind w:right="2140"/>
        <w:spacing w:after="0" w:line="281" w:lineRule="auto"/>
        <w:rPr>
          <w:sz w:val="20"/>
          <w:szCs w:val="20"/>
          <w:color w:val="auto"/>
        </w:rPr>
      </w:pPr>
      <w:r>
        <w:rPr>
          <w:rFonts w:ascii="Arial" w:cs="Arial" w:eastAsia="Arial" w:hAnsi="Arial"/>
          <w:sz w:val="16"/>
          <w:szCs w:val="16"/>
          <w:i w:val="1"/>
          <w:iCs w:val="1"/>
          <w:color w:val="auto"/>
        </w:rPr>
        <w:t>contained in our annual report on Form 10-K for the year ended December 31, 2020 for additional discussion of the risks and uncertainties that could cause our actual results to differ materially from those expressed or implied in our forward-looking</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statements. The forward-looking statements included in this report are made only as of the date of this report. We are not obligated to update such forward-looking statements to reflect subsequent events or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design, manufacture, and deploy reliable, sustainable, safe and scalable low-cost battery storage solutions for the electric utility industry.</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was originally incorporated in Delaware on June 3, 2019 as a special purpose acquisition company under the name B. Riley Principal Merger Corp. II. (“BMRG”), in order to acquire, through a merger, capital stock exchange, asset acquisition, stock purchase, reorganization or similar business combination one or more businesses.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November 16, 2020 (the “Merger Date”), the Company consummated the transactions (the “Merger”) contemplated by an Agreement and Plan of Merger (the “Merger Agreement”), dated as of September 7, 2020, by and among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 Pursuant to the Merger Agreement,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of the business combination (the “Closing”), the Company changed its name to “Eos Energy Enterprises, Inc.”</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business combination is accounted for as a reverse recapitalization. EES is deemed the accounting predecessor and the combined entity is the successor SEC registrant, meaning that EES' financial statements for previous periods are disclosed in the registrant’s future periodic reports filed with the SEC. Under this method of accounting, BMRG is treated as the acquired company for financial statement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April 8, 2021, the Company entered into a unit purchase agreement (the “Purchase Agreement”) with Holtec. In accordance with the terms and conditions of the Purchase Agreement, on April 9, 2021, the closing date of the transactions (as defined below), the Company acquired from Holtec the entire 51% interest in Hi-Power that was not already owned by the Company.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1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the strategic acquisition of Hi-Power will increase our ability to effectively align manufacturing capacity with customer demands while maintaining our focus on human power, inventory management, production yields, quality, and cost. Further, we believe the acquisition will also opportunistically allow us to increase our manufacturing capacity in line with new product introduction and future growth expectations.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continue to ramp up to full commercial production of our Eos Gen 2.3 120|500 DC Battery System. Our testing of Gen 2.3 batteries produced in limited quantities has indicated performance at expected levels pending movement into commercial production and delivery. While we expect the performance to be the same as we further scale commercial production, the manufacturing line for this battery system continues to be tested. If performance of the battery system does not meet our specifications, we may need to reduce the speed of production to ensure we have quality batteries that meet our performance specifications. Any delay in production could affect the delivery of batteries to our customers.</w:t>
      </w:r>
    </w:p>
    <w:p>
      <w:pPr>
        <w:spacing w:after="0" w:line="10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We have achieved third party system certifications from Underwriter Laboratories (UL) for the Eos Gen 2.3 DC Battery System as of the date of this report. We continue to work with UL to finalize our manufacturing site certification.</w:t>
      </w:r>
    </w:p>
    <w:p>
      <w:pPr>
        <w:spacing w:after="0" w:line="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 As we intend to expand our sales both in volume and geography, we have started discussions with several companies in North America, Europe, the Middle East, Australia, and Asia about partnering on selling our product in these regions. For some of these potential partners, we have begun discussions ranging from being a reseller of our product to being a joint venture partner in the manufacturing of our battery systems. We expect to continue expanding the direct sales force in North America, adding direct salespeople outside North America, and entering into strategic alliances to advance our sales growth globally.</w:t>
      </w:r>
    </w:p>
    <w:p>
      <w:pPr>
        <w:spacing w:after="0" w:line="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are currently experiencing delays in our commercialization roll out because of delays in final UL certification (received on August 10, 2021), industry delays in connection with permitting procedures as well as establishing grid connections. These delays may continue to impact the timing of our deliveries and therefor our results of operations.</w:t>
      </w:r>
    </w:p>
    <w:p>
      <w:pPr>
        <w:spacing w:after="0" w:line="11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continue to invest in production quality and manufacturing yield as we continue to scale our manufacturing abilities to meet current backlog demand. We expect overall cost reductions, as well as improved and consistent quality to be driven by 1) training and experience in aligning our engineering and manufacturing processes; 2) improvement in downtime and equipment maintenance; and 3) finalization of our material sourcing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of Alliance Partners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in the future seek to construct one or more manufacturing facilities, thereby expanding our manufacturing footprint to meet customer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demand.</w:t>
      </w:r>
    </w:p>
    <w:p>
      <w:pPr>
        <w:spacing w:after="0" w:line="1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sales outside of North America, we may partner with other companies to manufacture our products. The construction of any such facility would require significant capital expenditures and result in significantly increased fixed costs.</w:t>
      </w:r>
    </w:p>
    <w:p>
      <w:pPr>
        <w:spacing w:after="0" w:line="1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commission battery storage systems and offer operation and maintenance services throughout the life of their operations. In addition, we also offer extended product warranties to supplement the life of these assets. As our sales expand in volume and geography, we have engaged third parties to perform this function on our behalf.</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 and Competition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According to Bloomberg New Energy Finance (“BNEF”) the global energy storage market is expected to grow to a cumulative 1,095 gigawatts (“GW”), attracting an estimated $660 billion in future investment by 2040. With approximately 5.3GW of energy storage commissioned globally in 2020, the global market is expected to increase to 9.7GW in 2021. It is expected that the global energy storage market will grow at a 37% compounded annual growth rate and reach approximately 13.8GW in 2023.</w:t>
      </w:r>
    </w:p>
    <w:p>
      <w:pPr>
        <w:spacing w:after="0" w:line="1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Based on BNEF, the United States will lead annual installations starting in 2021, surpassing China and representing over 41% of this global market. Total installations may reach 5.3GW in 2023, significantly increasing from 1.1GW in 2020. Favorable regulatory conditions such as the ongoing implementation of FERC Order 841, along with state sponsored incentives in New York, California, Massachusetts, and other states coupled with the rapid growth of solar PV plus storage applications throughout the United States are expected to grow the utility-scale energy storage market. However, renewable energy storage still faces major hurdles to wider adoption. Some are associated with various renewable energy technologies, as the industry as a whole is experiencing interconnection challenges due to the volume of growth and need for more investment. Others are due to the modern realities of the marketplace, regulations and infrastructure.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customers decisions when choosing from different battery storage systems in the market include:</w:t>
      </w:r>
    </w:p>
    <w:p>
      <w:pPr>
        <w:spacing w:after="0" w:line="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sustainability;</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product lifespan;</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energy efficiency;</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discharge duration of the storage system;</w:t>
      </w:r>
    </w:p>
    <w:p>
      <w:pPr>
        <w:ind w:left="1300" w:hanging="644"/>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based manufacturing and sourced materials.</w:t>
      </w:r>
    </w:p>
    <w:p>
      <w:pPr>
        <w:spacing w:after="0" w:line="12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Lithium-ion currently has a majority of the market share for the stationary battery industry in the United States. In 2020, Lithium-ion batteries accounted for 92% of utility-scale energy storage installations. We believe we are the first commercially available battery system that does not have a lithium-ion chemistry. We anticipate our battery system using Znyth® technology will gradually take over market share within the battery industry. Our system’s unique characteristics position us for success in the market, including 100% depth of discharge, low degradation rate, 3-12 hour discharge duration capability, inherent system safety and low O&amp;M costs. Our ability to successfully deploy our battery system technology and gain market share in the energy storage market will be important to the growth of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North America, geographic distribution of energy storage deployment has been driven by regulatory policy with both federal and state level programs contributing to stable revenue streams for energy storage.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Ensuring the safety, health and welfare of our employees and stake holders is our top priority. We have implemented operational and protective measures across the company, for both our essential on-site employees, which constitutes 55% of our workforce, and our remaining 45% of non-essential employees, who primarily work remotely. We have also ensured that all employees and visitors that visit our office have access to personal protective equipment and we strictly enforce social distancing. We will maintain these precautions and procedures until we believe Covid-19 is under adequate control. To-date, Covid-19 caused delays in completing the UL certification of the Gen 2.3 product due to the certification company being delayed in completing the in-person witness tests. In addition, it caused the delay for us to deliver products to one of our customers. Covid-19 also caused delays in customers’ ability to accept our product due to interruptions in state/city construction permitting and site readiness.</w:t>
      </w:r>
    </w:p>
    <w:p>
      <w:pPr>
        <w:spacing w:after="0" w:line="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the “Risk Factors” section of our annual report on Form 10-K for the year ended December 31, 2020.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determine to take further actions that alter our business operations as may be required by federal, state, or local authorities or that we determine to be in the best interests of our employees, customers, vendors,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the Merger is accounted for as a reverse recapitalization, the operating results included in this discussion reflect the historical operating results of EES prior to the Merger and the combined results of Eos following the closing of the Merger. The assets and liabilities of the Company are stated at their historical cost.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generated revenues from limited sales as we recently launched our next generation energy storage solution Gen 2.3 that is scalable and can be used for a variety of commercial use cases. We expect revenues to increase as we scale our production to meet demand for the next generation of our product.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2019, we established a joint venture, Hi-Power, that manufactures the Gen 2.3 battery system on our behalf. Our cost of sales for the Gen 2.3 battery system prior to the second quarter 2021 includes the purchase of the manufactured system from Hi-Power, the joint venture which produces the Gen 2.3 battery system. On April 9, 2021, Hi-Power became our wholly-owned subsidiary after closing of the acquisition. Therefore, cost of sales subsequent to that date primarily consists of direct labor, direct material and the overhead that is directly tied to the production facility. Other items contributing to cost of sales were manufacturing overhead such as engineering expense, equipment maintenance, environmental health and safety, quality and production control and procurement, as well as transportation, logistics and facility related costs. We expect our cost of sales to exceed revenues in the near term as we continue to scale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consist primarily of salaries and personnel-related costs as well as products, materials, third party services, and depreciation on equipment and facilities used in our research and development process. We expect our research and development costs to increase for the foreseeable future, as we continue to invest in research and development activities that are necessary to achieve our technology and product roadmap goals.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consist mainly of personnel-related expenses including corporate, executive, finance, and other administrative functions, expenses for outside professional services, including legal, audit and accounting services, as well as expenses for facilities, depreciation, amortization, travel, and marketing costs. We expect general, and administrative expenses to increase for the foreseeable future as we scale our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Grant expense (income), net includes our expenses net of reimbursement related to grants provided by the California Energy Commission (“CEC”).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income (loss) on equity in unconsolidated joint venture represents our proportionate share of the income (loss) from our investment in Hi-Power, a joint venture established with Holtec Power, Inc. We acquired Holtec’s 51% interest in Hi-Power in April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consists primarily of interest incurred on our convertible notes before the Merger, including the accretion of interest on convertible notes that contained embedded features that permit holders to demand immediate repayment of principal and interest for the three and six months ended June 30, 2020. All convertible notes were converted to common stock in connection with the Merger and no balance was outstanding as of June 30, 2021 and December 31, 2020. For the three and six months ended June 30, 2021, interest expense primarily consists of interest accretion on notes payable associated with the Hi-Power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Remeasurement of equity method investment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equity method, an investment is recorded at historical cost and adjustments are made to the value at the acquisition date based on percentage ownership in the investee. Our investment in Hi-Power was accounted for under the equity method until we fully acquired the company on April 9, 2021. We remeasured our previously held 49% ownership interest in Hi-Power at its acquisition date fair value and a loss was recorded for the difference between fair value and the historical cost.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sale of state tax attributes represents the benefit recorded from the sale of our State of New Jersey net operating loss carryforwards and R&amp;D tax credits to third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termination of pre-existing agreement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pre-existing agreement with Hi-Power was terminated at the time of the acquisition and a loss was recognized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convertible notes issued during 2019 and 2020 contained an embedded derivative feature that could accelerate the repayment of the convertible notes upon a qualified financing event not within our control. This embedded derivative resulted in the recording of a premium or discount on convertible notes that were recognized in earnings upon their issuance. In connection with the Merger, all convertible notes were converted to common stock and the embedded derivative fair value was zero as of June 30, 2021 and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Private Placement Warrants were recognized by the Company as of the Merger Date at fair value of $559 and classified as a liability in the consolidated balance sheet. Thereafter, the change in fair value is recognized as a derivative gain (loss) each reporting period in the consolidated Statement of Operations. The Private Placement Warrants are classified as Level 2 financial instruments.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Loss on pre-existing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22,299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(44,999)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related party</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5"/>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Remeasurement of equity method investment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embedded derivative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Change in fair value, warrant liability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on equity in unconsolidated joint venture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60"/>
              <w:spacing w:after="0"/>
              <w:rPr>
                <w:sz w:val="20"/>
                <w:szCs w:val="20"/>
                <w:color w:val="auto"/>
              </w:rPr>
            </w:pPr>
            <w:r>
              <w:rPr>
                <w:rFonts w:ascii="Arial" w:cs="Arial" w:eastAsia="Arial" w:hAnsi="Arial"/>
                <w:sz w:val="18"/>
                <w:szCs w:val="18"/>
                <w:color w:val="auto"/>
              </w:rPr>
              <w:t>Sale of state tax attributes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was $0.6 million and nil for the three months ended June 30, 2021 and 2020, respectively, related to sales of our initial energy storage solution for specific customer application. In 2020, we transitioned our business to launch our next generation of energy storage solutions Gen 2.3 and no revenue was recognized during this period. After shipping our first Gen 2.3 customer order in January 2021, we shipped an additional customer order in the second quarter.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sales increased by $12.3 million, or 23,228% with $0.1 million for the three months ended June 30, 2020 and $12.4 million for the three months ended June 30, 2021. After the acquisition of Hi-Power, our manufacturing facility for battery storage systems, cost of sales mainly includes cost of direct material, direct labor, manufacturing overhead, warranty cost, as well as scrap material and inventory adjustments for lower of cost or market and excess and obsolete inventory. Although the Company began to ship our new Gen 2.3 battery storage system to customers in January of 2021, we have not yet reached the full scale of our manufacturing capacity and are incurring increased manufacturing overhead costs. In addition, as we are still refining and improving our manufacturing process for commercial scale to assure stability and quality consistency, we incurred significant cost of scrap. We expect our overall gross margin percentage to improve as we further refine our manufacturing process, increase our sales, and spread our overhead costs over larger production volumes.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costs increased by $1.4 million or 62% from $2.2 million for the three months ended June 30, 2020 to $3.6 million for the three months ended June 30, 2021. The primary drivers for the increase were materials and supplies as well as payroll. Specifically, research and development materials increased by $0.7 million, as we continued testing of our Gen 2.3 battery systems. Further, we increased our R&amp;D headcount, which resulted in $0.6 million increase of payroll and personnel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increased by $9.9 million or 704% from $1.4 million for the three months ended June 30, 2020 to $11.3 million for the three months ended June 30, 2021. Included in this is an increase in stock-based compensation for employees of $3.0 million. The increase of General and administrative expenses was further due to $3.0 million increase in payroll and personnel costs, as we continue to expand our workforce and hire new employees in various departments. The Company also incurred a $3.0 million increase in professional services, related to consulting, recruiting, legal, audit, and insurance associated with compliance, merger and acquisitions, as well as financing related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pre-existing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Loss on termination of pre-existing agreement increased by $22.3 million, or 10,276% from $0.2 million for the three months ended June 30, 2020 to $22.5 million for the three months ended June 30, 2021. The loss was recognized as a result of our Hi-Power acquisition and the associated termination of the JV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Grant expense (income), net decreased by $0.3 million or 120% from $0.3 million expense for the three months ended June 30, 2020 to $0.1 million in income for the three months ended June 30, 2021. The decrease results from higher grant income earned for the three months ended June 30, 2021 and the level of research and development activity related to our grants from the California Energy Commission.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income (loss) from equity in unconsolidated joint venture is attributable to the results of our joint venture Hi-Power. The joint venture commenced its principal operations related to the manufacturing of our Gen 2.3 battery system in the fourth quarter of 2020, therefore the joint venture incurred losses in the three months ended June 30, 2020. Hi-Power became a wholly owned subsidiary on April 9, 2021 and its operational results are consolidated within the Company’s Statement of Operations for the three and six months ended June 30, 2021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expense-related party decreased by $3.0 million or 100% from $3.0 million for the three months ended June 30, 2020 to $— for the three months ended June 30, 2021. The interest expense related to the convertible notes the Company issued in 2019 and 2020, which were converted to common stock in connection with the Merger. No balance was outstanding during the three months ended June 30,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Remeasurement of equity method investment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June 30,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fair value of $1.4 million reflects the change in fair value of the embedded derivative feature on our convertible notes that was recorded through earnings. The convertible notes were fully converted to common stock in connection with the Merger, thus there was no balance for the three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$0.6 million increase of change in fair value, warrants liability for the three months ended June 30, 2021 reflects the change in fair value of the private warrants classified as liability during the three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recognized income of $2.2 million during the three months ended June 30, 2021, related to the sale of our state net operating losses and research and development credit carryforwards under the New Jersey Economic Development Authority Technology Business Tax Certificate Transfer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380" w:type="dxa"/>
            <w:vAlign w:val="bottom"/>
            <w:gridSpan w:val="3"/>
          </w:tcPr>
          <w:p>
            <w:pPr>
              <w:ind w:left="660"/>
              <w:spacing w:after="0"/>
              <w:rPr>
                <w:sz w:val="20"/>
                <w:szCs w:val="20"/>
                <w:color w:val="auto"/>
              </w:rPr>
            </w:pPr>
            <w:r>
              <w:rPr>
                <w:rFonts w:ascii="Arial" w:cs="Arial" w:eastAsia="Arial" w:hAnsi="Arial"/>
                <w:sz w:val="18"/>
                <w:szCs w:val="18"/>
                <w:color w:val="auto"/>
                <w:w w:val="94"/>
              </w:rPr>
              <w:t>The following table sets forth our operating results for the periods indicated: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24"/>
                <w:szCs w:val="24"/>
                <w:color w:val="auto"/>
              </w:rPr>
            </w:pP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Loss on pre-existing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(61,658)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related party</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Remeasurement of equity method investment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embedded derivative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Change in fair value, warrant liability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on equity in unconsolidated joint venture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60"/>
              <w:spacing w:after="0"/>
              <w:rPr>
                <w:sz w:val="20"/>
                <w:szCs w:val="20"/>
                <w:color w:val="auto"/>
              </w:rPr>
            </w:pPr>
            <w:r>
              <w:rPr>
                <w:rFonts w:ascii="Arial" w:cs="Arial" w:eastAsia="Arial" w:hAnsi="Arial"/>
                <w:sz w:val="18"/>
                <w:szCs w:val="18"/>
                <w:color w:val="auto"/>
              </w:rPr>
              <w:t>Sale of state tax attributes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was $0.8 million and nil for the six months ended June 30, 2021 and 2020, respectively, related to sales of our initial energy storage solution for specific customer application. In 2020, we transitioned our business to launch our next generation of energy storage solutions Gen 2.3 and no revenue was recognized during this period. After shipping our first Gen 2.3 customer order in January 2021, we shipped an additional customer order in the second quarter.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Cost of sales increased by $12.4 million, or 11,231% from $0.1 million for the six months ended June 30, 2020 to $12.5 million for the six months ended June 30, 2021. Before the acquisition of Hi-Power, our cost of sales includes the purchase of the manufactured battery storage system from Hi-Power. Beginning in the second quarter with the acquisition of Hi-Power cost of sales mainly includes cost of direct material, direct labor, manufacturing overhead, warranty cost, as well as scrap material and inventory adjustments for lower of cost or market and excess and obsolete inventory. Although the Company began to ship our new Gen 2.3 battery storage system to customers in January of 2021, we have not yet reached the full scale of our manufacturing capacity and are incurring increased manufacturing overhead costs. In addition, as we are still refining and improving our manufacturing process for commercial scale to assure stability and quality consistency, we incurred significant cost of scrap. We expect our overall gross margin percentage to improve as we further refine our manufacturing process, increase our sales and spread our overhead costs over larger production volumes.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costs increased by $4.2 million or 94% from $4.5 million for the six months ended June 30, 2020 to $8.7 million for the six months ended June 30, 2021. The primary driver for the increase was additional expenses related to materials and supplies. Specifically, battery testing and R&amp;D materials increased by $3.3 million, as we continued testing of our Gen 2.3 battery systems. Further, we increased our R&amp;D headcount, which resulted in $1.2 million increase of payroll and personnel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increased by $17.1 million, or 573% from $3.0 million for the six months ended June 30, 2020 to $20.1 million for the six months ended June 30, 2021. Included in this is an increase in stock-based compensation for employees of $5.4 million. The increase of General and administrative expenses was further due to $4.0 million increase in payroll costs, as we continue to expand our workforce and hire new employees in various departments. The Company also incurred a $5.9 million increase in professional services, related to consulting, legal, audit, and insurance associated with compliance, merger and acquisitions, as well as financing related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pre-existing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Loss on termination of pre-existing agreement increased by $29.4 million, or 2,952% from $1.0 million for the six months ended June 30, 2020 to $30.4 million for the six months ended June 30, 2021.The loss was recognized as a result of our Hi-Power acquisition and the associated termination of the JV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Grant expense (income), net decreased by $0.7 million, or 107% from $0.6 million expense for the six months ended June 30, 2020 to $0.04 million income for the six months ended June 30, 2021. The decrease results from higher grant income earned for the six months ended June 30, 2021 and the level of research and development activity related to our grants from the California Energy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income (loss) from equity in unconsolidated joint venture is attributable to the results of our joint venture Hi-Power. The joint venture commenced its principal operations related to the manufacturing of the Gen 2.3 battery system in the fourth quarter of 2020, therefore the joint venture incurred losses in the six months ended June 30, 2020 and turned a profit in 2021. As we acquired the remaining 51% ownership in Hi-Power on April 9, 2021, the operational results of Hi-Power are included in our Statement of Operations since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expense-related party decreased by $6.7 million or 100% from $6.7 million for the six months ended June 30, 2020 to nil for the six months ended June 30, 2021. The interest expense related to the convertible notes the Company issued in 2019 and 2020, which were converted to common stock in connection with the Merger. No balance was outstanding during the six months ended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Remeasurement of equity method investment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fair value of $0.8 million reflects the change in fair value of the embedded derivative feature on our convertible notes that was recorded through earnings. The convertible notes were fully converted to common stock in connection with the Merger, thus there was no balance for the six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$0.4 million increase of change in fair value, warrants liability for the six months ended June 30, 2021 reflects the change in fair value of the private warrants classified as liability during the six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8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recognized income of $2.2 million during the six months ended June 30, 2021, related to the sale of our state net operating losses and research and development credit carryforwards under the New Jersey Economic Development Authority Technology Business Tax Certificate Transfer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June 30, 2021, we had cash and cash equivalents of $74.7 million.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 In July 2021, we received $100 million in proceeds from the issuance of convertible notes to Koch (refer to footnote 20 in our condensed consolidated financial statements). This investment allows the Company to continue the expansion of our opportunity pipeline and optimization of our manufacturing processes and technology.</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capital expenditures and working capital requirements to increase as we seek to execute on our growth strategy. We currently anticipate that total capital expenditures for fiscal 2021 will be approximately $20 to $30 million which will be used primarily for additional equipment, automation, and implementation to increase our capacity and efficiency to meet our customers’ needs. Our capital expenditure and working capital requirements in the foreseeable future may change depending on many factors, including but not limited to the overall performance of existing equipment, our sales pipeline, our operating results, and any adjustments in our operating plan needed in response to industry conditions, competition or unexpected events. We believe that our existing cash, together with cash from operations and notes issued to Koch, will be sufficient to meet our capital expenditure and working capital requirements for the next twelve months.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143510</wp:posOffset>
            </wp:positionV>
            <wp:extent cx="16287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Six months ended June</w:t>
      </w: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18"/>
                <w:szCs w:val="18"/>
                <w:color w:val="auto"/>
              </w:rPr>
            </w:pPr>
          </w:p>
        </w:tc>
      </w:t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(48,887)</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(1,012)</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92"/>
              </w:rPr>
              <w:t>(15,784)</w:t>
            </w:r>
          </w:p>
        </w:tc>
        <w:tc>
          <w:tcPr>
            <w:tcW w:w="340" w:type="dxa"/>
            <w:vAlign w:val="bottom"/>
          </w:tcPr>
          <w:p>
            <w:pPr>
              <w:spacing w:after="0"/>
              <w:rPr>
                <w:sz w:val="19"/>
                <w:szCs w:val="19"/>
                <w:color w:val="auto"/>
              </w:rPr>
            </w:pP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91"/>
              </w:rPr>
              <w:t>(1,951)</w:t>
            </w: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7"/>
              </w:rPr>
              <w:t>17,508</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3,021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cash flows used in operating activities to date have been primarily comprised of costs related to research and development, manufacturing of our initial energy storage products, and other general and administrative activities. As we continue and expand commercial production, we expect our expenses related to personnel, manufacturing, research and development and general and administrative activities to increase.</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cash used in operating activities was $48.9 million for the six months ended June 30, 2021 which is comprised of our net loss of $75.5 million, adjusted for non-cash charges, including stock-based compensation of $5.7 million, depreciation and amortization of $1.1 million, and a loss from remeasurement of equity investment of $7.5 million. The net cash inflow from changes in operating assets and liabilities was $13.2 million, primarily driven by an increase in notes payable of $18.4 million, increase in contract liability of $1.3 million, an increase in accounts payable and accrued expenses of $1.4 million, offset by a decrease in provision for firm purchase commitments of $3.4 million, an increase in vendor deposits of 3.2 million and an increase in inventory of $1.6 million. The cash used in operating activities includes $15.1 million payments made to Holtec in connection with the termination of the JV agreements. In addition, a significant amount of cash was spent on materials to refine and improve our manufacturing process as well as research and development activities to improve quality consistency.</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was $1.0 million for the six months ended June 30, 2020 which is comprised of our net loss of $15.2 million, adjusted for non-cash interest expense on our convertible debt of $6.7 million and other non-cash charges, including depreciation and amortization of $0.8 million and change in fair value of embedded derivative of $0.8 million. The net cash inflow from changes in operating assets and liabilities was $7.5 million, primarily driven by an increase in accounts payable and accrued expenses of $2.6 million and a $4.1 million decrease in receivable on sale of state tax attributes.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cash flows from investing activities for the six months ended June 30, 2021 have been comprised primarily of payments made for the Hi-Power acquisition of $0.2 million, purchases of property and equipment of $7.5 million, investment in joint venture of $4.0 million, and notes receivable advanced to customers of $4.1 million.</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includes $1.4 million in purchases of property and equipment and $0.6 million of investments in joint venture.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$17.5 million for the six months ended June 30, 2021, primarily due to the proceeds received from warrants exercised of $16.9 million and from options exercised of $0.8 million.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$3.0 million for the six months ended June 30, 2020 and included proceeds from the issuance of convertible notes of $2.6 million and $0.5 million from the issuance of contingently redeemable preferred units.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certain obligations and commitments to make future payments under contracts. The following table sets forth our estimates of future payments at June 30, 2021. See Note 9 — Commitment and contingencies and Note 14 - Long term debt for a further description of these obligations and commitments.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spacing w:after="0"/>
              <w:rPr>
                <w:sz w:val="16"/>
                <w:szCs w:val="16"/>
                <w:color w:val="auto"/>
              </w:rPr>
            </w:pPr>
          </w:p>
        </w:tc>
        <w:tc>
          <w:tcPr>
            <w:tcW w:w="136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2"/>
              </w:rPr>
              <w:t>Less than 1 year</w:t>
            </w:r>
          </w:p>
        </w:tc>
        <w:tc>
          <w:tcPr>
            <w:tcW w:w="124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1-3 years</w:t>
            </w:r>
          </w:p>
        </w:tc>
        <w:tc>
          <w:tcPr>
            <w:tcW w:w="140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3-5 years</w:t>
            </w: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w:t>
            </w:r>
          </w:p>
        </w:tc>
        <w:tc>
          <w:tcPr>
            <w:tcW w:w="1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1,152</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Notes Payable, include interest</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20,000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5,000</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5,000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capital lease</w:t>
            </w:r>
          </w:p>
        </w:tc>
        <w:tc>
          <w:tcPr>
            <w:tcW w:w="1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1,135</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1,859</w:t>
            </w: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Firm purchase commitment</w:t>
            </w: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20,602</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20,602</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46,849</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27,889</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11,859</w:t>
            </w:r>
          </w:p>
        </w:tc>
        <w:tc>
          <w:tcPr>
            <w:tcW w:w="14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June 30, 2021, we had agreements to provide loans to our customers for $11.3 million. $4.2 million was drawn on that commitment as of June 30, 2021. Additionally, the above does not reflect the obligation to pay the cash amount to Holtec described in “Recent Developments.”</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further execute our business strategy, we intend to continue to make investments to support our business and will require additional funds. In particular, we will require additional funds to develop new products and enhance existing products, expand our operations, including our sales and marketing organizations and our presence outside of the United States, improve our infrastructure or acquire complementary businesses, technologies, products and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10, 2020, the Company entered into a one-year invoice securitization facility (the “LSQ Invoice Purchase Agreement Facility”) pursuant to (i) an Invoice Purchase Agreement (the “IPA”), as sellers, (the “Seller”), and LSQ Funding Group, L.C. (“LSQ”), as purchaser (the “Purchaser”). Under the terms of the IPA, the Company contributed certain invoices, related collections and security interests (collectively, the “Invoices”) to LSQ on a revolving basis. Under the terms of the IPA, the Company issued to the Purchasers an ownership interest in the Invoices for up to $3.5 million in cash proceeds. This facility was terminated in September 2020. During the six months ended June 30, 2020, the Company received $5.3 million from the IPA.</w:t>
      </w:r>
    </w:p>
    <w:p>
      <w:pPr>
        <w:spacing w:after="0" w:line="1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2021 and December 31, 2020, we did not have any off balance sheet receivables outstanding nor did we incur any costs associated with off-balance sheet arrangements. We did not have any other material off-balance sheet arrangements as of June 30, 2021 and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significant accounting policies are described in Note 1, “Nature of Operations and Summary of Significant Accounting Policies,” in the Notes to the audited financial statements included in our annual report on Form 10-K for the year ended December 31, 2020. Our most significant accounting policies, which reflect significant management estimates and judgment in determining amounts reported in our financial statements were as follows. There have been no material changes to our critical accounting policies and estimates as compared to our critical accounting policies and estimates included in our annual report on Form 10-K for the year ended December 31,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Reverse Acquisition</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Merger was accounted for as a reverse recapitalization in accordance with ASC 805, </w:t>
      </w:r>
      <w:r>
        <w:rPr>
          <w:rFonts w:ascii="Arial" w:cs="Arial" w:eastAsia="Arial" w:hAnsi="Arial"/>
          <w:sz w:val="16"/>
          <w:szCs w:val="16"/>
          <w:i w:val="1"/>
          <w:iCs w:val="1"/>
          <w:color w:val="auto"/>
        </w:rPr>
        <w:t>Business combination</w:t>
      </w:r>
      <w:r>
        <w:rPr>
          <w:rFonts w:ascii="Arial" w:cs="Arial" w:eastAsia="Arial" w:hAnsi="Arial"/>
          <w:sz w:val="16"/>
          <w:szCs w:val="16"/>
          <w:color w:val="auto"/>
        </w:rPr>
        <w:t>. Under this method of accounting, BMRG has been treated as acquiree and EES is treated as acquirer for financial reporting purposes. This determination was primarily based on current shareholders of EES having a relative majority of the voting power of the combined entity, the operations of EES prior to the acquisition comprising the only ongoing operations of the combined entity, and senior management of EES comprising the majority of the senior management of the combined entity. Accordingly, for accounting purposes, the financial statements of the combined entity represent a continuation of the financial statements of EES with the acquisition being treated as the equivalent of EES issuing stock for the net assets of BMRG, accompanied by a recapitalization. The net assets of BMRG were recognized at historical cost as of the date of the Merger, with no goodwill or other intangible assets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Inventory is stated at the lower of cost or net realizable value. The Company capitalizes inventory costs when, based on management’s judgment, future commercialization is considered probable and the future economic benefit is expected to be realized; otherwise, such costs are expensed as research and development. Inventory is evaluated for impairment periodically for excess, obsolescence and for instances where cost of the inventory is in excess of its estimated net realizable value. In estimating a provision for excess, obsolete and slow-moving inventory, we consider such factors as competitor offerings, market conditions and the life cycle of the product. If inventory on-hand is determined to be excess, obsolete or has a carrying amount that exceeds its net realizable value, we will reduce the carrying amount to its estimated net realizable value.</w:t>
      </w:r>
    </w:p>
    <w:p>
      <w:pPr>
        <w:spacing w:after="0" w:line="1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assesses whether losses on purchase commitments should be accrued. Losses that are expected to arise from firm, non-cancellable, commitments for future purchases are recognized unless recoverable.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estimated the original fair value of the contingently issuable common stock that is contingently issuable at the date of Closing based on a Monte Carlo Stimulation pricing model considering stock price of the Company, the risk free rate of 0.41% and a volatility of 55% utilizing a peer group based on five year term.</w:t>
      </w:r>
    </w:p>
    <w:p>
      <w:pPr>
        <w:spacing w:after="0" w:line="103"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values of the Sponsor Earnout Shares on the date of Closing were estimated using a Monte Carlo simulation based on the stock price of the Company, a risk free rate of 0.41% and a volatility of 55% utilizing a peer group based on a five year term. The fair value of the first tranche of Sponsor Earnout Shares that vested on December 16, 2020 was based on the closing share price of the Company’s publicly traded stock on that date.</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Private Placement Warrants are classified as Level 2 financial instruments of the fair value hierarchy. The transfer of the Private Placement Warrants to anyone outside of a small group of individuals constituting the Sponsors of the Company would result in the Private Placement Warrants becoming Public warrants. Thus, the fair value of each Private Placement Warrant is the same as that of a Public warrants, which are publicly traded, with an insignificant adjustment for short-term marketability restrictions.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is estimated at the grant date based on the fair value of the awards and is recognized as expense over the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stock options and stock purchase warrants using the Black-Scholes option pricing model.</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our long-term debt was estimated using active market quotes, based on our current incremental borrowing rates for similar types of borrowing arrangements, which are Level 2 inputs.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record conventional convertible debt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Conventional convertible debt is a financial instrument in which the holder may only realize the value of the conversion option by exercising the option and receiving the entire proceeds in a fixed number of shares or the equivalent amount of cash. Convertible instruments that are not bifurcated as a derivative, and not accounted for as a separate equity component under the cash conversion guidance are evaluated to determine whether their conversion prices create an embedded beneficial conversion feature at inception or may become beneficial in the future due to potential adjustments. A beneficial conversion feature is deemed to be a nondetachable conversion feature that is “in-the-money” at the commitment date. The in-the-money portion, also known as the intrinsic value of the option, is recorded in equity, with an offsetting discount to the carrying amount of convertible debt to which it is attached. The intrinsic value of the beneficial conversion feature within its convertible debt, including amortization of the debt discount recorded in connection with a beneficial conversion feature, was not material to our financial statements.</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convertible notes issued before the Merger contained an embedded derivative feature that could accelerate the repayment of the convertible notes upon either a qualified financing event or the note holders’ put exercise. For the six months ended June 30, 2020, embedded derivative liabilities with an initial fair value of $199 were recognized.</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2020 a change in fair value of embedded derivative gain of $1,358 and $843 was recognized, respectively. The fair value of the embedded derivative was zero as of June 30, 2021 and December 31, 2020 as a result of the conversion of the notes in connection with the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business combinations using the purchase method of accounting where the cost is allocated to the underlying net tangible and intangible assets acquired, based on their respective fair values. Identifiable assets acquired and liabilities assumed are recognized and measured as of the acquisition date at fair value. Goodwill is recognized to the extent by which the aggregate of the acquisition-date fair value of the consideration transferred exceeds the recognized basis of the identifiable assets acquired, net of assumed liabilities. The Company uses information available to it to make fair value determinations and engaged independent valuation specialists to assist in the fair value determination for the acquisition of Hi-Power. The fair value is determined using the income approach, cost approach and/or market approach. Determining the fair value of purchase consideration, assets acquired, liabilities assumed, as well as the Joint Venture agreement the Company terminated in connection with the acquisition requires management’s judgment. The fair value determination of the Joint Venture agreement and of the consideration transferred in exchange for the Hi-Power business involves the use of significant estimates and assumptions, including, but not limited to, the selection of appropriate valuation methodology, projected cash flows and the discount rate.</w:t>
      </w:r>
    </w:p>
    <w:p>
      <w:pPr>
        <w:spacing w:after="0" w:line="1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method also requires us to refine these estimates over a measurement period not to exceed one year to reflect new information obtained about facts and circumstances that existed as of the acquisition date that, if known, would have affected the measurement of the amounts recognized as of that date. If we receive new information that requires us to retroactively adjust provisional amounts that we have recorded for the fair values of assets, liabilities, and the contract the Company terminated in connection with acquisitions, these adjustments could have a material impact on our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provide reasonable assurance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have concluded that the Company’s disclosure controls and procedures were not effective due to material weaknesses in our internal control over financial reporting resulting from our lack of (i) a formalized internal control framework, (ii) segregation of duties in the financial reporting process, (iii) review and approval of journal entries, and (iv) management review controls. These deficiencies are a result of our previously smaller footprint as a private company, and we are building our team to meet the requirements as a public company. These material weaknesses resulted in the revision of our consolidated financial statements as of and for the year ended December 31, 2020. Specifically, while the classification of Private Placement Warrants with provisions like those of ours as equity was broadly accepted industry practice, our management, due to our lack of a formalized internal control framework, did not identify the error in this accounting practice until the SEC’s issuance of their statement calling out this treatment and management's consideration thereof.</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Remediation Efforts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identified and implemented, and continue to implement, certain remediation efforts to improve the effectiveness of our internal control over financial reporting and disclosure controls and procedures. These remediation efforts are ongoing. The following remedial actions have been identified and initiated as of June 30, 2021:</w:t>
      </w:r>
    </w:p>
    <w:p>
      <w:pPr>
        <w:spacing w:after="0" w:line="143" w:lineRule="exact"/>
        <w:rPr>
          <w:sz w:val="20"/>
          <w:szCs w:val="20"/>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hired several full-time accounting resources with appropriate levels of experience and reallocated responsibilities across the finance organization. This measure provides for segregation of duties and that the appropriate level of knowledge and experience is applied based on risk and complexity of transactions and tasks under review.</w:t>
      </w:r>
    </w:p>
    <w:p>
      <w:pPr>
        <w:spacing w:after="0" w:line="14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engaged a professional accounting services firm to assist us in the design and documentation of our formal policies, processes and internal controls for complying with the Sarbanes-Oxley Act.</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developed a project plan for the implementation of internal controls over financial reporting across the organization and have begun executing on that plan. Specifically, we have designed controls across several business cycles and have begun integrating these controls into our processes.</w:t>
      </w:r>
    </w:p>
    <w:p>
      <w:pPr>
        <w:spacing w:after="0" w:line="1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will further refine our remediation plan and take additional actions to address control deficiencies or modify certain of the remediation measures described above.</w:t>
      </w:r>
    </w:p>
    <w:p>
      <w:pPr>
        <w:spacing w:after="0" w:line="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progress has been made to enhance our internal control over financial reporting, we are still in the process of designing, implementing, documenting, and testing these processes, procedures and controls. Additional time is required to complete implementation and to assess and ensure the sustainability of these procedures. We will continue to devote significant time and attention to these remedial efforts. However, the material weakness cannot be considered remediated until the applicable remedial controls are fully implemented, have operated for a sufficient period of time and management has concluded that these controls are operating effectively.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the changes described in the preceding paragraph, there were no changes in our internal control over financial reporting (as defined in Rules 13a-15(f) and 15d-15(f) under the Securities Exchange Act of 1934)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There is no material litigation, arbitration or governmental proceeding currently pending against us or any members of our management team in their capacity as such.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to the other information set forth in the Quarterly Report on Form 10-Q, you should carefully consider the factors discussed in Part I, Item 1A, “Risk Factors” in our Annual Report on Form 10-K, for the fiscal year ended December 31, 2020. There have been no material changes in our risk factors from those disclosed in our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i w:val="1"/>
                <w:iCs w:val="1"/>
                <w:color w:val="auto"/>
              </w:rPr>
              <w:t>(a) Exhibits</w:t>
            </w:r>
          </w:p>
        </w:tc>
        <w:tc>
          <w:tcPr>
            <w:tcW w:w="1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4640" w:type="dxa"/>
            <w:vAlign w:val="bottom"/>
            <w:gridSpan w:val="17"/>
            <w:vMerge w:val="restart"/>
          </w:tcPr>
          <w:p>
            <w:pPr>
              <w:ind w:left="1300"/>
              <w:spacing w:after="0"/>
              <w:rPr>
                <w:sz w:val="20"/>
                <w:szCs w:val="20"/>
                <w:color w:val="auto"/>
              </w:rPr>
            </w:pPr>
            <w:r>
              <w:rPr>
                <w:rFonts w:ascii="Arial" w:cs="Arial" w:eastAsia="Arial" w:hAnsi="Arial"/>
                <w:sz w:val="18"/>
                <w:szCs w:val="18"/>
                <w:b w:val="1"/>
                <w:bCs w:val="1"/>
                <w:color w:val="auto"/>
              </w:rPr>
              <w:t>Description of Document</w:t>
            </w: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Schedule/Form</w:t>
            </w: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File Number</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Exhibits</w:t>
            </w:r>
          </w:p>
        </w:tc>
        <w:tc>
          <w:tcPr>
            <w:tcW w:w="18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0"/>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4640" w:type="dxa"/>
            <w:vAlign w:val="bottom"/>
            <w:gridSpan w:val="17"/>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600" w:type="dxa"/>
            <w:vAlign w:val="bottom"/>
            <w:tcBorders>
              <w:top w:val="single" w:sz="8" w:color="auto"/>
            </w:tcBorders>
            <w:gridSpan w:val="16"/>
            <w:shd w:val="clear" w:color="auto" w:fill="CCEEFF"/>
          </w:tcPr>
          <w:p>
            <w:pPr>
              <w:spacing w:after="0" w:line="182"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Amended and Restated Registration Rights Agreement, dated</w:t>
              </w:r>
            </w:hyperlink>
          </w:p>
        </w:tc>
        <w:tc>
          <w:tcPr>
            <w:tcW w:w="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8-K</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90"/>
              </w:rPr>
              <w:t>001-39291</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4.01</w:t>
            </w: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May 10, 2021</w:t>
            </w:r>
          </w:p>
        </w:tc>
        <w:tc>
          <w:tcPr>
            <w:tcW w:w="0" w:type="dxa"/>
            <w:vAlign w:val="bottom"/>
          </w:tcPr>
          <w:p>
            <w:pPr>
              <w:spacing w:after="0"/>
              <w:rPr>
                <w:sz w:val="1"/>
                <w:szCs w:val="1"/>
                <w:color w:val="auto"/>
              </w:rPr>
            </w:pPr>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440" w:type="dxa"/>
            <w:vAlign w:val="bottom"/>
            <w:tcBorders>
              <w:top w:val="single" w:sz="8" w:color="0000FF"/>
            </w:tcBorders>
            <w:gridSpan w:val="10"/>
            <w:shd w:val="clear" w:color="auto" w:fill="CCEEFF"/>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May 10, 2021, by and between the Registrant, B. Riley</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40" w:type="dxa"/>
            <w:vAlign w:val="bottom"/>
            <w:gridSpan w:val="17"/>
            <w:shd w:val="clear" w:color="auto" w:fill="CCEEFF"/>
          </w:tcPr>
          <w:p>
            <w:pPr>
              <w:spacing w:after="0" w:line="169"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Principal Sponsor Co. II, LLC and the other parties thereto</w:t>
              </w:r>
            </w:hyperlink>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Amended and Restated Registration Rights Agreement, dated</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1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90"/>
              </w:rPr>
              <w:t>001-39291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4.02</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May 10, 2021</w:t>
            </w:r>
          </w:p>
        </w:tc>
        <w:tc>
          <w:tcPr>
            <w:tcW w:w="0" w:type="dxa"/>
            <w:vAlign w:val="bottom"/>
          </w:tcPr>
          <w:p>
            <w:pPr>
              <w:spacing w:after="0"/>
              <w:rPr>
                <w:sz w:val="1"/>
                <w:szCs w:val="1"/>
                <w:color w:val="auto"/>
              </w:rPr>
            </w:pPr>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440" w:type="dxa"/>
            <w:vAlign w:val="bottom"/>
            <w:tcBorders>
              <w:top w:val="single" w:sz="8" w:color="0000FF"/>
            </w:tcBorders>
            <w:gridSpan w:val="10"/>
            <w:shd w:val="clear" w:color="auto" w:fill="CCEEFF"/>
          </w:tcPr>
          <w:p>
            <w:pPr>
              <w:spacing w:after="0" w:line="169"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May 10, 2021, by and among the Company and the security</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320" w:type="dxa"/>
            <w:vAlign w:val="bottom"/>
            <w:tcBorders>
              <w:top w:val="single" w:sz="8" w:color="0000FF"/>
            </w:tcBorders>
            <w:gridSpan w:val="8"/>
            <w:shd w:val="clear" w:color="auto" w:fill="CCEEFF"/>
          </w:tcPr>
          <w:p>
            <w:pPr>
              <w:spacing w:after="0" w:line="169" w:lineRule="exact"/>
              <w:rPr>
                <w:rFonts w:ascii="Arial" w:cs="Arial" w:eastAsia="Arial" w:hAnsi="Arial"/>
                <w:sz w:val="18"/>
                <w:szCs w:val="18"/>
                <w:color w:val="0000FF"/>
              </w:rPr>
            </w:pPr>
            <w:hyperlink r:id="rId83">
              <w:r>
                <w:rPr>
                  <w:rFonts w:ascii="Arial" w:cs="Arial" w:eastAsia="Arial" w:hAnsi="Arial"/>
                  <w:sz w:val="18"/>
                  <w:szCs w:val="18"/>
                  <w:color w:val="0000FF"/>
                </w:rPr>
                <w:t>holders party thereto</w:t>
              </w:r>
            </w:hyperlink>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CCEEFF"/>
            </w:tcBorders>
            <w:shd w:val="clear" w:color="auto" w:fill="CCEEFF"/>
          </w:tcPr>
          <w:p>
            <w:pPr>
              <w:spacing w:after="0"/>
              <w:rPr>
                <w:sz w:val="19"/>
                <w:szCs w:val="19"/>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rPr>
            </w:pPr>
            <w:hyperlink r:id="rId84">
              <w:r>
                <w:rPr>
                  <w:rFonts w:ascii="Arial" w:cs="Arial" w:eastAsia="Arial" w:hAnsi="Arial"/>
                  <w:sz w:val="18"/>
                  <w:szCs w:val="18"/>
                  <w:color w:val="0000FF"/>
                </w:rPr>
                <w:t>Unit Purchase Agreement, dated April 8, 2021</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1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90"/>
              </w:rPr>
              <w:t>001-39291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April 14, 2021</w:t>
            </w: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auto"/>
                <w:w w:val="98"/>
              </w:rPr>
              <w:t>Form of Transition Services Agreement (included in Exhibit</w:t>
            </w:r>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1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90"/>
              </w:rPr>
              <w:t>001-39291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10.2</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April 14, 2021</w:t>
            </w:r>
          </w:p>
        </w:tc>
        <w:tc>
          <w:tcPr>
            <w:tcW w:w="0" w:type="dxa"/>
            <w:vAlign w:val="bottom"/>
          </w:tcPr>
          <w:p>
            <w:pPr>
              <w:spacing w:after="0"/>
              <w:rPr>
                <w:sz w:val="1"/>
                <w:szCs w:val="1"/>
                <w:color w:val="auto"/>
              </w:rPr>
            </w:pPr>
          </w:p>
        </w:tc>
      </w:tr>
      <w:tr>
        <w:trPr>
          <w:trHeight w:val="244"/>
        </w:trPr>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Investment Agreement, dated as of July 6, 2021, among Eos</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1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90"/>
              </w:rPr>
              <w:t>001-39291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July 7, 2021</w:t>
            </w:r>
          </w:p>
        </w:tc>
        <w:tc>
          <w:tcPr>
            <w:tcW w:w="0" w:type="dxa"/>
            <w:vAlign w:val="bottom"/>
          </w:tcPr>
          <w:p>
            <w:pPr>
              <w:spacing w:after="0"/>
              <w:rPr>
                <w:sz w:val="1"/>
                <w:szCs w:val="1"/>
                <w:color w:val="auto"/>
              </w:rPr>
            </w:pPr>
          </w:p>
        </w:tc>
      </w:tr>
      <w:tr>
        <w:trPr>
          <w:trHeight w:val="203"/>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340" w:type="dxa"/>
            <w:vAlign w:val="bottom"/>
            <w:tcBorders>
              <w:top w:val="single" w:sz="8" w:color="0000FF"/>
            </w:tcBorders>
            <w:gridSpan w:val="9"/>
            <w:shd w:val="clear" w:color="auto" w:fill="CCEEFF"/>
          </w:tcPr>
          <w:p>
            <w:pPr>
              <w:spacing w:after="0" w:line="169"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Energy Enterprises, Inc. and Spring Creek Capital, LLC</w:t>
              </w:r>
            </w:hyperlink>
          </w:p>
        </w:tc>
        <w:tc>
          <w:tcPr>
            <w:tcW w:w="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of Chief Executive Officer pursuant to Exchange</w:t>
              </w:r>
            </w:hyperlink>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54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5"/>
              </w:rPr>
            </w:pPr>
            <w:hyperlink w:anchor="page44">
              <w:r>
                <w:rPr>
                  <w:rFonts w:ascii="Arial" w:cs="Arial" w:eastAsia="Arial" w:hAnsi="Arial"/>
                  <w:sz w:val="18"/>
                  <w:szCs w:val="18"/>
                  <w:color w:val="0000FF"/>
                  <w:w w:val="95"/>
                </w:rPr>
                <w:t>Act Rules 13a-14(a) and 15d-14(a), as adopted pursuant 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560" w:type="dxa"/>
            <w:vAlign w:val="bottom"/>
            <w:gridSpan w:val="14"/>
            <w:shd w:val="clear" w:color="auto" w:fill="CCEEFF"/>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Section 302 of the Sarbanes-Oxley Act of 2002</w:t>
              </w:r>
            </w:hyperlink>
          </w:p>
        </w:tc>
        <w:tc>
          <w:tcPr>
            <w:tcW w:w="2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of Chief Financial Officer pursuant to Exchange</w:t>
              </w:r>
            </w:hyperlink>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5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6"/>
              </w:rPr>
            </w:pPr>
            <w:hyperlink w:anchor="page45">
              <w:r>
                <w:rPr>
                  <w:rFonts w:ascii="Arial" w:cs="Arial" w:eastAsia="Arial" w:hAnsi="Arial"/>
                  <w:sz w:val="18"/>
                  <w:szCs w:val="18"/>
                  <w:color w:val="0000FF"/>
                  <w:w w:val="96"/>
                </w:rPr>
                <w:t>Act Rules 13a-14(a) and 15d-14(a), as adopted pursuant to</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56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Section 302 of the Sarbanes-Oxley Act of 2002</w:t>
              </w:r>
            </w:hyperlink>
          </w:p>
        </w:tc>
        <w:tc>
          <w:tcPr>
            <w:tcW w:w="80" w:type="dxa"/>
            <w:vAlign w:val="bottom"/>
            <w:tcBorders>
              <w:top w:val="single" w:sz="8" w:color="CCEEFF"/>
            </w:tcBorders>
            <w:gridSpan w:val="3"/>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17"/>
            <w:shd w:val="clear" w:color="auto" w:fill="CCEEFF"/>
          </w:tcPr>
          <w:p>
            <w:pPr>
              <w:spacing w:after="0" w:line="189"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Chief Executive Officer and Chief Financial</w:t>
              </w:r>
            </w:hyperlink>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Officer pursuant to 18 U.S.C. Section 1350, as adopted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520" w:type="dxa"/>
            <w:vAlign w:val="bottom"/>
            <w:gridSpan w:val="12"/>
            <w:shd w:val="clear" w:color="auto" w:fill="CCEEFF"/>
          </w:tcPr>
          <w:p>
            <w:pPr>
              <w:spacing w:after="0" w:line="156"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pursuant to Section 906 of the Sarbanes-Oxley Act of 2002</w:t>
              </w:r>
            </w:hyperlink>
          </w:p>
        </w:tc>
        <w:tc>
          <w:tcPr>
            <w:tcW w:w="120" w:type="dxa"/>
            <w:vAlign w:val="bottom"/>
            <w:gridSpan w:val="5"/>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50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46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w w:val="96"/>
              </w:rPr>
              <w:t>XBRL Instance Document - the instance document does not</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w w:val="94"/>
              </w:rPr>
              <w:t>appear in the Interactive Data File because its XBRL tags are</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6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46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464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464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46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7"/>
          </w:tcPr>
          <w:p>
            <w:pPr>
              <w:ind w:left="4400"/>
              <w:spacing w:after="0"/>
              <w:rPr>
                <w:sz w:val="20"/>
                <w:szCs w:val="20"/>
                <w:color w:val="auto"/>
              </w:rPr>
            </w:pPr>
            <w:r>
              <w:rPr>
                <w:rFonts w:ascii="Arial" w:cs="Arial" w:eastAsia="Arial" w:hAnsi="Arial"/>
                <w:sz w:val="18"/>
                <w:szCs w:val="18"/>
                <w:color w:val="auto"/>
              </w:rPr>
              <w:t>39</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7"/>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20" w:type="dxa"/>
            <w:vAlign w:val="bottom"/>
            <w:gridSpan w:val="2"/>
            <w:vMerge w:val="continue"/>
          </w:tcPr>
          <w:p>
            <w:pPr>
              <w:spacing w:after="0"/>
              <w:rPr>
                <w:sz w:val="13"/>
                <w:szCs w:val="13"/>
                <w:color w:val="auto"/>
              </w:rPr>
            </w:pPr>
          </w:p>
        </w:tc>
        <w:tc>
          <w:tcPr>
            <w:tcW w:w="4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Description of Document</w:t>
            </w:r>
          </w:p>
        </w:tc>
        <w:tc>
          <w:tcPr>
            <w:tcW w:w="26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Schedule/Form   File Number</w:t>
            </w:r>
          </w:p>
        </w:tc>
        <w:tc>
          <w:tcPr>
            <w:tcW w:w="132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Exhibits</w:t>
            </w:r>
          </w:p>
        </w:tc>
        <w:tc>
          <w:tcPr>
            <w:tcW w:w="1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4660" w:type="dxa"/>
            <w:vAlign w:val="bottom"/>
            <w:gridSpan w:val="2"/>
            <w:vMerge w:val="continue"/>
          </w:tcPr>
          <w:p>
            <w:pPr>
              <w:spacing w:after="0"/>
              <w:rPr>
                <w:sz w:val="19"/>
                <w:szCs w:val="19"/>
                <w:color w:val="auto"/>
              </w:rPr>
            </w:pPr>
          </w:p>
        </w:tc>
        <w:tc>
          <w:tcPr>
            <w:tcW w:w="2620" w:type="dxa"/>
            <w:vAlign w:val="bottom"/>
            <w:gridSpan w:val="4"/>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4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XBRL Taxonomy Extension Presentation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0" w:lineRule="exact"/>
        <w:rPr>
          <w:sz w:val="20"/>
          <w:szCs w:val="20"/>
          <w:color w:val="auto"/>
        </w:rPr>
      </w:pPr>
    </w:p>
    <w:p>
      <w:pPr>
        <w:ind w:left="3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filed as part of this registration statement are listed in the index to the financial statements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such financial statements, which index to the financial statements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20" w:type="dxa"/>
            <w:vAlign w:val="bottom"/>
            <w:gridSpan w:val="2"/>
          </w:tcPr>
          <w:p>
            <w:pPr>
              <w:ind w:left="2160"/>
              <w:spacing w:after="0"/>
              <w:rPr>
                <w:sz w:val="20"/>
                <w:szCs w:val="20"/>
                <w:color w:val="auto"/>
              </w:rPr>
            </w:pPr>
            <w:r>
              <w:rPr>
                <w:rFonts w:ascii="Arial" w:cs="Arial" w:eastAsia="Arial" w:hAnsi="Arial"/>
                <w:sz w:val="18"/>
                <w:szCs w:val="18"/>
                <w:b w:val="1"/>
                <w:bCs w:val="1"/>
                <w:color w:val="auto"/>
              </w:rPr>
              <w:t>EOS ENERGY ENTERPRISES, INC.</w:t>
            </w:r>
          </w:p>
        </w:tc>
      </w:tr>
      <w:tr>
        <w:trPr>
          <w:trHeight w:val="486"/>
        </w:trPr>
        <w:tc>
          <w:tcPr>
            <w:tcW w:w="3800" w:type="dxa"/>
            <w:vAlign w:val="bottom"/>
          </w:tcPr>
          <w:p>
            <w:pPr>
              <w:spacing w:after="0"/>
              <w:rPr>
                <w:sz w:val="20"/>
                <w:szCs w:val="20"/>
                <w:color w:val="auto"/>
              </w:rPr>
            </w:pPr>
            <w:r>
              <w:rPr>
                <w:rFonts w:ascii="Arial" w:cs="Arial" w:eastAsia="Arial" w:hAnsi="Arial"/>
                <w:sz w:val="18"/>
                <w:szCs w:val="18"/>
                <w:color w:val="auto"/>
              </w:rPr>
              <w:t>Date: August 11, 2021</w:t>
            </w:r>
          </w:p>
        </w:tc>
        <w:tc>
          <w:tcPr>
            <w:tcW w:w="2960" w:type="dxa"/>
            <w:vAlign w:val="bottom"/>
          </w:tcPr>
          <w:p>
            <w:pPr>
              <w:ind w:left="21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Joe Mastrangelo</w:t>
            </w:r>
          </w:p>
        </w:tc>
      </w:tr>
      <w:tr>
        <w:trPr>
          <w:trHeight w:val="223"/>
        </w:trPr>
        <w:tc>
          <w:tcPr>
            <w:tcW w:w="3800" w:type="dxa"/>
            <w:vAlign w:val="bottom"/>
          </w:tcPr>
          <w:p>
            <w:pPr>
              <w:spacing w:after="0"/>
              <w:rPr>
                <w:sz w:val="19"/>
                <w:szCs w:val="19"/>
                <w:color w:val="auto"/>
              </w:rPr>
            </w:pPr>
          </w:p>
        </w:tc>
        <w:tc>
          <w:tcPr>
            <w:tcW w:w="2960" w:type="dxa"/>
            <w:vAlign w:val="bottom"/>
          </w:tcPr>
          <w:p>
            <w:pPr>
              <w:ind w:left="2160"/>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Joe Mastrangelo</w:t>
            </w:r>
          </w:p>
        </w:tc>
      </w:tr>
      <w:tr>
        <w:trPr>
          <w:trHeight w:val="169"/>
        </w:trPr>
        <w:tc>
          <w:tcPr>
            <w:tcW w:w="3800" w:type="dxa"/>
            <w:vAlign w:val="bottom"/>
          </w:tcPr>
          <w:p>
            <w:pPr>
              <w:spacing w:after="0"/>
              <w:rPr>
                <w:sz w:val="14"/>
                <w:szCs w:val="14"/>
                <w:color w:val="auto"/>
              </w:rPr>
            </w:pPr>
          </w:p>
        </w:tc>
        <w:tc>
          <w:tcPr>
            <w:tcW w:w="2960" w:type="dxa"/>
            <w:vAlign w:val="bottom"/>
          </w:tcPr>
          <w:p>
            <w:pPr>
              <w:ind w:left="2160"/>
              <w:spacing w:after="0" w:line="169" w:lineRule="exact"/>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line="169"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8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82"/>
        </w:trPr>
        <w:tc>
          <w:tcPr>
            <w:tcW w:w="3800" w:type="dxa"/>
            <w:vAlign w:val="bottom"/>
          </w:tcPr>
          <w:p>
            <w:pPr>
              <w:spacing w:after="0"/>
              <w:rPr>
                <w:sz w:val="20"/>
                <w:szCs w:val="20"/>
                <w:color w:val="auto"/>
              </w:rPr>
            </w:pPr>
            <w:r>
              <w:rPr>
                <w:rFonts w:ascii="Arial" w:cs="Arial" w:eastAsia="Arial" w:hAnsi="Arial"/>
                <w:sz w:val="18"/>
                <w:szCs w:val="18"/>
                <w:color w:val="auto"/>
              </w:rPr>
              <w:t>Date: August 11, 2021</w:t>
            </w:r>
          </w:p>
        </w:tc>
        <w:tc>
          <w:tcPr>
            <w:tcW w:w="2960" w:type="dxa"/>
            <w:vAlign w:val="bottom"/>
          </w:tcPr>
          <w:p>
            <w:pPr>
              <w:ind w:left="21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Sagar Kurada</w:t>
            </w:r>
          </w:p>
        </w:tc>
      </w:tr>
      <w:tr>
        <w:trPr>
          <w:trHeight w:val="223"/>
        </w:trPr>
        <w:tc>
          <w:tcPr>
            <w:tcW w:w="3800" w:type="dxa"/>
            <w:vAlign w:val="bottom"/>
          </w:tcPr>
          <w:p>
            <w:pPr>
              <w:spacing w:after="0"/>
              <w:rPr>
                <w:sz w:val="19"/>
                <w:szCs w:val="19"/>
                <w:color w:val="auto"/>
              </w:rPr>
            </w:pPr>
          </w:p>
        </w:tc>
        <w:tc>
          <w:tcPr>
            <w:tcW w:w="2960" w:type="dxa"/>
            <w:vAlign w:val="bottom"/>
          </w:tcPr>
          <w:p>
            <w:pPr>
              <w:ind w:left="2160"/>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Sagar Kurada</w:t>
            </w:r>
          </w:p>
        </w:tc>
      </w:tr>
      <w:tr>
        <w:trPr>
          <w:trHeight w:val="169"/>
        </w:trPr>
        <w:tc>
          <w:tcPr>
            <w:tcW w:w="3800" w:type="dxa"/>
            <w:vAlign w:val="bottom"/>
          </w:tcPr>
          <w:p>
            <w:pPr>
              <w:spacing w:after="0"/>
              <w:rPr>
                <w:sz w:val="14"/>
                <w:szCs w:val="14"/>
                <w:color w:val="auto"/>
              </w:rPr>
            </w:pPr>
          </w:p>
        </w:tc>
        <w:tc>
          <w:tcPr>
            <w:tcW w:w="2960" w:type="dxa"/>
            <w:vAlign w:val="bottom"/>
          </w:tcPr>
          <w:p>
            <w:pPr>
              <w:ind w:left="2160"/>
              <w:spacing w:after="0" w:line="169" w:lineRule="exact"/>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line="169" w:lineRule="exact"/>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 Joseph Mastrangelo, certify that:</w:t>
      </w:r>
    </w:p>
    <w:p>
      <w:pPr>
        <w:spacing w:after="0" w:line="19"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Eos Energy Enterprises, Inc.;</w:t>
      </w:r>
    </w:p>
    <w:p>
      <w:pPr>
        <w:spacing w:after="0" w:line="5" w:lineRule="exact"/>
        <w:rPr>
          <w:rFonts w:ascii="Arial" w:cs="Arial" w:eastAsia="Arial" w:hAnsi="Arial"/>
          <w:sz w:val="16"/>
          <w:szCs w:val="16"/>
          <w:color w:val="auto"/>
        </w:rPr>
      </w:pPr>
    </w:p>
    <w:p>
      <w:pPr>
        <w:ind w:left="340" w:hanging="8"/>
        <w:spacing w:after="0" w:line="246" w:lineRule="auto"/>
        <w:tabs>
          <w:tab w:leader="none" w:pos="5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8"/>
        <w:spacing w:after="0" w:line="246"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hanging="168"/>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5" w:lineRule="exact"/>
        <w:rPr>
          <w:rFonts w:ascii="Arial" w:cs="Arial" w:eastAsia="Arial" w:hAnsi="Arial"/>
          <w:sz w:val="14"/>
          <w:szCs w:val="14"/>
          <w:color w:val="auto"/>
        </w:rPr>
      </w:pPr>
    </w:p>
    <w:p>
      <w:pPr>
        <w:jc w:val="both"/>
        <w:ind w:left="660" w:hanging="4"/>
        <w:spacing w:after="0" w:line="246" w:lineRule="auto"/>
        <w:tabs>
          <w:tab w:leader="none" w:pos="835"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820" w:hanging="164"/>
        <w:spacing w:after="0"/>
        <w:tabs>
          <w:tab w:leader="none" w:pos="8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[Reserved];</w:t>
      </w:r>
    </w:p>
    <w:p>
      <w:pPr>
        <w:spacing w:after="0" w:line="5" w:lineRule="exact"/>
        <w:rPr>
          <w:rFonts w:ascii="Arial" w:cs="Arial" w:eastAsia="Arial" w:hAnsi="Arial"/>
          <w:sz w:val="16"/>
          <w:szCs w:val="16"/>
          <w:color w:val="auto"/>
        </w:rPr>
      </w:pPr>
    </w:p>
    <w:p>
      <w:pPr>
        <w:ind w:left="660" w:hanging="4"/>
        <w:spacing w:after="0" w:line="246" w:lineRule="auto"/>
        <w:tabs>
          <w:tab w:leader="none" w:pos="83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246" w:lineRule="auto"/>
        <w:tabs>
          <w:tab w:leader="none" w:pos="8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8"/>
        <w:spacing w:after="0" w:line="246" w:lineRule="auto"/>
        <w:tabs>
          <w:tab w:leader="none" w:pos="5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hanging="4"/>
        <w:spacing w:after="0" w:line="246"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257"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26670</wp:posOffset>
            </wp:positionV>
            <wp:extent cx="32486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Joseph Mastrangelo</w:t>
      </w:r>
    </w:p>
    <w:p>
      <w:pPr>
        <w:spacing w:after="0" w:line="5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 Sagar Kurada, certify that:</w:t>
      </w:r>
    </w:p>
    <w:p>
      <w:pPr>
        <w:spacing w:after="0" w:line="19" w:lineRule="exact"/>
        <w:rPr>
          <w:sz w:val="20"/>
          <w:szCs w:val="20"/>
          <w:color w:val="auto"/>
        </w:rPr>
      </w:pPr>
    </w:p>
    <w:p>
      <w:pPr>
        <w:ind w:left="500" w:hanging="168"/>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Eos Energy Enterprises, Inc.;</w:t>
      </w:r>
    </w:p>
    <w:p>
      <w:pPr>
        <w:spacing w:after="0" w:line="5" w:lineRule="exact"/>
        <w:rPr>
          <w:rFonts w:ascii="Arial" w:cs="Arial" w:eastAsia="Arial" w:hAnsi="Arial"/>
          <w:sz w:val="16"/>
          <w:szCs w:val="16"/>
          <w:color w:val="auto"/>
        </w:rPr>
      </w:pPr>
    </w:p>
    <w:p>
      <w:pPr>
        <w:ind w:left="340" w:hanging="8"/>
        <w:spacing w:after="0" w:line="246" w:lineRule="auto"/>
        <w:tabs>
          <w:tab w:leader="none" w:pos="5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8"/>
        <w:spacing w:after="0" w:line="246" w:lineRule="auto"/>
        <w:tabs>
          <w:tab w:leader="none" w:pos="5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hanging="168"/>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5" w:lineRule="exact"/>
        <w:rPr>
          <w:rFonts w:ascii="Arial" w:cs="Arial" w:eastAsia="Arial" w:hAnsi="Arial"/>
          <w:sz w:val="14"/>
          <w:szCs w:val="14"/>
          <w:color w:val="auto"/>
        </w:rPr>
      </w:pPr>
    </w:p>
    <w:p>
      <w:pPr>
        <w:jc w:val="both"/>
        <w:ind w:left="660" w:hanging="4"/>
        <w:spacing w:after="0" w:line="246" w:lineRule="auto"/>
        <w:tabs>
          <w:tab w:leader="none" w:pos="835"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820" w:hanging="164"/>
        <w:spacing w:after="0"/>
        <w:tabs>
          <w:tab w:leader="none" w:pos="8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[Reserved];</w:t>
      </w:r>
    </w:p>
    <w:p>
      <w:pPr>
        <w:spacing w:after="0" w:line="5" w:lineRule="exact"/>
        <w:rPr>
          <w:rFonts w:ascii="Arial" w:cs="Arial" w:eastAsia="Arial" w:hAnsi="Arial"/>
          <w:sz w:val="16"/>
          <w:szCs w:val="16"/>
          <w:color w:val="auto"/>
        </w:rPr>
      </w:pPr>
    </w:p>
    <w:p>
      <w:pPr>
        <w:ind w:left="660" w:hanging="4"/>
        <w:spacing w:after="0" w:line="246" w:lineRule="auto"/>
        <w:tabs>
          <w:tab w:leader="none" w:pos="83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246" w:lineRule="auto"/>
        <w:tabs>
          <w:tab w:leader="none" w:pos="824"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8"/>
        <w:spacing w:after="0" w:line="246" w:lineRule="auto"/>
        <w:tabs>
          <w:tab w:leader="none" w:pos="5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hanging="4"/>
        <w:spacing w:after="0" w:line="246"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257"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20"/>
        <w:spacing w:after="0"/>
        <w:tabs>
          <w:tab w:leader="none" w:pos="5680" w:val="left"/>
          <w:tab w:leader="none" w:pos="62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46355</wp:posOffset>
            </wp:positionV>
            <wp:extent cx="31718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8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Sagar Kurada</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on Form 10-Q of Eos Energy Enterprises, Inc., for the quarterly period ended March 31, 2021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5"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46355</wp:posOffset>
            </wp:positionV>
            <wp:extent cx="3248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on Form 10-Q of Eos Energy Enterprises, Inc., for the quarterly period ended March 31, 2021 as filed with the Securities and Exchange Commission on the date hereof (the “Report”), I, Sagar Kurada,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5" w:lineRule="exact"/>
        <w:rPr>
          <w:sz w:val="20"/>
          <w:szCs w:val="20"/>
          <w:color w:val="auto"/>
        </w:rPr>
      </w:pPr>
    </w:p>
    <w:p>
      <w:pPr>
        <w:ind w:left="20"/>
        <w:spacing w:after="0"/>
        <w:tabs>
          <w:tab w:leader="none" w:pos="5680" w:val="left"/>
          <w:tab w:leader="none" w:pos="618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46355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Sagar Kurada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2" Type="http://schemas.openxmlformats.org/officeDocument/2006/relationships/hyperlink" Target="https://www.sec.gov/Archives/edgar/data/0001805077/000162828021009566/a401rightsagreement.htm" TargetMode="External"/><Relationship Id="rId83" Type="http://schemas.openxmlformats.org/officeDocument/2006/relationships/hyperlink" Target="https://www.sec.gov/Archives/edgar/data/0001805077/000162828021009566/a402rightsagreement.htm" TargetMode="External"/><Relationship Id="rId84" Type="http://schemas.openxmlformats.org/officeDocument/2006/relationships/hyperlink" Target="https://www.sec.gov/Archives/edgar/data/0001805077/000162828021006860/eosholtecupa.htm" TargetMode="External"/><Relationship Id="rId85" Type="http://schemas.openxmlformats.org/officeDocument/2006/relationships/hyperlink" Target="https://www.sec.gov/Archives/edgar/data/0001805077/000162828021013617/ex-101eoseinvestment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2021-08-12T05:19:20Z</dcterms:created>
  <dcterms:modified xsi:type="dcterms:W3CDTF">2021-08-12T05:19:20Z</dcterms:modified>
</cp:coreProperties>
</file>