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May 7, 2025</w:t>
      </w:r>
    </w:p>
    <w:p>
      <w:pPr>
        <w:spacing w:after="0" w:line="242"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84-4290188</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3920 Park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Edison, New Jersey 08820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225-8400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Joe Mastrangelo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3920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Edison, New Jersey 08820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(732) 225-8400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L. Fry,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2801 N. Harwood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2300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(214) 651-5000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6"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2">
            <w:col w:w="4900" w:space="720"/>
            <w:col w:w="5620"/>
          </w:cols>
          <w:pgMar w:left="320" w:top="216" w:right="339" w:bottom="0"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156845</wp:posOffset>
            </wp:positionV>
            <wp:extent cx="168021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02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158,433,112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21, 2024, Eos Energy Enterprises, Inc., a Delaware corporation (the “Company,” “we,” “our” or “us”), entered into a credit and guaranty agreement (as amended by the First Omnibus Amendment to Credit Documents, dated as of November 26, 2024, and as further amended by the First Amendment to Credit and Guaranty Agreement dated as of April 30, 2025, the “Credit Agreement”) by and among the Company, the guarantors party thereto, the lenders party thereto and CCM Denali Debt Holdings, LP (“CCM Denali Debt”), as administrative agent and collateral agent, pursuant to which the lenders provided a $210.5 million secured multi-draw facility (the “Delayed Draw Term Loan”), and a $105 million revolving credit facility, to be made available at the lenders’ sole discretion, on terms and subject to conditions set forth in the Credit Agreement. On June 21, 2024, the Company entered into a securities purchase agreement (the “Purchase Agreement,” together with the Credit Agreement, the “Agreements”) with CCM Denali Equity Holdings, LP (“CCM Denali Equity” or the “Selling Securityholder”), pursuant to which the Company agreed to sell, pursuant to the terms and conditions set forth in the Credit Agreement, securities of the Company.</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Delayed Draw Term Loan, the lenders funded to the Company $75 million on June 21, 2024, $30 million on August 29, 2024, $65 million on October 31, 2024 and $40.5 million on January 24, 2025. In connection with each draw under the Delayed Draw Term Loan, the Company issued a Warrant (as defined below) and/or shares of preferred stock in amounts representing predetermined, fully diluted, percentages (an “Applicable Percentage”) of the Company’s common stock, par value $0.0001 per share (the “Common Stock”). In connection with such draws: (i) on June 21, 2024, the lenders were issued a warrant to purchase 43,276,194 shares of Common Stock at an exercise price of $0.01 per share (the “Warrant”) and shares of Series A-1 Non-Voting Non-Convertible Preferred Stock, par value $0.0001 per share (the “Series A-1 Preferred Stock”), that converted into 31.940063 shares of non-voting Series B-1 Convertible Preferred Stock, par value $0.0001 per share (“Series B-1 Preferred Stock”), which shares of Series B-1 Preferred Stock are convertible into an aggregate of 31,940,063 shares of Common Stock, (ii) on August 29, 2024, the lenders were issued shares of Series A-2 Non-Voting Non-Convertible Preferred Stock, par value $0.0001 per share (the “Series A-2 Preferred Stock”), that converted into 28.806463 shares of non-voting Series B-2 Convertible Preferred Stock, par value $0.0001 per share (“Series B-2 Preferred Stock”), which shares of Series B-2 Preferred Stock are convertible into an aggregate of 28,806,463 shares of Common Stock, (iii) on October 31, 2024, the lenders were issued 38.259864 shares of non-voting Series B-3 Convertible Preferred Stock, par value $0.0001 per share (“Series B-3 Preferred Stock”), which shares of Series B-3 Preferred Stock are convertible into an aggregate of 38,259,864 shares of Common Stock, and (iv) on January 24, 2025, the lenders were issued 16.150528 shares of non-voting Series B-4 Convertible Preferred Stock, par value $0.0001 per share (the “Series B-4 Preferred Stock” and, together with the Series B-1 Preferred Stock, the Series B-2 Preferred Stock and the Series B-3 Preferred Stock, the “Series B Preferred Stock”), which shares of Series B-4 Preferred Stock are convertible into an aggregate of 16,150,528 shares of Common Stock. This prospectus relates to the offer and sale by the Selling Securityholder of an aggregate of 158,433,112 shares of Common Stock underlying the Series B Preferred Stock and issuable upon exercise of the Warrant issued in connection with the Purchase Agreement.</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Company fails to achieve Sales Milestone 4 (as defined in the Credit Agreement) on July 31, 2025, the Applicable Percentage will be subject to up to a 1.0% increase for the missed milestone or an increase in the overall Applicable Percentage of up to 34.0%, which would result in the issuance of additional warrants or preferred stock to CCM Denali Equity.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Selling Securityholder may sell the shares of Common Stock, obtained from the exercise of the Warrant and/or the conversion of the Series B Preferred Stock, in a number of different ways and at varying prices from time to time in accordance with the provisions set forth under the section titled “Plan of Distribution.” The shares of Common Stock, obtained from the exercise of the Warrant and/or the conversion of the Series B Preferred Stock, may be sold directly to you, through agents, or through underwriters and dealers. The Selling Securityholder may sell the shares of Common Stock, obtained from the exercise of the Warrant and / or the conversion of the Series B Preferred Stock, at prevailing market prices or at prices negotiated with buyers. The Selling Securityholder will be responsible for any commissions due to brokers, dealers or agents. We will be responsible for all other offering expenses. We will not receive any of the proceeds from the sale by the Selling Securityholder of the shares of Common Stock offered by this prospectus, except with respect to amounts received by us upon the exercise of the Warrant for cash.</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Common Stock and our public warrants are listed on the Nasdaq Capital Market (“Nasdaq”) under the symbol “EOSE” and “EOSEW,” respectively. The closing price of our Common Stock on May 6, 2025 was $5.04 per share. The closing price of our public warrants on May 6, 2025 was $0.43 per warrant.</w:t>
      </w:r>
    </w:p>
    <w:p>
      <w:pPr>
        <w:spacing w:after="0" w:line="172" w:lineRule="exact"/>
        <w:rPr>
          <w:sz w:val="20"/>
          <w:szCs w:val="20"/>
          <w:color w:val="auto"/>
        </w:rPr>
      </w:pPr>
    </w:p>
    <w:p>
      <w:pPr>
        <w:jc w:val="both"/>
        <w:ind w:firstLine="324"/>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Common Stock involves a number of risks. You should review carefully the risks and uncertainties described under the heading “Risk Factors” beginning on page 11 of our annual report on </w:t>
      </w:r>
      <w:hyperlink r:id="rId20">
        <w:r>
          <w:rPr>
            <w:rFonts w:ascii="Times New Roman" w:cs="Times New Roman" w:eastAsia="Times New Roman" w:hAnsi="Times New Roman"/>
            <w:sz w:val="18"/>
            <w:szCs w:val="18"/>
            <w:b w:val="1"/>
            <w:bCs w:val="1"/>
            <w:u w:val="single" w:color="auto"/>
            <w:color w:val="0000EE"/>
          </w:rPr>
          <w:t>Form 10-K</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for the fiscal year ended December 31, 2024, which is incorporated herein by reference, as amended or supplemented from time to time by any risk factors we include in subsequent annual or quarterly reports on Form 10-K, 10-Q or 8-K, respectively, and incorporated herein by reference, before investing in our Common Stock.</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 have authorized anyone to provide you with information that differs from the information provided in this prospectus, as well as the information incorporated by reference into this prospectus and any applicable prospectus supplement. Neither we nor the Selling Securityholder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respective dates of this prospectus and the documents incorporated by reference into this prospectus, our business, financial condition, results of operations and prospects may have changed.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ABOUT THIS OFFERING</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24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688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78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5"/>
                <w:szCs w:val="15"/>
                <w:color w:val="auto"/>
              </w:rPr>
            </w:pPr>
          </w:p>
        </w:tc>
        <w:tc>
          <w:tcPr>
            <w:tcW w:w="866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as defined in Rule 405 under the Securities Act of 1933, as amended, or the Securities Act, using a “shelf” registration process. Under this shelf process, the Selling Securityholder may offer the securities described in this prospectus in one or more offerings. This prospectus provides you with a general description of us and the securities that may be offered by the Selling Securityholder. Because the Selling Securityholder may be deemed to be an “underwriter” within the meaning of the Securities Act, each time securities are offered by the Selling Securityholder pursuant to this prospectus, the Selling Securityholder may be required to provide you with this prospectus and, in certain cases, a prospectus supplement that will contain specific information about the Selling Securityholder and the terms of the securities being offered. The prospectus supplement may also add to, update or change the information contained in this prospectus. If there is any inconsistency between the information in this prospectus and any prospectus supplement, you should rely on the information in the prospectus supplement. Please carefully read this prospectus and any prospectus supplement, in addition to the information contained in the documents we refer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in any applicable prospectus supplement, including any information incorporated by reference. Neither we nor the Selling Securityholder has authorized anyone to provide you with any information or to make any representations other than those contained in this prospectus or in any free writing prospectus made available by us. We and the Selling Securityholder take no responsibility for, and can provide no assurance as to the reliability of, any other information that others may give you.</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is accurate only as of the date on the cover of this prospectus and that any information we have incorporated by reference is accurate only as of the date of the document incorporated by reference. Our business, financial condition, results of operations and prospects may have changed since the date indicated on the cover page of such documents.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distribution of this prospectus may be restricted by law in certain jurisdictions. You should inform yourself about and observe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Our filings with the SEC are also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We also make available free of charge on our website at </w:t>
      </w:r>
      <w:r>
        <w:rPr>
          <w:rFonts w:ascii="Times New Roman" w:cs="Times New Roman" w:eastAsia="Times New Roman" w:hAnsi="Times New Roman"/>
          <w:sz w:val="18"/>
          <w:szCs w:val="18"/>
          <w:i w:val="1"/>
          <w:iCs w:val="1"/>
          <w:color w:val="auto"/>
        </w:rPr>
        <w:t>https://www.eose.com/</w:t>
      </w:r>
      <w:r>
        <w:rPr>
          <w:rFonts w:ascii="Times New Roman" w:cs="Times New Roman" w:eastAsia="Times New Roman" w:hAnsi="Times New Roman"/>
          <w:sz w:val="18"/>
          <w:szCs w:val="18"/>
          <w:color w:val="auto"/>
        </w:rPr>
        <w:t xml:space="preserve"> all of the documents that we file with the SEC as soon as reasonably practicable after we electronically file such material with the SEC. Information contained on our website is not incorporated by reference into this prospectus.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the omitted information. The statements this prospectus makes pertaining to the content of any contract, agreement or other document that is an exhibit to the registration statement necessarily are summaries of their material provisions and do not describe all exceptions and qualifications contained in those contracts, agreements or documents. You should read those contracts, agreements or documents for information that may be important to you. The registration statement, exhibits and schedules are available through the SEC’s website.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incorporating by reference the filings listed below and any additional documents that we may file with the SEC pursuant to Section 13(a), 13(c), 14 or 15(d) of the Securities Exchange Act of 1934, as amended (the “Exchange Act”) on or after the date hereof and prior to the termination of any offering (other than documents or information deemed to have been furnished and not filed in accordance with SEC rules):</w:t>
      </w:r>
    </w:p>
    <w:p>
      <w:pPr>
        <w:spacing w:after="0" w:line="17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4,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6,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specifically incorporated by reference in our Annual Report on </w:t>
      </w:r>
      <w:hyperlink r:id="rId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from our Definitive Proxy Statement on </w:t>
      </w:r>
      <w:hyperlink r:id="rId2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27, 2025;</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8">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0">
        <w:r>
          <w:rPr>
            <w:rFonts w:ascii="Times New Roman" w:cs="Times New Roman" w:eastAsia="Times New Roman" w:hAnsi="Times New Roman"/>
            <w:sz w:val="18"/>
            <w:szCs w:val="18"/>
            <w:u w:val="single" w:color="auto"/>
            <w:color w:val="0000EE"/>
          </w:rPr>
          <w:t>March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information furnished under item 7.01); and</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31">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w:t>
      </w:r>
      <w:hyperlink r:id="rId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spacing w:after="0" w:line="178" w:lineRule="exact"/>
        <w:rPr>
          <w:rFonts w:ascii="Times New Roman" w:cs="Times New Roman" w:eastAsia="Times New Roman" w:hAnsi="Times New Roman"/>
          <w:sz w:val="18"/>
          <w:szCs w:val="18"/>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You may also request copies of these documents, at no cost to you, from our website (</w:t>
      </w:r>
      <w:r>
        <w:rPr>
          <w:rFonts w:ascii="Times New Roman" w:cs="Times New Roman" w:eastAsia="Times New Roman" w:hAnsi="Times New Roman"/>
          <w:sz w:val="18"/>
          <w:szCs w:val="18"/>
          <w:i w:val="1"/>
          <w:iCs w:val="1"/>
          <w:color w:val="auto"/>
        </w:rPr>
        <w:t>https://www.eose.com/</w:t>
      </w:r>
      <w:r>
        <w:rPr>
          <w:rFonts w:ascii="Times New Roman" w:cs="Times New Roman" w:eastAsia="Times New Roman" w:hAnsi="Times New Roman"/>
          <w:sz w:val="18"/>
          <w:szCs w:val="18"/>
          <w:color w:val="auto"/>
        </w:rPr>
        <w:t>), or by writing or telephoning us at the following address:</w:t>
      </w:r>
    </w:p>
    <w:p>
      <w:pPr>
        <w:spacing w:after="0" w:line="16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Edison, New Jersey 08820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(732) 225-8400</w:t>
      </w:r>
    </w:p>
    <w:p>
      <w:pPr>
        <w:spacing w:after="0" w:line="207"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Exhibits to these documents will not be sent, however, unless those exhibits have been specifically incorporated by reference into this prospectus.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the Private Securities Litigation Reform Act of 1995. The words “anticipate,” “believe,” “continue,” “could,” “estimate,” “expect,” “intend,” “may,” “might,” “plan,” “possible,” “potential,” “predict,” “project,” “should,” “would” and similar expressions, as they relate to us, are intended to identify forward-looking statements. These statements appear in a number of places in this prospectus and the documents incorporated by reference herein, and include statements regarding the intent, belief or current expectations of the Company.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19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the business in which we are engaged;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trends accurately;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service indebtedness and incur additional indebtedness;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secure project financing;</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Credit Agreement, including risks of default, dilution of outstanding Common Stock, consequences for failure to meet milestones and contractual lockup of shares;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final tax credits available to our customers or to the Company pursuant to the Inflation Reduction Act including potential impacts from any repeal or modification of the legislation;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availability of future funding under the Department of Energy Loan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efficient manufacturing processes to scale and to forecast related costs and efficiencies accurately;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and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firm order backlog and pipeline to revenue;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security breaches in our information technology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legal proceedings or claims;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evolving energy policies in the United States and other countries and the potential costs of regulatory compliance;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to the U.S. trade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shares of Common Stock on Nasdaq;</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and manage growth profitably, maintain relationships with customers and suppliers and retain our management and key employees;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adverse changes in general economic conditions, including inflationary pressures, increased interest rates and tariffs, sanctions or restrictions on imports or other trade barriers between the Unites States and various countries;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from supply chain disruptions and other impacts of geopolitical conflict;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w:t>
      </w:r>
    </w:p>
    <w:p>
      <w:pPr>
        <w:spacing w:after="0" w:line="2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w:t>
      </w:r>
      <w:r>
        <w:rPr>
          <w:rFonts w:ascii="Times New Roman" w:cs="Times New Roman" w:eastAsia="Times New Roman" w:hAnsi="Times New Roman"/>
          <w:sz w:val="18"/>
          <w:szCs w:val="18"/>
          <w:i w:val="1"/>
          <w:iCs w:val="1"/>
          <w:color w:val="auto"/>
        </w:rPr>
        <w:t>Part I, Item 1A. — Risk Factors</w:t>
      </w:r>
      <w:r>
        <w:rPr>
          <w:rFonts w:ascii="Times New Roman" w:cs="Times New Roman" w:eastAsia="Times New Roman" w:hAnsi="Times New Roman"/>
          <w:sz w:val="18"/>
          <w:szCs w:val="18"/>
          <w:color w:val="auto"/>
        </w:rPr>
        <w:t>” of the Company’s Annual Report on Form 10-K for the fiscal year ended December 31, 2024, filed on March 4, 2025, any subsequently filed Quarterly Reports on Form 10-Q and any subsequently filed Current Report on Form 8-K (excluding any information furnished pursuant to Item 2.02 or Item 7.01 on any Current Report on Form 8-K).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they could cause our actual results to differ materially from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69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45020" cy="7162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45020" cy="7162165"/>
                    </a:xfrm>
                    <a:prstGeom prst="rect">
                      <a:avLst/>
                    </a:prstGeom>
                    <a:noFill/>
                  </pic:spPr>
                </pic:pic>
              </a:graphicData>
            </a:graphic>
          </wp:anchor>
        </w:drawing>
        <w:t>SUMMARY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and does not contain all of the information that is 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American energy company and America’s leading innovator in designing, manufacturing, and providing zinc-based battery energy storage systems (“BESS”), sourced, and manufactured in the United States. Our BESS are safe, non-flammable, secure, and sustainable alternatives to lithium-ion batteries, making them ideal for utility-scale, microgrid, and commercial and industrial long-duration applications.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design, develop, manufacture, and market innovative zinc-based energy storage solutions for utility-scale, microgrid, and commercial &amp; industrial (“C&amp;I”) applications. We believe that our batteries have the potential to emerge as a leading alternative to Lithium-ion batteries for such long-duration applications. We have developed a broad range of intellectual property with multiple patents covering unique battery chemistry, mechanical product design, energy block configuration and a software operating system (Battery Management System or “BMS”). The BMS software uses proprietary Eos-developed algorithms and includes ambient and battery temperature sensors, as well as voltage and electric current sensors for the electrical strings and the system. We currently focus on manufacturing and selling turn-key direct current (“DC”) battery energy storage systems. We plan to develop a turn-key alternating current system. Our primary applications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We have a manufacturing facility in Turtle Creek, Pennsylvania to produce DC energy blocks with an integrated BMS. Our primary market is North America. The Company has one operating and reportable segment.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offer an innovative Znyth™ technology BESS designed to provide the operating flexibility to manage increased grid complexity and price volatility resulting from an overall increase in renewable energy generation and a congested grid coming from an increase in electricity demand growth. Our BESS is a validated chemistry with accessible non-precious earth components in a durable design that is intended to deliver results in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provides utilities, independent power producers, renewables developers and C&amp;I customers with an alternative to lithium-ion and lead-acid monopolar batteries for critical 3- to 12-hour or longer discharge duration applications. We believe the Z3 battery is transforming how utility, industrial and commercial customers store power.</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its BESS, we currently offer: (a) a BMS which provides a remote asset monitoring capability and service to track the performance and health of our BESS and to proactively identify future system performance issues through predictive analytics; (b) project management services to ensure the process of implementing our BESS are coordinated in conjunction with the customer’s overall project plans; (c) commissioning services that ensure the customer’s installation of the BESS meets the performance expected by the customer; and (d) long-term maintenance plans to maintain optimal operating performance of our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June 2019 as a blank check company under the name B. Riley Principal Merger Corp. II. In connection with its business combination on November 16, 2020, we changed our name to Eos Energy Enterprises,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mailing address of our principal executive office is 3920 Park Avenue, Edison, NJ 08820, and our phone number is (732) 225-8400. Our corporate website address is </w:t>
      </w:r>
      <w:r>
        <w:rPr>
          <w:rFonts w:ascii="Times New Roman" w:cs="Times New Roman" w:eastAsia="Times New Roman" w:hAnsi="Times New Roman"/>
          <w:sz w:val="18"/>
          <w:szCs w:val="18"/>
          <w:i w:val="1"/>
          <w:iCs w:val="1"/>
          <w:color w:val="auto"/>
        </w:rPr>
        <w:t>https://www.eose.com/</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 in this prospectus is an inactive textual reference only, and are not hyperlinks.</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360" w:right="439" w:bottom="1440" w:gutter="0" w:footer="0" w:header="0"/>
        </w:sectPr>
      </w:pPr>
    </w:p>
    <w:bookmarkStart w:id="8" w:name="page9"/>
    <w:bookmarkEnd w:id="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Offered and Sold from Time to Time by the Selling Securityholder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Times New Roman" w:cs="Times New Roman" w:eastAsia="Times New Roman" w:hAnsi="Times New Roman"/>
          <w:sz w:val="18"/>
          <w:szCs w:val="18"/>
          <w:b w:val="1"/>
          <w:bCs w:val="1"/>
          <w:color w:val="auto"/>
        </w:rPr>
        <w:t>ABOUT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-268605</wp:posOffset>
            </wp:positionV>
            <wp:extent cx="7145020" cy="45561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5020" cy="455612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and sale by the selling securityholder of an aggregate of 158,433,112 shares of Common Stock underlying the Series B Preferred Stock and issuable upon exercise of the Warrant issued in connection with the Purchase Agreement.</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Stock offered under this prospectus, except with respect to amounts received by us upon the exercise of the Warrant for cash. Any proceeds from the sale of Common Stock under this prospectus will be received by the selling securityholder. We will pay all expenses related to this offering, other than underwriting discounts and commissions related to the shares of Common Stock sold by the selling securityholder.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and public warrants are listed on Nasdaq under the symbol “EOSE” and “EOSEW,” respectively.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described under, but not limited to, the heading “Risk Factors” in our most recent Annual Report on Form 10-K, any subsequently filed Quarterly Reports on Form 10-Q and any subsequently filed Current Reports on Form 8-K (excluding any information furnished pursuant to Item 2.02 or Item 7.01 on any Current Report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w:t>
      </w:r>
      <w:r>
        <w:rPr>
          <w:rFonts w:ascii="Times New Roman" w:cs="Times New Roman" w:eastAsia="Times New Roman" w:hAnsi="Times New Roman"/>
          <w:sz w:val="18"/>
          <w:szCs w:val="18"/>
          <w:i w:val="1"/>
          <w:iCs w:val="1"/>
          <w:color w:val="auto"/>
        </w:rPr>
        <w:t>Special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300" w:space="560"/>
            <w:col w:w="7140"/>
          </w:cols>
          <w:pgMar w:left="460" w:top="360" w:right="439" w:bottom="1440" w:gutter="0" w:footer="0" w:header="0"/>
        </w:sect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360" w:right="4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described under, but not limited to,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for the year ended December 31, 2024 on Form 10-K, any subsequently filed Quarterly Reports on Form 10-Q and any subsequently filed Current Reports on Form 8-K (excluding any information furnished pursuant to Item 2.02 or Item 7.01 on any Current Report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w:t>
      </w:r>
      <w:r>
        <w:rPr>
          <w:rFonts w:ascii="Times New Roman" w:cs="Times New Roman" w:eastAsia="Times New Roman" w:hAnsi="Times New Roman"/>
          <w:sz w:val="18"/>
          <w:szCs w:val="18"/>
          <w:i w:val="1"/>
          <w:iCs w:val="1"/>
          <w:color w:val="auto"/>
        </w:rPr>
        <w:t>Special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Stock offered under this prospectus, except with respect to amounts received by us upon the exercise of the Warrant for cash. Any proceeds from the sale of Common Stock under this prospectus will be received by the Selling Securityholder. We will pay all expenses related to this offering, other than underwriting discounts and commissions related to the shares of Common Stock sold by the Selling Securityholder.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certificate of incorporation and amended and restated bylaws. These documents are filed as exhibits and incorporated by reference into the registration statement of which this prospectus forms a part.</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601,000,000 shares of capital stock, consisting of (x) 600,000,000 authorized shares of Common Stock and (y) 1,000,000 authorized shares of preferred stock, par value $0.0001 per share. As of May 6, 2025, there were 227,591,165 shares of Common Stock outstanding. As of May 6, 2025, 59 shares of preferred stock were designated as Series A-1 Preferred Stock, none of which are outstanding; 7 shares of preferred stock were designated as Series A-2 Preferred Stock, none of which are outstanding; 31.940063 shares of preferred stock were designated as Series B-1 Preferred Stock, all of which are outstanding; 28.806463 shares of preferred stock were designated as Series B-2 Preferred Stock, all of which are outstanding; 38.259864 shares of preferred stock were designated as Series B-3 Preferred Stock, all of which are outstanding and 16.150528 shares of preferred stock were designated as Series B-4 Preferred Stock, all of which are outstanding. There is no cumulative voting with respect to the election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our directors and all other matters requiring stockholder action and will at all times vote together as one class on all matters submitted to a vote of the stockholders. Holders of Common Stock are entitled to one vote per share on matters to be voted on by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winding-up, the holders of Common Stock will be entitled to receive an equal amount per share of all of our assets of whatever kind available for distribution to stockholders, after the rights of the holders of the preferred stock have been satisfied and after payment or provision for payment of our debts and other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stockholders have no preemptive or other subscription rights and there is no sinking fund or redemption provisions applicable to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is divided into three (3) classes with only one class of directors being elected in each year and each class serving a three (3) year term. The directors hold their office for a term of three (3) years or until their respective successors are elected and qualified, subject to such director’s earlier death, resignation, disqualification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shares of preferred stock may be issued from time to time in one or more series. Our Board is authorized to fix the voting rights, if any, designations, powers, preferences, the relative, participating, optional or other special rights and any qualifications, limitations and restrictions thereof, applicable to the shares of each series. Our Board may, without stockholder approval,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the Company or the removal of existing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A-1 Preferred Stock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21, 2024, the Company filed with the Secretary of State of the State of Delaware the Certificate of Designation of Series A-1 Non-Voting Non-Convertible Preferred Stock (the “Series A-1 Certificate of Designation”) and issued 59 shares of Series A-1 Preferred Stock to satisfy the terms of the Credit Agreement. Under the terms of the Series A-1 Certificate of Designation, each share of Series A-1 Preferred Stock had an original issue price of $455,822.59 and such shares had a liquidation value, payable with the Common Stock, as if such shares were convertible into an aggregate of 31,940,063 shares of Common Stock, subject to adjustment. The Series A-1 Preferred Stock was non-voting and non-convertible into Common Stock. Holders of the Series A-1 Preferred Stock were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 The 59 shares of Series A-1 Preferred Stock issued to CCM Denali Equity converted into shares of Series B-1 Preferred Stock on September 12, 2024. The foregoing summary of the terms of the Series A-1 Preferred Stock is qualified in its entirety by the Series A-1 Certificate of Designation, which is filed as an exhibit to the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A-2 Preferred Stock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29, 2024, the Company filed with the Secretary of State of the State of Delaware the Certificate of Designation of Series A-2 Non-Voting Non-Convertible Preferred Stock (the “Series A-2 Certificate of Designation”). Under the terms of the Series A-2 Certificate of Designation, each share of Series A-2 Preferred Stock had an original issue price of $9,555,515.30 and such shares had a liquidation value, payable pari passu with the Common Stock, as if such shares were convertible into an aggregate of 28,806,463 shares of Common Stock, subject to adjustment. The Series A-2 Preferred Stock was non-voting and non-convertible into Common Stock. Holders of the Series A-2 Preferred Stock were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were substantially identical to the Series A-1 Preferred Stock. On August 29, 2024, pursuant to the terms and conditions of the Credit Agreement, the Applicable Percentage increased by 4.9%, and as a result the Company issued to CCM Denali Equity 7 shares of Series A-2 Preferred Stock. On September 12, 2024, the 7 shares of Series A-2 Preferred Stock issued to CCM Denali Equity converted into shares of Series B-2 Preferred Stock. The foregoing summary of the terms of the Series A-2 Preferred Stock is qualified in its entirety by the Series A-2 Certificate of Designation, which is filed as an exhibit to the registration statement of which this prospectus forms a part.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11, 2024, the Company filed with the Secretary of State of the State of Delaware the Certificate of Designation of Series B-1 Non-Voting Convertible Preferred Stock and the Certificate of Designation of Series B-2 Non-Voting Convertible Preferred Stock. On November 1, 2024, the Company filed with the Secretary of State of the State of Delaware the Certificate of Designation of Series B-3 Non-Voting Convertible Preferred Stock. On January 24, 2025, the Company filed with the Secretary of State of the State of Delaware the Certificate of Designation of Series B-4 Non-Voting Convertible Preferred Stock. Each share of Series B Preferred Stock has a par value of $0.0001 per share. The table below summarizes the Company’s outstanding Series B Preferred Stock as of May 6, 2025.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Equivalent</w:t>
            </w:r>
          </w:p>
        </w:tc>
      </w:tr>
      <w:tr>
        <w:trPr>
          <w:trHeight w:val="216"/>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B-1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9/12/2024</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841,999.99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6"/>
              </w:rPr>
              <w:t>31.940063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B-2 Preferred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9/12/2024</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28.806463</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2,322,000</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28.806463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28,806,463</w:t>
            </w:r>
          </w:p>
        </w:tc>
      </w:tr>
      <w:tr>
        <w:trPr>
          <w:trHeight w:val="216"/>
        </w:trPr>
        <w:tc>
          <w:tcPr>
            <w:tcW w:w="4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B-3 Preferred Stock</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11/1/2024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38.259864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3,358,000</w:t>
            </w:r>
          </w:p>
        </w:tc>
        <w:tc>
          <w:tcPr>
            <w:tcW w:w="1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38.259864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38,259,864</w:t>
            </w:r>
          </w:p>
        </w:tc>
      </w:tr>
      <w:tr>
        <w:trPr>
          <w:trHeight w:val="23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Series B-4 Preferred Stock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1/24/2025</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16.150528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5,990,000</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16.150528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16,150,528</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 Rights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Holders of the Series B Preferred Stock are entitled to receive dividends or distributions on each share of Series B Preferred Stock equal to dividends or distributions actually paid on each share of Common Stock on an as-converted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Directors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 all times when the holders of the Series B Preferred Stock beneficially own at least 10%, 15% or 30% of the capital stock of the Company, the holders of the Series B Preferred Stock, exclusively and voting together as a separate class, will have the right to appoint a maximum of 1, 2 or 3 directors to the Board, respectively. At all times when the holders of the Series B Preferred Stock beneficially own at least 40% of the capital stock of the Company, the holders of the Series B Preferred Stock, exclusively and voting together as a separate class, will have the right to nominate and designate a fourth director, who shall be designated by the Board or the nominating committee of the Board to a class of common directors and thereafter stand for election as a common director on the Board. The holders of the Series B Preferred Stock will have the right to nominate a fourth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Series B Preferred Stock with the Hart-Scott-Rodino Antitrust Improvements Act of 1976, including the submission of any required filings and the expiration or termination of any applicable waiting periods.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Preemptive Rights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certificates of designations for the Series B Preferred Stock contain customary preemptive rights that permit the holders of Series B Preferred Stock to participate in certain future equity offerings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 to Distributions Upon Liquidation of the Company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Purchase Agreement and the Credit Agreement, including the Series B Preferred Stock, in an amount equal to such amount per share as would have been payable had all shares of Series B Preferred Stock been converted to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Protective Provisions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prohibited from taking certain actions that could adversely affect the rights of the Preferred Stock without the affirmative vote of a majority of the outstanding shares of Preferred Stock until the later of (i) such time when the holders of Series B Preferred Stock shall no longer beneficially own at least 5% of the outstanding capital stock of the Corporation and (ii) June 21, 2029, in the case of the Series B-1 Preferred Stock, August 29, 2029, in the case of the Series B-2 Preferred Stock, November 1, 2029, in the case of the Series B-3 Preferred Stock, or January 24, 2030, in the case of the Series B-4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Redemption Rights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any time after June 21, 2029, in the case of the Series B-1 Preferred Stock, August 29, 2029, in the case of the Series B-2 Preferred Stock, November 1, 2029, in the case of the Series B-3 Preferred Stock or January 24, 2030, in the case of the Series B-4 Preferred Stock, the outstanding shares of Series B Preferred Stock held by any holder become redeemable for cash at the redemption price. The redemption price will be an amount per share equal to the greater of (i) $841,999.99 for the Series B-1 Preferred Stock, $2,322,000 for the Series B-2 Preferred Stock, $3,358,000 for the Series B-3 Preferred Stock or $5,990,000 for the Series B-4 Preferred Stock,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Series B Preferred Stock is qualified in its entirety by the terms of the respective Series B Certificate of Designation, each of which is filed as an exhibit to the registration statement of which this prospectus forms a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 Warrant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Purchase Agreement, the Company issued the Warrant to purchase 43,276,194 shares of Common Stock. The Warrant has a ten-year term and a $0.01 per share exercise price. The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Following stockholder approval on September 10, 2024, the warrant conversion cap increased to 49.9% of the number of shares of Common Stock issued and outstanding as of the applicable measurement date; provided that, following such stockholder approval, the holder of the Warrant has the option to amend the warrant conversion cap to any percentage less than 49.9%.</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Warrant is exercisable at the holder’s discretion for cash or on a cashless basis. The Warrant is subject to automatic cashless exercise on the expiration date if the fair market value (as defined in the Warrant) of one share is greater than the exercise price then in effect. Upon an acceleration under the Credit Agreement, the Company will be required to purchase the Warrant from the holder at an amount equal to the closing sale price (as defined in the Warrant) less the warrant price at the request of the holder.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of the Warrant is qualified in its entirety by the Warrant, which is set out in Exhibit C to the Purchase Agreement, whereas the Purchase Agreement is filed as an exhibit to the registration statement of which this prospectus forms a part.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the Company’s Certificate of Incorporation and Bylaws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bylaws and the Delaware General Corporation Law, or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For instance, our Board will be empowered to elect a director to fill a vacancy created by the expansion of the Board or the resignation, death, or removal of a director in certain circumstances; and our advance notice provisions in our bylaws will require that stockholders must comply with certain procedures in order to nominate candidates to our Board or to propose matters to be acted upon at a stockholders’ meeting.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 its certificate of incorporation, has expressly elected not to be governed by Section 203 of the DGCL, and thus the restrictions on business combinations contained in Section 203 of the DGCL do not apply to the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each of which will generally serve for a term of three years with only one class of directors being elected in each year. This system of electing directors may tend to discourage a third party from making a tender offer or otherwise attempting to obtain control of us, because it generally makes it more difficult for stockholders to replace a majority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to the fullest extent permitted by the DGCL and provides that we will provide them with customary indemnification. We entered into customary indemnification agreements with each of our executive officers and directors that provide them, in general, with customary indemnification in connection with their service to us or on our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Exchange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and public warrants are listed on Nasdaq under the symbol “EOSE” and “EOSEW,”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Securityholder named below may offer and sell from time to time in the future up to an aggregate of 158,433,112 shares of Common Stock that may be issued upon exercise of the Warrant and conversion of the Series B Preferred Stock. The term “Selling Securityholder” includes the securityholder listed in the table in this section and its permitted transferees, pledgees, donees, assignees or other successors.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filing this prospectus pursuant to the Purchase Agreement. Pursuant to the Purchase Agreement, we will pay all expenses relating to the offering of these shares of Common Stock, except that the Selling Securityholder will pay any underwriting discounts or commissions. We will indemnify the Selling Securityholder against liabilities, including liabilities under the Securities Act. We may be indemnified by the Selling Securityholder against civil liabilities, including liabilities under the Securities Act, which may arise from any written information furnished to us by the Selling Securityholder specifically for use in this prospectus.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Purchase Agreement, the Selling Securityholder has agreed to, subject to certain customary exceptions, contractual lock-up restrictions on transfers of any securities of the Company. The lock-up restrictions expire on June 21, 2025.</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 below sets forth information as of May 6, 2025 regarding the beneficial ownership of shares of Common Stock held by the Selling Securityholder and the number of shares of Common Stock that may from time to time be offered or sold pursuant to this prospectus. Beneficial ownership is determined in accordance with the rules and regulations of the SEC. As of May 6, 2025, we had 227,591,165 shares of Common Stock outstanding. The information regarding shares of Common Stock beneficially owned after the offering assumes the sale of all shares of Common Stock offered by the Selling Securityholder and that the Selling Securityholder does not acquire any additional shares of Common Stock. Information in the table below is based on information filed with the SEC or obtained from the Selling Securityholder named below.</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Information concerning the Selling Securityholder may change from time to time and any changed information may be set forth in supplements to this prospectus, if and when necessary. The Selling Securityholder may offer all, some or none of its shares of Common Stock. We cannot advise you as to whether the Selling Securityholder will in fact sell any or all of such shares of Common Stock. In addition, the Selling Securityholder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it provided the information set forth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After</w:t>
            </w:r>
          </w:p>
        </w:tc>
        <w:tc>
          <w:tcPr>
            <w:tcW w:w="16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(Assuming</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All 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Prior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 this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Being Sold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Hereunder</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Offering</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Offering(3)</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Are Sold)</w:t>
            </w:r>
          </w:p>
        </w:tc>
        <w:tc>
          <w:tcPr>
            <w:tcW w:w="160" w:type="dxa"/>
            <w:vAlign w:val="bottom"/>
            <w:tcBorders>
              <w:bottom w:val="single" w:sz="8" w:color="CCEEFF"/>
            </w:tcBorders>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CCM Denali Equity Holdings, LP (1)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158,433,112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158,433,112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contractual lock-up restrictions which expire after June 21, 2025.</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43,276,194 shares of Common Stock of the Company issuable upon exercise of the Warrant, 31,940,063 shares of Common Stock of the Company issuable upon conversion of 31.940063 shares of Series B-1 Preferred Stock, 28,806,463 shares of Common Stock of the Company issuable upon conversion of 28.806463 shares of Series B-2 Preferred Stock, 38,259,864 shares of Common Stock of the Company issuable upon conversion of 38.259864 shares of Series B-3 Preferred Stock, and 16,150,528 shares of Common Stock of the Company issuable upon conversion of 16.150528 shares of Series B-4 Preferred Stock that is directly held by CCM Denali Equity. CCM Denali Equity Holdings GP, LLC (“CCM Denali Equity GP”) is the general partner of CCM Denali Equity. Cerberus Capital Management II, L.P. (“Cerberus Capital Management II”) is the sole member of CCM Denali Equity GP. Due to their relationships with CCM Denali Equity, each of CCM Denali Equity GP and Cerberus Capital Management II may be deemed to beneficially own the securities of the Company held directly by CCM Denali Equity. The address for each of CCM Denali Equity, CCM Denali Equity GP and Cerberus Capital Management II is 875 Third Avenue, 11th Floor, New York, NY 10022.</w:t>
      </w:r>
    </w:p>
    <w:p>
      <w:pPr>
        <w:spacing w:after="0" w:line="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Selling Securityholder disposes of all of the shares of Common Stock covered by this prospectus and does not acquire beneficial ownership of any additional shares of Common Stock.</w:t>
      </w:r>
    </w:p>
    <w:p>
      <w:pPr>
        <w:jc w:val="both"/>
        <w:ind w:left="340" w:hanging="332"/>
        <w:spacing w:after="0" w:line="25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beneficial ownership is based upon 227,591,165 shares of Common Stock outstanding as of May 6, 2025. Because the Selling Securityholder is not obligated to sell any portion of our shares of Common Stock shown as offered by them, we cannot estimate the actual number or percentage of our shares of Common Stock that will be held by the Selling Securityholder upon completion of this offering. However, for purposes of this table, we have assumed that, after completion of the offering, none of the securities covered by this prospectus will be held by the Selling Securityholder.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Securityholder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21, 2024, the Company entered into the (i) Credit Agreement by and among the Company, the guarantors party thereto, the lenders party thereto and CCM Denali Debt and (ii) the Purchase Agreement with CCM Denali Equity, pursuant to which the lenders have provided a $210.5 million Delayed Draw Term Loan, and in their discretion may provide, a $105 million revolving credit facility, on terms and subject to conditions set forth in the Credit Agreement.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30, 2025, the Company entered into that certain First Amendment to Credit and Guaranty Agreement, by and among the Company, certain of the Company’s subsidiaries as guarantors thereto and the Lenders, pursuant to which, the measurement period for achieving Sales Milestone 4 (as defined in the Credit Agreement) was extended until July 31, 2025. On April 30, 2025, the Company and CCM Denali Debt mutually agreed that the Company achieved three of the four Fourth Milestone Components (as defined in the Credit Agreement) related to the Company’s materials cost, Z3 technology and automated line. No additional preferred stock or warrants will be issued to CCM Denali Equity related to the three Fourth Milestone Components achieved by the Company. With this achievement, the Company has achieved, to date, a total of fifteen of the sixteen possible Milestone Components (as defined in the Credit Agreement). If the Company fails to meet Sales Milestone 4 on July 31, 2025, then the Applicable Percentage is subject to up to a final 1% increase, and as a result CCM Denali Equity would be entitled to receive preferred stock or warrants up to a maximum aggregate Applicable Percentage of 34.0% (as compared to the original maximum adjustment for all four Milestones of up to 49.0%), or assuming the number of the Company’s outstanding shares of common stock on a fully diluted basis does not change after April 30, 2025, preferred stock and warrants with respect to an aggregate of 166,645,514 shares of common stock, including the securities already issued to CCM Denali Equity.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Purchase Agreement, the Company agreed to file the registration statement of which this prospectus forms a part, registering for resale all of the “Registrable Securities” (as such term is defined in the Purchase Agreement) in accordance with the terms of the Registration Rights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Selling Securityholder also has the right, in the event that it holds Registrable Securities that are not registered for resale on a delayed or continuous basis, to request the Company to cause the resale of such Registrable Securities to be covered by either, at the Company’s option, any then available registration statement (including by means of a post-effective amendment) or by filing a subsequent registration statement.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Purchase Agreement, the Selling Securityholder has agreed to, subject to certain customary exceptions, contractual lock-up restrictions on transfers of any securities of the Company. The lock-up restrictions expire after June 21, 2025.</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set forth in the certificates of designation governing the Series B Preferred Stock, at all times when holders of preferred stock of the Company (the “Investor Preferred Stock”), beneficially own at least 10.0%, 15.0% or 30.0% of the capital stock of the Company, such holders of Investor Preferred Stock, exclusively and voting together as a separate class, have the right to appoint one (1), two (2) or three (3) preferred directors (the “Preferred Directors”), respectively, to the Board. At all times holders of the Investor Preferred Stock beneficially own at least 40.0% of the capital stock of the Company, such holders of the Investor Preferred Stock, exclusively and voting together as a separate class, will have the right to nominate and designate a fourth director, who shall be designated by the Board or the nominating committee of the Board to a class of directors elected by the holders of the Common Stock and thereafter stand for election as a director on the Board elected by the holders of the Common Stock; provided that, the nominating committee of the Board determines that such appointment of the fourth director not result in a change of control under any Company governing documents or violate any applicable laws, including requirements of the SEC and Nasdaq. Any such fourth director’s appointment shall be subject to and conditioned upon compliance by the holders of the Investor Preferred Stock with the Hart-Scott-Rodino Antitrust Improvements Act of 1976, including the submission of any required filings and the expiration or termination of any applicable waiting periods, which have expired. In the event that any such fourth director is not approved by the holders of Common Stock of the Company at the applicable annual meeting of stockholders, the holders of record of the shares of Investor Preferred Stock will have the right to appoint and elect a replacement for such director, pursuant to the approval requirements set forth above. To the extent any of such directors qualify to serve on any committees of the Board, for each such committee for which at least one (1) director is qualified, at least one (1) such director will be invited to serve on such committee of the Board. So long as the holders of Investor Preferred Stock have a right to appoint a director, the holders thereof will have the right to appoint a non-voting observer to the Board. At all times when the holders of Investor Preferred Stock have a right to appoint a director, the holders of Investor Preferred Stock shall not vote any shares of Common Stock they receive upon the conversion of any Investor Preferred Stock or the exercise of any warrants in any election of directors.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holders of Investor Preferred Stock have appointed Gregory Nixon, Nick Robinson and David Urban as Preferred Directors. As of the date of this prospectus, the holders of the Investor Preferred Stock have not exercised their right to nominate a fourth director to serve as a common director. The holders of Investor Preferred Stock may appoint replacement Preferred Directors at any time.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Any applicable prospectus supplement, amendment or other permissible disclosure document will also disclose whether the Selling Securityholder has held any position or office with, has been employed by or otherwise has had a material relationship with us during the three years prior to the date of the prospectus supplement.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 will offer the Securities in amounts, at prices and on terms to be determined by market conditions at the time of the offerings.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registering 158,433,112 shares of Common Stock issuable upon conversion of the Series B Preferred Stock and issuable upon exercise of the Warrant issued in connection with the Purchase Agreement to permit the Selling Securityholder to resell such shares of Common Stock from time to time after the date of this prospectus. The Selling Securityholder may sell all or a portion of the shares of Common Stock beneficially owned by it from time to time directly or through one or more underwriters, broker-dealers or agents. If the shares of Common Stock are sold through underwriters or broker-dealers, the Selling Securityholder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of Common Stock by the Selling Securityholder. The aggregate proceeds to the Selling Securityholder will be the purchase price of the shares of Common Stock less any discounts and commissions borne by the Selling Securityholder.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bear all other costs, fees and expenses incurred in effecting the registration of the shares of Common Stock covered by this prospectus, including, without limitation, all registration and filing fees, Nasdaq listing fees and fees and expenses of our counsel and our independent registered public accountants.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Common Stock may be sold by any one or more of the following methods: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firm commitment or best efforts underwriting;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(which may involve crosses) in which the Selling Securityholder’s broker or dealer will attempt to sell the shares of Common Stock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 or dealer as principal and resale by the broker or dealer for their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exchange distributions and/or secondary distributions in accordance with the rules of the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of Common Stock by the Selling Securityholder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swaps, forwards or other derivatives (including put or call options), whether the options, swaps or derivatives are listed on an options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short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“at the market” or through market makers or into an existing market for the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Selling Securityholder may from time to time sell the shares of Common Stock in compliance with Rule 144 under the Securities Act, if available, or pursuant to other available exemptions from the registration requirements under the Securities Act, rather than pursuant to this prospectus. In such event, the Selling Securityholder may be required by the securities laws of certain states to offer and sell the shares of Common Stock only through registered or licensed brokers or dealers.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shares of Common Stock held by the Selling Securityholder, to the extent required, an accompanying prospectus supplement or, if appropriate, a post-effective amendment to the registration statement of which this prospectus is part, will be prepared and will set forth the following information:</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the shares of Common Stock to be offered and sold;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securityholders;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us.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selling agents, underwriters or broker-dealers may receive compensation in the form of underwriting discounts, concessions or commissions from the Selling Securityholder, from purchasers of shares of Common Stock for whom they act as agents or from both sources. The Selling Securityholder do not expect these discounts, concessions or commissions to exceed what is customary in the types of transactions involved. The Selling Securityholder will be responsible for any commissions, underwriting discounts or similar charges on the sale of shares of Common Stock under this prospectus.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distributions of the shares of Common Stock or otherwise, the Selling Securityholder may enter into hedging transactions with broker-dealers or other financial institutions. In connection with such transactions, broker-dealers or other financial institutions may engage in short sales of the shares of Common Stock in the course of hedging the positions they assume with the Selling Securityholder. The Selling Securityholder may also sell the shares of Common Stock short and redeliver the shares of Common Stock to close out such short positions. The Selling Securityholder may also enter into option or other transactions with broker-dealers or other financial institutions which require the delivery to such broker-dealer or other financial institution of shares of Common Stock offered by this prospectus, which shares of Common Stock such broker-dealer or other financial institution may resell pursuant to this prospectus (as supplemented or amended to reflect such transaction). The Selling Securityholder may also pledge or grant a security interest in some or all of the shares of Common Stock it owns and, if the Selling Securityholder defaults in the performance of its secured obligations, the pledgees or secured parties may offer and sell the shares of Common Stock from time to time pursuant to a prospectus or any amendment to such prospectus under Rule 424(b)(3) or other applicable provision of the Securities Act, amending, if necessary, the list of Selling Securityholder to include the pledgee, transferee or other successors in interest as Selling Securityholder under such prospectus. The Selling Securityholder also may transfer and donate the shares of Common Stock in other circumstances in which case the transferees, donees, pledgees or other successors in interest will be the selling beneficial owners for purposes of such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shares of Common Stock covered by this prospectus and the applicable prospectus supplement, including in short sale transactions. If so, the third party may use shares of Common Stock pledged by the Selling Securityholder or borrowed from the Selling Securityholder or others to settle those sales or to close out any related open borrowings of stock, and may use shares of Common Stock received from the Selling Securityholder in settlement of those derivatives to close out any related open borrowings of stock. The third party in such sale transactions will be an underwriter and, if not identified in this prospectus, will be identified in the applicable prospectus supplement (or a post-effective amendment).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 and any broker-dealers, agents and underwriters that participate in the distribution of the shares of Common Stock may be deemed to be “underwriters” within the meaning of the Securities Act in connection with the sales. Any commissions, and any profit on the resale of shares of Common Stock, received by the Selling Securityholder and any such broker-dealers, agents or underwriters may be deemed to be underwriting discounts and commissions. Any underwriters, brokers, dealers and agents who participate in any sale of the shares of Common Stock may also engage in transactions with, or perform services for, us or our affiliates in the ordinary course of their businesses.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Securityholder will be subject to applicable provisions of the Exchange Act, and the associated rules and regulations thereunder, including Regulation M, which provisions may affect the marketability of the shares of Common Stock.</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Securityholder against certain liabilities, including certain liabilities under the Securities Act, the Exchange Act or other federal or state law. Agents, broker-dealers and underwriters may be entitled to indemnification by us and the Selling Securityholder against certain civil liabilities, including liabilities under the Securities Act, or to contribution with respect to payments which the agents, broker-dealers or underwriters may be required to make in respect thereof.</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anticipated date of delivery of the shares of Common Stock offered by this prospectus will be described in the applicable prospectus supplement relating to the offering. There can be no assurances that the Selling Securityholder will sell, nor is the Selling Securityholder required to sell, any or all of the share of Common Stock offered under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Haynes and Boone, LLP will pass upon the validity of the shares of Common Stock of the Company offered by this prospectus. In connection with particular offerings of the shares of Common Stock in the future, and if stated in the applicable prospectus supplement, the validity of those shares of Common Stock may be passed upon for us by Haynes and Boone, LLP, and for any underwriters or agents by counsel named in the applicable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Eos Energy Enterprises,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in connection with the offering of the shares of Common Stock being registered, all of which will be paid by the registrant (except any underwriting discounts and commissions and expenses incurred by the Selling Securityholder in disposing of the shares of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to</w:t>
            </w:r>
          </w:p>
        </w:tc>
      </w:tr>
      <w:tr>
        <w:trPr>
          <w:trHeight w:val="245"/>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Be Paid</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 (including Blue Sky fees)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and transfer agent and registrar fees and expenses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120,795.43</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in one or more prospectus supplements filed hereunder.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Our bylaws provide for indemnification by the registrant of its directors, officers and employees to the fullest extent permitted by the DGCL. The registrant has entered into indemnification agreements with each of its current directors and executive officers to provide these directors and executive officers additional contractual assurances regarding the scope of the indemnification set forth in the registrant’s certificate of incorporation and by-laws and to provide additional procedural protections. There is no pending litigation or proceeding involving a director or executive officer of the registrant for which indemnification is sought.</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purchases, redemptions or other distributions, or (iv) for any transaction from which the director derived an improper personal benefit. Our certificate of incorporation provides for such limitation of liability.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its directors and officers against loss rising from claims made by reason of breach of duty or other wrongful act, and (b) to us with respect to payments which may be made by the registrant to such officers and directors pursuant to the above indemnification provision or otherwise as a matter of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61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16. Exhibits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  The following exhibits are included or incorporated by reference in this registration statement on Form S-3: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6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94"/>
        </w:trPr>
        <w:tc>
          <w:tcPr>
            <w:tcW w:w="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45"/>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w:t>
            </w: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Agreement and Plan of Merger, dated as of September 7, 2020, by and</w:t>
              </w:r>
            </w:hyperlink>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September 8, 2020</w:t>
            </w:r>
          </w:p>
        </w:tc>
      </w:tr>
      <w:tr>
        <w:trPr>
          <w:trHeight w:val="196"/>
        </w:trPr>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among the Company, BMRG Merger Sub, LLC, BMRG Merger Sub II,</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LLC, Eos Energy Storage LLC, New Eos Energy LLC and AltEnergy</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Storage VI, LLC (incorporated by reference to Exhibit 2.1 of the</w:t>
              </w:r>
            </w:hyperlink>
          </w:p>
        </w:tc>
        <w:tc>
          <w:tcPr>
            <w:tcW w:w="120" w:type="dxa"/>
            <w:vAlign w:val="bottom"/>
            <w:tcBorders>
              <w:left w:val="single" w:sz="8" w:color="CCEEFF"/>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196"/>
        </w:trPr>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Registrant’s Current Report on Form 8-K filed with the SEC on</w:t>
              </w:r>
            </w:hyperlink>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September 8, 2020)</w:t>
              </w:r>
            </w:hyperlink>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Third  Amended  and  Restated  Certificate  of  Incorporation  of  the</w:t>
              </w:r>
            </w:hyperlink>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Form 10-K</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28, 2023</w:t>
            </w:r>
          </w:p>
        </w:tc>
      </w:tr>
      <w:tr>
        <w:trPr>
          <w:trHeight w:val="217"/>
        </w:trPr>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Company, as amended</w:t>
              </w:r>
            </w:hyperlink>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Second Amended and Restated Bylaws of the Company</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19, 2022</w:t>
            </w: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Certificate of Amendment to the Third Amended and Restated Certificate</w:t>
              </w:r>
            </w:hyperlink>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Form 10-Q</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14, 2024</w:t>
            </w:r>
          </w:p>
        </w:tc>
      </w:tr>
      <w:tr>
        <w:trPr>
          <w:trHeight w:val="217"/>
        </w:trPr>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of Incorporation of the Company, as amended</w:t>
              </w:r>
            </w:hyperlink>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Series A-1 Preferred Stock Certificate of Designation</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24, 2024</w:t>
            </w: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Series A-2 Preferred Stock Certificate of Designation.</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August 30, 2024</w:t>
            </w: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5"/>
                <w:szCs w:val="15"/>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Designation  of  Series  B-1  Non-Voting  Convertible</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12, 2024</w:t>
            </w: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Preferred Stock.</w:t>
              </w:r>
            </w:hyperlink>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5"/>
                <w:szCs w:val="15"/>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Designation  of  Series  B-2  Non-Voting  Convertible</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September 12, 2024</w:t>
            </w: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Preferred Stock.</w:t>
              </w:r>
            </w:hyperlink>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5"/>
                <w:szCs w:val="15"/>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Designation  of  Series  B-3  Non-Voting  Convertible</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November 4, 2024</w:t>
            </w: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Preferred Stock.</w:t>
              </w:r>
            </w:hyperlink>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5"/>
                <w:szCs w:val="15"/>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Designation  of  Series  B-4  Non-Voting  Convertible</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27, 2025</w:t>
            </w: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Preferred Stock.</w:t>
              </w:r>
            </w:hyperlink>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Specimen Common Stock Certificate</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20, 2020</w:t>
            </w: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7"/>
                <w:szCs w:val="17"/>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Specimen Warrant Certificate</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20, 2020</w:t>
            </w: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8"/>
              </w:rPr>
            </w:pPr>
            <w:hyperlink r:id="rId63">
              <w:r>
                <w:rPr>
                  <w:rFonts w:ascii="Times New Roman" w:cs="Times New Roman" w:eastAsia="Times New Roman" w:hAnsi="Times New Roman"/>
                  <w:sz w:val="18"/>
                  <w:szCs w:val="18"/>
                  <w:color w:val="0000EE"/>
                  <w:w w:val="98"/>
                </w:rPr>
                <w:t>Eos Energy Enterprises, Inc. 5%/6% Convertible Senior PIK Toggle Note</w:t>
              </w:r>
            </w:hyperlink>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July 7, 2021</w:t>
            </w:r>
          </w:p>
        </w:tc>
      </w:tr>
      <w:tr>
        <w:trPr>
          <w:trHeight w:val="216"/>
        </w:trPr>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due 2026</w:t>
              </w:r>
            </w:hyperlink>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5"/>
                <w:szCs w:val="15"/>
                <w:color w:val="auto"/>
              </w:rPr>
            </w:pPr>
          </w:p>
        </w:tc>
        <w:tc>
          <w:tcPr>
            <w:tcW w:w="540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Warrant Agreement, dated May 19, 2020, by and between the Registrant</w:t>
              </w:r>
            </w:hyperlink>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22, 2020</w:t>
            </w: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and Continental Stock Transfer &amp; Trust Company</w:t>
              </w:r>
            </w:hyperlink>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Description of Securities</w:t>
              </w:r>
            </w:hyperlink>
          </w:p>
        </w:tc>
        <w:tc>
          <w:tcPr>
            <w:tcW w:w="362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Form 10-K</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25, 2022</w:t>
            </w:r>
          </w:p>
        </w:tc>
      </w:tr>
      <w:tr>
        <w:trPr>
          <w:trHeight w:val="39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4"/>
                <w:szCs w:val="24"/>
                <w:color w:val="auto"/>
              </w:rPr>
            </w:pPr>
          </w:p>
        </w:tc>
        <w:tc>
          <w:tcPr>
            <w:tcW w:w="52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Indenture, dated April 7, 2022, between the Company and Wilmington</w:t>
              </w:r>
            </w:hyperlink>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 8-K</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No. 001-39291</w:t>
            </w:r>
          </w:p>
        </w:tc>
        <w:tc>
          <w:tcPr>
            <w:tcW w:w="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13, 2022</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0" w:type="dxa"/>
            <w:vAlign w:val="bottom"/>
            <w:gridSpan w:val="14"/>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Trust, National Association, as trustee (incorporated by reference to</w:t>
              </w:r>
            </w:hyperlink>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548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760"/>
        <w:spacing w:after="0"/>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Exhibit 10.1 of the Registrant’s Current Report on Form 8-K filed with</w:t>
        </w:r>
      </w:hyperlink>
    </w:p>
    <w:p>
      <w:pPr>
        <w:spacing w:after="0" w:line="27"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the SEC on April 13, 2022)</w:t>
        </w:r>
      </w:hyperlink>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7"/>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5500" w:type="dxa"/>
            <w:vAlign w:val="bottom"/>
            <w:gridSpan w:val="18"/>
            <w:shd w:val="clear" w:color="auto" w:fill="CCEEFF"/>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Note (including Indenture incorporated by reference therein)</w:t>
              </w:r>
            </w:hyperlink>
          </w:p>
        </w:tc>
        <w:tc>
          <w:tcPr>
            <w:tcW w:w="1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19, 2023</w:t>
            </w: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Common Stock Purchase Warrant, dated as of April 12, 2023</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April 14, 2023</w:t>
            </w: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Common Stock Purchase Warrant, dated as of May 15, 2023</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17, 2023</w:t>
            </w: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54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Indenture, dated May 25, 2023, between the Company and Wilmington</w:t>
              </w:r>
            </w:hyperlink>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25, 2023</w:t>
            </w:r>
          </w:p>
        </w:tc>
      </w:tr>
      <w:tr>
        <w:trPr>
          <w:trHeight w:val="217"/>
        </w:trPr>
        <w:tc>
          <w:tcPr>
            <w:tcW w:w="600" w:type="dxa"/>
            <w:vAlign w:val="bottom"/>
            <w:shd w:val="clear" w:color="auto" w:fill="CCEEFF"/>
          </w:tcPr>
          <w:p>
            <w:pPr>
              <w:spacing w:after="0"/>
              <w:rPr>
                <w:sz w:val="18"/>
                <w:szCs w:val="18"/>
                <w:color w:val="auto"/>
              </w:rPr>
            </w:pPr>
          </w:p>
        </w:tc>
        <w:tc>
          <w:tcPr>
            <w:tcW w:w="55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Trust, National Association, as trustee</w:t>
              </w:r>
            </w:hyperlink>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Note, dated as of May 25, 2023</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25, 2023</w:t>
            </w: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Common Stock Purchase Warrant</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15, 2023</w:t>
            </w: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Warrant</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24, 2024</w:t>
            </w: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5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Haynes and Boone, LLP</w:t>
            </w:r>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54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Credit Agreement, dated June 21, 2024, by and between Eos Energy</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tcBorders>
              <w:bottom w:val="single" w:sz="8" w:color="CCEEFF"/>
            </w:tcBorders>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24, 2024</w:t>
            </w:r>
          </w:p>
        </w:tc>
      </w:tr>
      <w:tr>
        <w:trPr>
          <w:trHeight w:val="217"/>
        </w:trPr>
        <w:tc>
          <w:tcPr>
            <w:tcW w:w="600" w:type="dxa"/>
            <w:vAlign w:val="bottom"/>
            <w:shd w:val="clear" w:color="auto" w:fill="CCEEFF"/>
          </w:tcPr>
          <w:p>
            <w:pPr>
              <w:spacing w:after="0"/>
              <w:rPr>
                <w:sz w:val="18"/>
                <w:szCs w:val="18"/>
                <w:color w:val="auto"/>
              </w:rPr>
            </w:pPr>
          </w:p>
        </w:tc>
        <w:tc>
          <w:tcPr>
            <w:tcW w:w="55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Enterprises, Inc. and CCM Denali Debt.</w:t>
              </w:r>
            </w:hyperlink>
          </w:p>
        </w:tc>
        <w:tc>
          <w:tcPr>
            <w:tcW w:w="1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7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Securities Purchase Agreement, dated June 21, 2024, by and between Eos</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24, 2024</w:t>
            </w:r>
          </w:p>
        </w:tc>
      </w:tr>
      <w:tr>
        <w:trPr>
          <w:trHeight w:val="216"/>
        </w:trPr>
        <w:tc>
          <w:tcPr>
            <w:tcW w:w="60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Energy Enterprises, Inc. and CCM Denali Equity.</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Indemnification Agreement for Preferred Stock directors</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June 24, 2024</w:t>
            </w: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75"/>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55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Amendment to Credit Agreement, dated November 26, 2024, by and</w:t>
              </w:r>
            </w:hyperlink>
          </w:p>
        </w:tc>
        <w:tc>
          <w:tcPr>
            <w:tcW w:w="10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740" w:type="dxa"/>
            <w:vAlign w:val="bottom"/>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File No. 001-39291</w:t>
            </w:r>
          </w:p>
        </w:tc>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December 3, 2024</w:t>
            </w:r>
          </w:p>
        </w:tc>
      </w:tr>
      <w:tr>
        <w:trPr>
          <w:trHeight w:val="217"/>
        </w:trPr>
        <w:tc>
          <w:tcPr>
            <w:tcW w:w="60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between Eos Energy Enterprises, Inc. and CCM Denali Debt.</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gridSpan w:val="2"/>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76"/>
        </w:trPr>
        <w:tc>
          <w:tcPr>
            <w:tcW w:w="6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54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First Amendment to Credit and Guaranty Agreement, dated April 30,</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2740" w:type="dxa"/>
            <w:vAlign w:val="bottom"/>
            <w:tcBorders>
              <w:bottom w:val="single" w:sz="8" w:color="CCEEFF"/>
            </w:tcBorders>
            <w:gridSpan w:val="2"/>
            <w:shd w:val="clear" w:color="auto" w:fill="CCEEFF"/>
          </w:tcPr>
          <w:p>
            <w:pPr>
              <w:jc w:val="right"/>
              <w:ind w:right="70"/>
              <w:spacing w:after="0" w:line="176" w:lineRule="exact"/>
              <w:rPr>
                <w:sz w:val="20"/>
                <w:szCs w:val="20"/>
                <w:color w:val="auto"/>
              </w:rPr>
            </w:pPr>
            <w:r>
              <w:rPr>
                <w:rFonts w:ascii="Times New Roman" w:cs="Times New Roman" w:eastAsia="Times New Roman" w:hAnsi="Times New Roman"/>
                <w:sz w:val="18"/>
                <w:szCs w:val="18"/>
                <w:color w:val="auto"/>
              </w:rPr>
              <w:t>Form 10-Q   File No. 001-39291</w:t>
            </w: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6, 2025</w:t>
            </w:r>
          </w:p>
        </w:tc>
      </w:tr>
      <w:tr>
        <w:trPr>
          <w:trHeight w:val="196"/>
        </w:trPr>
        <w:tc>
          <w:tcPr>
            <w:tcW w:w="600" w:type="dxa"/>
            <w:vAlign w:val="bottom"/>
            <w:shd w:val="clear" w:color="auto" w:fill="CCEEFF"/>
          </w:tcPr>
          <w:p>
            <w:pPr>
              <w:spacing w:after="0"/>
              <w:rPr>
                <w:sz w:val="17"/>
                <w:szCs w:val="17"/>
                <w:color w:val="auto"/>
              </w:rPr>
            </w:pPr>
          </w:p>
        </w:tc>
        <w:tc>
          <w:tcPr>
            <w:tcW w:w="55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2025, by and between Eos Energy Enterprises, Inc. and Cerberus US</w:t>
              </w:r>
            </w:hyperlink>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7"/>
        </w:trPr>
        <w:tc>
          <w:tcPr>
            <w:tcW w:w="60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Servicing, LLC</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5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Haynes and Boone, LLP (included in Exhibit 5.1)</w:t>
            </w:r>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5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9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5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herein)</w:t>
            </w:r>
          </w:p>
        </w:tc>
        <w:tc>
          <w:tcPr>
            <w:tcW w:w="10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r>
      <w:tr>
        <w:trPr>
          <w:trHeight w:val="176"/>
        </w:trPr>
        <w:tc>
          <w:tcPr>
            <w:tcW w:w="6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55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10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these exhibits have been omitted pursuant to Item 601(b)(10) of Regulation S-K because they are both (i) not material and (ii) contain the type of information that the Company customarily and actually treats as private or confidential.</w:t>
      </w:r>
    </w:p>
    <w:p>
      <w:pPr>
        <w:spacing w:after="0" w:line="162"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hereby undertakes to furnish supplementally a copy of any omitted exhibit or schedule upon request by the Securities and Exchange Commission.</w:t>
      </w:r>
    </w:p>
    <w:p>
      <w:pPr>
        <w:spacing w:after="0" w:line="16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260" w:hanging="252"/>
        <w:spacing w:after="0" w:line="282" w:lineRule="auto"/>
        <w:tabs>
          <w:tab w:leader="none" w:pos="2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of securities registered hereby, a post-effective amendment to this registration statement: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(ii) and (iii) above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87"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as amended,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 (§ 230.430B of this chapter):</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3" w:lineRule="auto"/>
        <w:tabs>
          <w:tab w:leader="none" w:pos="16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0" w:lineRule="exact"/>
        <w:rPr>
          <w:sz w:val="20"/>
          <w:szCs w:val="20"/>
          <w:color w:val="auto"/>
        </w:rPr>
      </w:pPr>
    </w:p>
    <w:p>
      <w:pPr>
        <w:jc w:val="both"/>
        <w:ind w:left="260" w:hanging="252"/>
        <w:spacing w:after="0" w:line="258" w:lineRule="auto"/>
        <w:tabs>
          <w:tab w:leader="none" w:pos="2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260" w:hanging="252"/>
        <w:spacing w:after="0" w:line="254"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Edison, State of New Jersey, on this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2025.</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Eric Javidi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Eric Javidi</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Joseph Mastrangelo and Eric Javidi,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p>
      <w:pPr>
        <w:ind w:left="1500"/>
        <w:spacing w:after="0"/>
        <w:tabs>
          <w:tab w:leader="none" w:pos="6040" w:val="left"/>
          <w:tab w:leader="none" w:pos="992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Position</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987" w:gutter="0" w:footer="0" w:header="0"/>
        </w:sectPr>
      </w:pPr>
    </w:p>
    <w:p>
      <w:pPr>
        <w:spacing w:after="0" w:line="28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4">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Eric Javidi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5">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Eric Javidi</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Sumeet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6">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Sumeet Puri</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Alex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Alex Dimitrief</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Jeffrey Bornstein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Jeffrey Bornstein</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Claude Demby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Claude Demby</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Jeffrey McNeil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Jeffrey McNeil</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Joseph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Joseph Nigro</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Gregory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Gregory Nixon</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Nick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Nick Robinson</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Russell Stidolph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Russell Stidolph</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/s/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David Urban</w:t>
      </w:r>
    </w:p>
    <w:p>
      <w:pPr>
        <w:spacing w:after="0" w:line="22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/s/ Marian “Mimi”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Marian “Mimi” Walters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234"/>
        </w:trPr>
        <w:tc>
          <w:tcPr>
            <w:tcW w:w="36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tcPr>
          <w:p>
            <w:pPr>
              <w:spacing w:after="0"/>
              <w:rPr>
                <w:sz w:val="20"/>
                <w:szCs w:val="20"/>
                <w:color w:val="auto"/>
              </w:rPr>
            </w:pPr>
          </w:p>
        </w:tc>
      </w:tr>
      <w:tr>
        <w:trPr>
          <w:trHeight w:val="441"/>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234"/>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00" w:type="dxa"/>
            <w:vAlign w:val="bottom"/>
          </w:tcPr>
          <w:p>
            <w:pPr>
              <w:spacing w:after="0"/>
              <w:rPr>
                <w:sz w:val="20"/>
                <w:szCs w:val="20"/>
                <w:color w:val="auto"/>
              </w:rPr>
            </w:pPr>
          </w:p>
        </w:tc>
      </w:tr>
      <w:tr>
        <w:trPr>
          <w:trHeight w:val="441"/>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234"/>
        </w:trPr>
        <w:tc>
          <w:tcPr>
            <w:tcW w:w="36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900" w:type="dxa"/>
            <w:vAlign w:val="bottom"/>
          </w:tcPr>
          <w:p>
            <w:pPr>
              <w:spacing w:after="0"/>
              <w:rPr>
                <w:sz w:val="20"/>
                <w:szCs w:val="20"/>
                <w:color w:val="auto"/>
              </w:rPr>
            </w:pPr>
          </w:p>
        </w:tc>
      </w:tr>
      <w:tr>
        <w:trPr>
          <w:trHeight w:val="445"/>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75"/>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75"/>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75"/>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61"/>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89"/>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75"/>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75"/>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61"/>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r>
        <w:trPr>
          <w:trHeight w:val="675"/>
        </w:trPr>
        <w:tc>
          <w:tcPr>
            <w:tcW w:w="36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May 7, 2025</w:t>
            </w:r>
          </w:p>
        </w:tc>
      </w:tr>
    </w:tbl>
    <w:p>
      <w:pPr>
        <w:spacing w:after="0" w:line="415" w:lineRule="exact"/>
        <w:rPr>
          <w:sz w:val="20"/>
          <w:szCs w:val="20"/>
          <w:color w:val="auto"/>
        </w:rPr>
      </w:pPr>
    </w:p>
    <w:p>
      <w:pPr>
        <w:sectPr>
          <w:pgSz w:w="11900" w:h="16838" w:orient="portrait"/>
          <w:cols w:equalWidth="0" w:num="2">
            <w:col w:w="4300" w:space="720"/>
            <w:col w:w="6220"/>
          </w:cols>
          <w:pgMar w:left="320" w:top="333" w:right="339" w:bottom="987"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987" w:gutter="0" w:footer="0" w:header="0"/>
          <w:type w:val="continuous"/>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81737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1817370" cy="15430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168275</wp:posOffset>
            </wp:positionV>
            <wp:extent cx="334010" cy="3346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Eos Energy Enterprises,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3920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New York 08820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acted as counsel for Eos Energy Enterprises,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the date hereof,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by the Company which registers the resale by the holders thereof of an aggregate of 158,433,112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 underlying shares of Series A-1 Non-Voting Non-Convertible Preferred Stock, par value $0.0001 per share (the “</w:t>
      </w:r>
      <w:r>
        <w:rPr>
          <w:rFonts w:ascii="Times New Roman" w:cs="Times New Roman" w:eastAsia="Times New Roman" w:hAnsi="Times New Roman"/>
          <w:sz w:val="18"/>
          <w:szCs w:val="18"/>
          <w:b w:val="1"/>
          <w:bCs w:val="1"/>
          <w:i w:val="1"/>
          <w:iCs w:val="1"/>
          <w:color w:val="auto"/>
        </w:rPr>
        <w:t>Series A-1 Preferred Stock</w:t>
      </w:r>
      <w:r>
        <w:rPr>
          <w:rFonts w:ascii="Times New Roman" w:cs="Times New Roman" w:eastAsia="Times New Roman" w:hAnsi="Times New Roman"/>
          <w:sz w:val="18"/>
          <w:szCs w:val="18"/>
          <w:color w:val="auto"/>
        </w:rPr>
        <w:t>”), that converted into 31.940063 shares of non-voting Series B-1 Convertible Preferred Stock, par value $0.0001 per share (“</w:t>
      </w:r>
      <w:r>
        <w:rPr>
          <w:rFonts w:ascii="Times New Roman" w:cs="Times New Roman" w:eastAsia="Times New Roman" w:hAnsi="Times New Roman"/>
          <w:sz w:val="18"/>
          <w:szCs w:val="18"/>
          <w:b w:val="1"/>
          <w:bCs w:val="1"/>
          <w:i w:val="1"/>
          <w:iCs w:val="1"/>
          <w:color w:val="auto"/>
        </w:rPr>
        <w:t>Series B-1 Preferred Stock</w:t>
      </w:r>
      <w:r>
        <w:rPr>
          <w:rFonts w:ascii="Times New Roman" w:cs="Times New Roman" w:eastAsia="Times New Roman" w:hAnsi="Times New Roman"/>
          <w:sz w:val="18"/>
          <w:szCs w:val="18"/>
          <w:color w:val="auto"/>
        </w:rPr>
        <w:t>”), which shares of Series B-1 Preferred Stock are convertible into 31,940,063 shares of Common Stock, (ii) shares of Series A-2 Non-Voting Non-Convertible Preferred Stock, par value $0.0001 per share (the “</w:t>
      </w:r>
      <w:r>
        <w:rPr>
          <w:rFonts w:ascii="Times New Roman" w:cs="Times New Roman" w:eastAsia="Times New Roman" w:hAnsi="Times New Roman"/>
          <w:sz w:val="18"/>
          <w:szCs w:val="18"/>
          <w:b w:val="1"/>
          <w:bCs w:val="1"/>
          <w:i w:val="1"/>
          <w:iCs w:val="1"/>
          <w:color w:val="auto"/>
        </w:rPr>
        <w:t>Series A-2 Preferred Stock</w:t>
      </w:r>
      <w:r>
        <w:rPr>
          <w:rFonts w:ascii="Times New Roman" w:cs="Times New Roman" w:eastAsia="Times New Roman" w:hAnsi="Times New Roman"/>
          <w:sz w:val="18"/>
          <w:szCs w:val="18"/>
          <w:color w:val="auto"/>
        </w:rPr>
        <w:t>” and together, with the Series A-1 Preferred Stock,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that converted into 28.806463 shares of non-voting Series B-2 Convertible Preferred Stock, par value $0.0001 per share (“</w:t>
      </w:r>
      <w:r>
        <w:rPr>
          <w:rFonts w:ascii="Times New Roman" w:cs="Times New Roman" w:eastAsia="Times New Roman" w:hAnsi="Times New Roman"/>
          <w:sz w:val="18"/>
          <w:szCs w:val="18"/>
          <w:b w:val="1"/>
          <w:bCs w:val="1"/>
          <w:i w:val="1"/>
          <w:iCs w:val="1"/>
          <w:color w:val="auto"/>
        </w:rPr>
        <w:t>Series B-2 Preferred Stock</w:t>
      </w:r>
      <w:r>
        <w:rPr>
          <w:rFonts w:ascii="Times New Roman" w:cs="Times New Roman" w:eastAsia="Times New Roman" w:hAnsi="Times New Roman"/>
          <w:sz w:val="18"/>
          <w:szCs w:val="18"/>
          <w:color w:val="auto"/>
        </w:rPr>
        <w:t>”), which shares of Series B-2 Preferred Stock are convertible into 28,806,463 shares of Common Stock, (iii) 38.259864 shares of non-voting Series B-3 Convertible Preferred Stock, par value $0.0001 per share (“</w:t>
      </w:r>
      <w:r>
        <w:rPr>
          <w:rFonts w:ascii="Times New Roman" w:cs="Times New Roman" w:eastAsia="Times New Roman" w:hAnsi="Times New Roman"/>
          <w:sz w:val="18"/>
          <w:szCs w:val="18"/>
          <w:b w:val="1"/>
          <w:bCs w:val="1"/>
          <w:i w:val="1"/>
          <w:iCs w:val="1"/>
          <w:color w:val="auto"/>
        </w:rPr>
        <w:t>Series B-3 Preferred Stock</w:t>
      </w:r>
      <w:r>
        <w:rPr>
          <w:rFonts w:ascii="Times New Roman" w:cs="Times New Roman" w:eastAsia="Times New Roman" w:hAnsi="Times New Roman"/>
          <w:sz w:val="18"/>
          <w:szCs w:val="18"/>
          <w:color w:val="auto"/>
        </w:rPr>
        <w:t>”), which shares of Series B-3 Preferred Stock are convertible into 38,259,864 shares of Common Stock, and (iv) 16.150528 shares of non-voting Series B-4 Convertible Preferred Stock, par value $0.0001 per share (the “</w:t>
      </w:r>
      <w:r>
        <w:rPr>
          <w:rFonts w:ascii="Times New Roman" w:cs="Times New Roman" w:eastAsia="Times New Roman" w:hAnsi="Times New Roman"/>
          <w:sz w:val="18"/>
          <w:szCs w:val="18"/>
          <w:b w:val="1"/>
          <w:bCs w:val="1"/>
          <w:i w:val="1"/>
          <w:iCs w:val="1"/>
          <w:color w:val="auto"/>
        </w:rPr>
        <w:t>Series B-4 Preferred Stock</w:t>
      </w:r>
      <w:r>
        <w:rPr>
          <w:rFonts w:ascii="Times New Roman" w:cs="Times New Roman" w:eastAsia="Times New Roman" w:hAnsi="Times New Roman"/>
          <w:sz w:val="18"/>
          <w:szCs w:val="18"/>
          <w:color w:val="auto"/>
        </w:rPr>
        <w:t>” and, together with the Series B-1 Preferred Stock, the Series B-2 Preferred Stock and the Series B-3 Preferred Stock, the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which are convertible into 16,150,528 shares of Common Stock and (b) issuable upon exercise of a warrant to purchase 43,276,194 shares of Common Stock at an exercise price of $0.001 per share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issued in connection with that certain securities purchase agreement, by and between the Company and CCM Denali Equity Holdings, LP (as amended from time to time, the “</w:t>
      </w:r>
      <w:r>
        <w:rPr>
          <w:rFonts w:ascii="Times New Roman" w:cs="Times New Roman" w:eastAsia="Times New Roman" w:hAnsi="Times New Roman"/>
          <w:sz w:val="18"/>
          <w:szCs w:val="18"/>
          <w:b w:val="1"/>
          <w:bCs w:val="1"/>
          <w:i w:val="1"/>
          <w:iCs w:val="1"/>
          <w:color w:val="auto"/>
        </w:rPr>
        <w:t>Securities Purchase Agreement</w:t>
      </w:r>
      <w:r>
        <w:rPr>
          <w:rFonts w:ascii="Times New Roman" w:cs="Times New Roman" w:eastAsia="Times New Roman" w:hAnsi="Times New Roman"/>
          <w:sz w:val="18"/>
          <w:szCs w:val="18"/>
          <w:color w:val="auto"/>
        </w:rPr>
        <w:t>”) and that certain Credit and Guaranty Agreement dated as of June 21, 2024, by and among the Company, the subsidiary guarantors party thereto, various lenders and CCM Denali Debt Holdings, LP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rendering the opinion expressed herein, we have examined and relied upon the originals, or copies certified to our satisfaction, of (i) the Certificate of Incorporation, as amended, and the Amended and Restated Bylaws of the Company, as amended, as of the date hereof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(ii) certain resolutions of the Board of Directors of the Company related to the filing of the Registration Statement,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authorization and issuance of the Shares and related matters, (iii) the Registration Statement and all exhibits thereto; (iv) the Securities Purchase Agreement, (v) the Credit Agreement, (vi) the certificates of designation of the Series A Preferred Stock and Series B Preferred Stock, (vii) a certificate executed by an officer of the Company, dated as of the date hereof; and (viii) such other corporate records of the Company as we have deemed necessary or appropriate for purposes of the opinions hereafter expressed.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relied upon such certificates of officers of the Company and of public officials and statements and information furnished by officers of the Company with respect to the accuracy of material factual matters contained therein which were not independently established by us. In such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Haynes and Boone, LLP</w:t>
            </w:r>
          </w:p>
        </w:tc>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2801 N. Harwood Street | Suite 2300 | Dallas, TX 75201</w:t>
            </w:r>
          </w:p>
        </w:tc>
      </w:tr>
      <w:tr>
        <w:trPr>
          <w:trHeight w:val="234"/>
        </w:trPr>
        <w:tc>
          <w:tcPr>
            <w:tcW w:w="3400" w:type="dxa"/>
            <w:vAlign w:val="bottom"/>
            <w:tcBorders>
              <w:right w:val="single" w:sz="8" w:color="auto"/>
            </w:tcBorders>
          </w:tcPr>
          <w:p>
            <w:pPr>
              <w:spacing w:after="0"/>
              <w:rPr>
                <w:sz w:val="20"/>
                <w:szCs w:val="20"/>
                <w:color w:val="auto"/>
              </w:rPr>
            </w:pPr>
          </w:p>
        </w:tc>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 214.651.5000 | haynesboone.com</w:t>
            </w:r>
          </w:p>
        </w:tc>
      </w:tr>
      <w:tr>
        <w:trPr>
          <w:trHeight w:val="682"/>
        </w:trPr>
        <w:tc>
          <w:tcPr>
            <w:tcW w:w="340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81737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817370" cy="154305"/>
                    </a:xfrm>
                    <a:prstGeom prst="rect">
                      <a:avLst/>
                    </a:prstGeom>
                    <a:noFill/>
                  </pic:spPr>
                </pic:pic>
              </a:graphicData>
            </a:graphic>
          </wp:anchor>
        </w:drawing>
        <w:drawing>
          <wp:anchor simplePos="0" relativeHeight="251657728" behindDoc="1" locked="0" layoutInCell="0" allowOverlap="1">
            <wp:simplePos x="0" y="0"/>
            <wp:positionH relativeFrom="page">
              <wp:posOffset>7005955</wp:posOffset>
            </wp:positionH>
            <wp:positionV relativeFrom="page">
              <wp:posOffset>226060</wp:posOffset>
            </wp:positionV>
            <wp:extent cx="334010" cy="334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334010" cy="334645"/>
                    </a:xfrm>
                    <a:prstGeom prst="rect">
                      <a:avLst/>
                    </a:prstGeom>
                    <a:noFill/>
                  </pic:spPr>
                </pic:pic>
              </a:graphicData>
            </a:graphic>
          </wp:anchor>
        </w:drawing>
        <w:t>We have also assumed that (i) the Company will continue to be incorporated and in existence and good standing in its jurisdiction of organization;</w:t>
      </w:r>
    </w:p>
    <w:p>
      <w:pPr>
        <w:spacing w:after="0" w:line="27" w:lineRule="exact"/>
        <w:rPr>
          <w:sz w:val="20"/>
          <w:szCs w:val="20"/>
          <w:color w:val="auto"/>
        </w:rPr>
      </w:pPr>
    </w:p>
    <w:p>
      <w:pPr>
        <w:jc w:val="both"/>
        <w:ind w:firstLine="8"/>
        <w:spacing w:after="0" w:line="252" w:lineRule="auto"/>
        <w:tabs>
          <w:tab w:leader="none" w:pos="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amendments thereto (including post-effective amendments), will have become effective; (iii) no stop order of the Commission preventing or suspending the use of the prospectus contained in the Registration Statement or any prospectus supplement will have been issued; (iv) a prospectus properly describing the Shares offered thereby will have been delivered to the purchaser(s) of the Shares as required in accordance with applicable law; (v) the resolutions of the Board of Directors of the Company referred to above will not have been modified or rescinded, (vi) all Shares will be offered, issued and sold in compliance with applicable federal and state securities laws and in the manner stated in the Registration Statement and the prospectus and any prospectus supplement; and (vii) there will not have occurred any change in law or in the Company Organizational Documents of the Company adversely affecting the Shares or the rights of the holders thereof.</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considered, and express no opinion herein as to, the laws of any state or jurisdiction other than the General Corporation Law of the State of Delaware, as currently in effect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assumptions and qualifications stated herein, we are of the opinion that upon issuance of the Shares (i) upon conversion of the Series B Preferred Stock in accordance with the terms of the applicable certificates of designation and (ii) upon exercise of the Warrant in accordance with the terms of the Warrant against payment in full of the consideration payable therefor as contemplated by the Warrant, the Shares will be validly issued, fully paid and non-assessable.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and to the reference to our firm under the heading “Legal Matters” in the prospectus constituting part of such Registration Statement. In giving such consent, we do not 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0" w:type="dxa"/>
            <w:vAlign w:val="bottom"/>
          </w:tcPr>
          <w:p>
            <w:pPr>
              <w:spacing w:after="0"/>
              <w:rPr>
                <w:sz w:val="1"/>
                <w:szCs w:val="1"/>
                <w:color w:val="auto"/>
              </w:rPr>
            </w:pPr>
          </w:p>
        </w:tc>
      </w:tr>
      <w:tr>
        <w:trPr>
          <w:trHeight w:val="439"/>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Haynes and Boone, LLP</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Haynes and Boone, LLP</w:t>
            </w:r>
          </w:p>
        </w:tc>
        <w:tc>
          <w:tcPr>
            <w:tcW w:w="0" w:type="dxa"/>
            <w:vAlign w:val="bottom"/>
          </w:tcPr>
          <w:p>
            <w:pPr>
              <w:spacing w:after="0"/>
              <w:rPr>
                <w:sz w:val="1"/>
                <w:szCs w:val="1"/>
                <w:color w:val="auto"/>
              </w:rPr>
            </w:pPr>
          </w:p>
        </w:tc>
      </w:tr>
      <w:tr>
        <w:trPr>
          <w:trHeight w:val="198"/>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Haynes and Boone, LLP</w:t>
            </w:r>
          </w:p>
        </w:tc>
        <w:tc>
          <w:tcPr>
            <w:tcW w:w="20" w:type="dxa"/>
            <w:vAlign w:val="bottom"/>
          </w:tcPr>
          <w:p>
            <w:pPr>
              <w:spacing w:after="0"/>
              <w:rPr>
                <w:sz w:val="17"/>
                <w:szCs w:val="17"/>
                <w:color w:val="auto"/>
              </w:rPr>
            </w:pPr>
          </w:p>
        </w:tc>
        <w:tc>
          <w:tcPr>
            <w:tcW w:w="78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2801 N. Harwood Street | Suite 2300 | Dallas, TX 75201</w:t>
            </w: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 214.651.5000 | haynesboone.com</w:t>
            </w:r>
          </w:p>
        </w:tc>
        <w:tc>
          <w:tcPr>
            <w:tcW w:w="0" w:type="dxa"/>
            <w:vAlign w:val="bottom"/>
          </w:tcPr>
          <w:p>
            <w:pPr>
              <w:spacing w:after="0"/>
              <w:rPr>
                <w:sz w:val="1"/>
                <w:szCs w:val="1"/>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4, 2025 relating to the financial statements of Eos Energy Enterprises, Inc., appearing in the Annual Report on Form 10-K of Eos Energy Enterprises, Inc.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7, 2025</w:t>
      </w:r>
    </w:p>
    <w:p>
      <w:pPr>
        <w:sectPr>
          <w:pgSz w:w="11900" w:h="16838" w:orient="portrait"/>
          <w:cols w:equalWidth="0" w:num="1">
            <w:col w:w="11240"/>
          </w:cols>
          <w:pgMar w:left="320" w:top="117" w:right="339" w:bottom="1440" w:gutter="0" w:footer="0" w:header="0"/>
        </w:sectPr>
      </w:pPr>
    </w:p>
    <w:bookmarkStart w:id="29" w:name="page30"/>
    <w:bookmarkEnd w:id="29"/>
    <w:p>
      <w:pPr>
        <w:ind w:left="1018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gridSpan w:val="16"/>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Table 1: Newly Registered and Carry Forward Securities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4"/>
              </w:rPr>
              <w:t>Calculation</w:t>
            </w:r>
          </w:p>
        </w:tc>
        <w:tc>
          <w:tcPr>
            <w:tcW w:w="26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2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Carry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Pr>
          <w:p>
            <w:pPr>
              <w:spacing w:after="0"/>
              <w:rPr>
                <w:sz w:val="18"/>
                <w:szCs w:val="18"/>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220" w:type="dxa"/>
            <w:vAlign w:val="bottom"/>
          </w:tcPr>
          <w:p>
            <w:pPr>
              <w:spacing w:after="0"/>
              <w:rPr>
                <w:sz w:val="18"/>
                <w:szCs w:val="18"/>
                <w:color w:val="auto"/>
              </w:rPr>
            </w:pPr>
          </w:p>
        </w:tc>
        <w:tc>
          <w:tcPr>
            <w:tcW w:w="15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260" w:type="dxa"/>
            <w:vAlign w:val="bottom"/>
          </w:tcPr>
          <w:p>
            <w:pPr>
              <w:spacing w:after="0"/>
              <w:rPr>
                <w:sz w:val="21"/>
                <w:szCs w:val="21"/>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Unit(2)</w:t>
            </w:r>
          </w:p>
        </w:tc>
        <w:tc>
          <w:tcPr>
            <w:tcW w:w="220" w:type="dxa"/>
            <w:vAlign w:val="bottom"/>
          </w:tcPr>
          <w:p>
            <w:pPr>
              <w:spacing w:after="0"/>
              <w:rPr>
                <w:sz w:val="21"/>
                <w:szCs w:val="21"/>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Price(2)</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1"/>
                <w:szCs w:val="2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tcBorders>
              <w:lef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7"/>
              </w:rPr>
              <w:t>Fees to Be</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gridSpan w:val="5"/>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0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457(c)</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158,433,112 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t>
            </w:r>
          </w:p>
        </w:tc>
        <w:tc>
          <w:tcPr>
            <w:tcW w:w="3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Borders>
              <w:lef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3"/>
              </w:rPr>
              <w:t>Paid</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94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$0.0001 per share</w:t>
            </w:r>
          </w:p>
        </w:tc>
        <w:tc>
          <w:tcPr>
            <w:tcW w:w="100" w:type="dxa"/>
            <w:vAlign w:val="bottom"/>
            <w:tcBorders>
              <w:right w:val="single" w:sz="8" w:color="CCEEFF"/>
            </w:tcBorders>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5"/>
            <w:vMerge w:val="continue"/>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760" w:type="dxa"/>
            <w:vAlign w:val="bottom"/>
            <w:tcBorders>
              <w:right w:val="single" w:sz="8" w:color="CCEEFF"/>
            </w:tcBorders>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$ 788,996,897.76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0.00015310</w:t>
            </w: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$ 120,795.43</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Total Offering Amounts </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$ 788,996,897.76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$ 120,795.43</w:t>
            </w:r>
          </w:p>
        </w:tc>
        <w:tc>
          <w:tcPr>
            <w:tcW w:w="0" w:type="dxa"/>
            <w:vAlign w:val="bottom"/>
          </w:tcPr>
          <w:p>
            <w:pPr>
              <w:spacing w:after="0"/>
              <w:rPr>
                <w:sz w:val="1"/>
                <w:szCs w:val="1"/>
                <w:color w:val="auto"/>
              </w:rPr>
            </w:pPr>
          </w:p>
        </w:tc>
      </w:tr>
      <w:tr>
        <w:trPr>
          <w:trHeight w:val="216"/>
        </w:trPr>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Fees Previously Paid </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 Offsets </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Net Fee Due </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$ 120,795.43</w:t>
            </w: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gridSpan w:val="1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Table 2: Fee Offset Claims and Sources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80" w:type="dxa"/>
            <w:vAlign w:val="bottom"/>
            <w:tcBorders>
              <w:left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100" w:type="dxa"/>
            <w:vAlign w:val="bottom"/>
            <w:gridSpan w:val="2"/>
          </w:tcPr>
          <w:p>
            <w:pPr>
              <w:jc w:val="center"/>
              <w:ind w:left="30"/>
              <w:spacing w:after="0" w:line="195" w:lineRule="exact"/>
              <w:rPr>
                <w:sz w:val="20"/>
                <w:szCs w:val="20"/>
                <w:color w:val="auto"/>
              </w:rPr>
            </w:pPr>
            <w:r>
              <w:rPr>
                <w:rFonts w:ascii="Times New Roman" w:cs="Times New Roman" w:eastAsia="Times New Roman" w:hAnsi="Times New Roman"/>
                <w:sz w:val="18"/>
                <w:szCs w:val="18"/>
                <w:b w:val="1"/>
                <w:bCs w:val="1"/>
                <w:color w:val="auto"/>
                <w:w w:val="99"/>
              </w:rPr>
              <w:t>Unsold</w:t>
            </w:r>
          </w:p>
        </w:tc>
        <w:tc>
          <w:tcPr>
            <w:tcW w:w="14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6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3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0" w:type="dxa"/>
            <w:vAlign w:val="bottom"/>
            <w:tcBorders>
              <w:left w:val="single" w:sz="8" w:color="auto"/>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3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8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Borders>
              <w:righ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680" w:type="dxa"/>
            <w:vAlign w:val="bottom"/>
            <w:tcBorders>
              <w:left w:val="single" w:sz="8" w:color="auto"/>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40" w:type="dxa"/>
            <w:vAlign w:val="bottom"/>
            <w:tcBorders>
              <w:right w:val="single" w:sz="8" w:color="auto"/>
            </w:tcBorders>
            <w:gridSpan w:val="2"/>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8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160" w:type="dxa"/>
            <w:vAlign w:val="bottom"/>
            <w:gridSpan w:val="4"/>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3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110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1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Fee Paid</w:t>
            </w:r>
          </w:p>
        </w:tc>
        <w:tc>
          <w:tcPr>
            <w:tcW w:w="0" w:type="dxa"/>
            <w:vAlign w:val="bottom"/>
          </w:tcPr>
          <w:p>
            <w:pPr>
              <w:spacing w:after="0"/>
              <w:rPr>
                <w:sz w:val="1"/>
                <w:szCs w:val="1"/>
                <w:color w:val="auto"/>
              </w:rPr>
            </w:pPr>
          </w:p>
        </w:tc>
      </w:tr>
      <w:tr>
        <w:trPr>
          <w:trHeight w:val="329"/>
        </w:trPr>
        <w:tc>
          <w:tcPr>
            <w:tcW w:w="6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8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160" w:type="dxa"/>
            <w:vAlign w:val="bottom"/>
            <w:gridSpan w:val="4"/>
            <w:vMerge w:val="continue"/>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right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840" w:type="dxa"/>
            <w:vAlign w:val="bottom"/>
            <w:tcBorders>
              <w:right w:val="single" w:sz="8" w:color="auto"/>
            </w:tcBorders>
            <w:gridSpan w:val="2"/>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Registrant</w:t>
            </w:r>
          </w:p>
        </w:tc>
        <w:tc>
          <w:tcPr>
            <w:tcW w:w="12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w:t>
            </w:r>
          </w:p>
        </w:tc>
        <w:tc>
          <w:tcPr>
            <w:tcW w:w="780" w:type="dxa"/>
            <w:vAlign w:val="bottom"/>
            <w:tcBorders>
              <w:right w:val="single" w:sz="8" w:color="auto"/>
            </w:tcBorders>
          </w:tcPr>
          <w:p>
            <w:pPr>
              <w:spacing w:after="0"/>
              <w:rPr>
                <w:sz w:val="21"/>
                <w:szCs w:val="21"/>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with Fee</w:t>
            </w:r>
          </w:p>
        </w:tc>
        <w:tc>
          <w:tcPr>
            <w:tcW w:w="3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8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14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0" w:type="dxa"/>
            <w:vAlign w:val="bottom"/>
          </w:tcPr>
          <w:p>
            <w:pPr>
              <w:spacing w:after="0"/>
              <w:rPr>
                <w:sz w:val="1"/>
                <w:szCs w:val="1"/>
                <w:color w:val="auto"/>
              </w:rPr>
            </w:pPr>
          </w:p>
        </w:tc>
      </w:tr>
      <w:tr>
        <w:trPr>
          <w:trHeight w:val="113"/>
        </w:trPr>
        <w:tc>
          <w:tcPr>
            <w:tcW w:w="680" w:type="dxa"/>
            <w:vAlign w:val="bottom"/>
            <w:tcBorders>
              <w:left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68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or Filer</w:t>
            </w:r>
          </w:p>
        </w:tc>
        <w:tc>
          <w:tcPr>
            <w:tcW w:w="12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780" w:type="dxa"/>
            <w:vAlign w:val="bottom"/>
            <w:tcBorders>
              <w:right w:val="single" w:sz="8" w:color="auto"/>
            </w:tcBorders>
          </w:tcPr>
          <w:p>
            <w:pPr>
              <w:spacing w:after="0"/>
              <w:rPr>
                <w:sz w:val="21"/>
                <w:szCs w:val="2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3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Borders>
              <w:right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Fee Offset</w:t>
            </w:r>
          </w:p>
        </w:tc>
        <w:tc>
          <w:tcPr>
            <w:tcW w:w="84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14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0" w:type="dxa"/>
            <w:vAlign w:val="bottom"/>
          </w:tcPr>
          <w:p>
            <w:pPr>
              <w:spacing w:after="0"/>
              <w:rPr>
                <w:sz w:val="1"/>
                <w:szCs w:val="1"/>
                <w:color w:val="auto"/>
              </w:rPr>
            </w:pPr>
          </w:p>
        </w:tc>
      </w:tr>
      <w:tr>
        <w:trPr>
          <w:trHeight w:val="248"/>
        </w:trPr>
        <w:tc>
          <w:tcPr>
            <w:tcW w:w="68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Borders>
              <w:right w:val="single" w:sz="8" w:color="auto"/>
            </w:tcBorders>
          </w:tcPr>
          <w:p>
            <w:pPr>
              <w:spacing w:after="0"/>
              <w:rPr>
                <w:sz w:val="21"/>
                <w:szCs w:val="21"/>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right w:val="single" w:sz="8" w:color="auto"/>
            </w:tcBorders>
          </w:tcPr>
          <w:p>
            <w:pPr>
              <w:spacing w:after="0"/>
              <w:rPr>
                <w:sz w:val="21"/>
                <w:szCs w:val="21"/>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40" w:type="dxa"/>
            <w:vAlign w:val="bottom"/>
          </w:tcPr>
          <w:p>
            <w:pPr>
              <w:spacing w:after="0"/>
              <w:rPr>
                <w:sz w:val="21"/>
                <w:szCs w:val="21"/>
                <w:color w:val="auto"/>
              </w:rPr>
            </w:pPr>
          </w:p>
        </w:tc>
        <w:tc>
          <w:tcPr>
            <w:tcW w:w="8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Offset</w:t>
            </w:r>
          </w:p>
        </w:tc>
        <w:tc>
          <w:tcPr>
            <w:tcW w:w="380" w:type="dxa"/>
            <w:vAlign w:val="bottom"/>
            <w:gridSpan w:val="2"/>
          </w:tcPr>
          <w:p>
            <w:pPr>
              <w:spacing w:after="0"/>
              <w:rPr>
                <w:sz w:val="21"/>
                <w:szCs w:val="21"/>
                <w:color w:val="auto"/>
              </w:rPr>
            </w:pPr>
          </w:p>
        </w:tc>
        <w:tc>
          <w:tcPr>
            <w:tcW w:w="78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3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Borders>
              <w:right w:val="single" w:sz="8" w:color="auto"/>
            </w:tcBorders>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8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110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14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Source</w:t>
            </w:r>
          </w:p>
        </w:tc>
        <w:tc>
          <w:tcPr>
            <w:tcW w:w="0" w:type="dxa"/>
            <w:vAlign w:val="bottom"/>
          </w:tcPr>
          <w:p>
            <w:pPr>
              <w:spacing w:after="0"/>
              <w:rPr>
                <w:sz w:val="1"/>
                <w:szCs w:val="1"/>
                <w:color w:val="auto"/>
              </w:rPr>
            </w:pPr>
          </w:p>
        </w:tc>
      </w:tr>
      <w:tr>
        <w:trPr>
          <w:trHeight w:val="265"/>
        </w:trPr>
        <w:tc>
          <w:tcPr>
            <w:tcW w:w="680" w:type="dxa"/>
            <w:vAlign w:val="bottom"/>
            <w:tcBorders>
              <w:left w:val="single" w:sz="8" w:color="auto"/>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vMerge w:val="continue"/>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vMerge w:val="continue"/>
          </w:tcPr>
          <w:p>
            <w:pPr>
              <w:spacing w:after="0"/>
              <w:rPr>
                <w:sz w:val="23"/>
                <w:szCs w:val="23"/>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620" w:type="dxa"/>
            <w:vAlign w:val="bottom"/>
            <w:tcBorders>
              <w:bottom w:val="single" w:sz="8" w:color="auto"/>
            </w:tcBorders>
            <w:gridSpan w:val="2"/>
            <w:vMerge w:val="continue"/>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38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gridSpan w:val="2"/>
            <w:vMerge w:val="continue"/>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920" w:type="dxa"/>
            <w:vAlign w:val="bottom"/>
            <w:tcBorders>
              <w:bottom w:val="single" w:sz="8" w:color="auto"/>
              <w:right w:val="single" w:sz="8" w:color="auto"/>
            </w:tcBorders>
            <w:gridSpan w:val="2"/>
            <w:vMerge w:val="continue"/>
          </w:tcPr>
          <w:p>
            <w:pPr>
              <w:spacing w:after="0"/>
              <w:rPr>
                <w:sz w:val="23"/>
                <w:szCs w:val="23"/>
                <w:color w:val="auto"/>
              </w:rPr>
            </w:pPr>
          </w:p>
        </w:tc>
        <w:tc>
          <w:tcPr>
            <w:tcW w:w="840" w:type="dxa"/>
            <w:vAlign w:val="bottom"/>
            <w:tcBorders>
              <w:bottom w:val="single" w:sz="8" w:color="auto"/>
              <w:right w:val="single" w:sz="8" w:color="auto"/>
            </w:tcBorders>
            <w:gridSpan w:val="2"/>
            <w:vMerge w:val="continue"/>
          </w:tcPr>
          <w:p>
            <w:pPr>
              <w:spacing w:after="0"/>
              <w:rPr>
                <w:sz w:val="23"/>
                <w:szCs w:val="23"/>
                <w:color w:val="auto"/>
              </w:rPr>
            </w:pPr>
          </w:p>
        </w:tc>
        <w:tc>
          <w:tcPr>
            <w:tcW w:w="1100" w:type="dxa"/>
            <w:vAlign w:val="bottom"/>
            <w:tcBorders>
              <w:bottom w:val="single" w:sz="8" w:color="auto"/>
            </w:tcBorders>
            <w:gridSpan w:val="2"/>
            <w:vMerge w:val="continue"/>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920" w:type="dxa"/>
            <w:vAlign w:val="bottom"/>
            <w:tcBorders>
              <w:bottom w:val="single" w:sz="8" w:color="auto"/>
              <w:right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left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9"/>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80" w:type="dxa"/>
            <w:vAlign w:val="bottom"/>
            <w:tcBorders>
              <w:left w:val="single" w:sz="8" w:color="auto"/>
              <w:right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Fee</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54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Offset</w:t>
            </w:r>
          </w:p>
        </w:tc>
        <w:tc>
          <w:tcPr>
            <w:tcW w:w="8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Eos Energy</w:t>
            </w:r>
          </w:p>
        </w:tc>
        <w:tc>
          <w:tcPr>
            <w:tcW w:w="120" w:type="dxa"/>
            <w:vAlign w:val="bottom"/>
            <w:tcBorders>
              <w:right w:val="single" w:sz="8" w:color="auto"/>
            </w:tcBorders>
            <w:shd w:val="clear" w:color="auto" w:fill="CCEEFF"/>
          </w:tcPr>
          <w:p>
            <w:pPr>
              <w:spacing w:after="0"/>
              <w:rPr>
                <w:sz w:val="22"/>
                <w:szCs w:val="22"/>
                <w:color w:val="auto"/>
              </w:rPr>
            </w:pP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7,</w:t>
            </w:r>
          </w:p>
        </w:tc>
        <w:tc>
          <w:tcPr>
            <w:tcW w:w="100" w:type="dxa"/>
            <w:vAlign w:val="bottom"/>
            <w:tcBorders>
              <w:right w:val="single" w:sz="8" w:color="auto"/>
            </w:tcBorders>
            <w:shd w:val="clear" w:color="auto" w:fill="CCEEFF"/>
          </w:tcPr>
          <w:p>
            <w:pPr>
              <w:spacing w:after="0"/>
              <w:rPr>
                <w:sz w:val="22"/>
                <w:szCs w:val="22"/>
                <w:color w:val="auto"/>
              </w:rPr>
            </w:pPr>
          </w:p>
        </w:tc>
        <w:tc>
          <w:tcPr>
            <w:tcW w:w="700" w:type="dxa"/>
            <w:vAlign w:val="bottom"/>
            <w:tcBorders>
              <w:right w:val="single" w:sz="8" w:color="auto"/>
            </w:tcBorders>
            <w:shd w:val="clear" w:color="auto" w:fill="CCEEFF"/>
          </w:tcPr>
          <w:p>
            <w:pPr>
              <w:spacing w:after="0"/>
              <w:rPr>
                <w:sz w:val="22"/>
                <w:szCs w:val="22"/>
                <w:color w:val="auto"/>
              </w:rPr>
            </w:pPr>
          </w:p>
        </w:tc>
        <w:tc>
          <w:tcPr>
            <w:tcW w:w="920" w:type="dxa"/>
            <w:vAlign w:val="bottom"/>
            <w:tcBorders>
              <w:right w:val="single" w:sz="8" w:color="auto"/>
            </w:tcBorders>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$120,795.43</w:t>
            </w: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00" w:type="dxa"/>
            <w:vAlign w:val="bottom"/>
            <w:tcBorders>
              <w:right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20" w:type="dxa"/>
            <w:vAlign w:val="bottom"/>
            <w:tcBorders>
              <w:right w:val="single" w:sz="8" w:color="auto"/>
            </w:tcBorders>
            <w:gridSpan w:val="2"/>
            <w:vMerge w:val="restart"/>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vMerge w:val="restart"/>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right w:val="single" w:sz="8" w:color="auto"/>
            </w:tcBorders>
            <w:shd w:val="clear" w:color="auto" w:fill="CCEEFF"/>
          </w:tcPr>
          <w:p>
            <w:pPr>
              <w:spacing w:after="0"/>
              <w:rPr>
                <w:sz w:val="22"/>
                <w:szCs w:val="22"/>
                <w:color w:val="auto"/>
              </w:rPr>
            </w:pPr>
          </w:p>
        </w:tc>
        <w:tc>
          <w:tcPr>
            <w:tcW w:w="1240" w:type="dxa"/>
            <w:vAlign w:val="bottom"/>
            <w:tcBorders>
              <w:right w:val="single" w:sz="8" w:color="auto"/>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$788,996,897.76</w:t>
            </w:r>
          </w:p>
        </w:tc>
        <w:tc>
          <w:tcPr>
            <w:tcW w:w="82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Claims</w:t>
            </w:r>
          </w:p>
        </w:tc>
        <w:tc>
          <w:tcPr>
            <w:tcW w:w="80" w:type="dxa"/>
            <w:vAlign w:val="bottom"/>
            <w:shd w:val="clear" w:color="auto" w:fill="CCEEFF"/>
          </w:tcPr>
          <w:p>
            <w:pPr>
              <w:spacing w:after="0"/>
              <w:rPr>
                <w:sz w:val="10"/>
                <w:szCs w:val="10"/>
                <w:color w:val="auto"/>
              </w:rPr>
            </w:pPr>
          </w:p>
        </w:tc>
        <w:tc>
          <w:tcPr>
            <w:tcW w:w="126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Enterprises, Inc.</w:t>
            </w:r>
          </w:p>
        </w:tc>
        <w:tc>
          <w:tcPr>
            <w:tcW w:w="120" w:type="dxa"/>
            <w:vAlign w:val="bottom"/>
            <w:tcBorders>
              <w:right w:val="single" w:sz="8" w:color="auto"/>
            </w:tcBorders>
            <w:shd w:val="clear" w:color="auto" w:fill="CCEEFF"/>
          </w:tcPr>
          <w:p>
            <w:pPr>
              <w:spacing w:after="0"/>
              <w:rPr>
                <w:sz w:val="10"/>
                <w:szCs w:val="10"/>
                <w:color w:val="auto"/>
              </w:rPr>
            </w:pPr>
          </w:p>
        </w:tc>
        <w:tc>
          <w:tcPr>
            <w:tcW w:w="540" w:type="dxa"/>
            <w:vAlign w:val="bottom"/>
            <w:tcBorders>
              <w:right w:val="single" w:sz="8" w:color="auto"/>
            </w:tcBorders>
            <w:vMerge w:val="continue"/>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287039</w:t>
            </w:r>
          </w:p>
        </w:tc>
        <w:tc>
          <w:tcPr>
            <w:tcW w:w="56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920" w:type="dxa"/>
            <w:vAlign w:val="bottom"/>
            <w:tcBorders>
              <w:right w:val="single" w:sz="8" w:color="auto"/>
            </w:tcBorders>
            <w:gridSpan w:val="4"/>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1240" w:type="dxa"/>
            <w:vAlign w:val="bottom"/>
            <w:tcBorders>
              <w:right w:val="single" w:sz="8" w:color="auto"/>
            </w:tcBorders>
            <w:gridSpan w:val="3"/>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gridSpan w:val="3"/>
            <w:vMerge w:val="continue"/>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540" w:type="dxa"/>
            <w:vAlign w:val="bottom"/>
            <w:tcBorders>
              <w:right w:val="single" w:sz="8" w:color="auto"/>
            </w:tcBorders>
            <w:shd w:val="clear" w:color="auto" w:fill="CCEEFF"/>
          </w:tcPr>
          <w:p>
            <w:pPr>
              <w:spacing w:after="0"/>
              <w:rPr>
                <w:sz w:val="9"/>
                <w:szCs w:val="9"/>
                <w:color w:val="auto"/>
              </w:rPr>
            </w:pPr>
          </w:p>
        </w:tc>
        <w:tc>
          <w:tcPr>
            <w:tcW w:w="780" w:type="dxa"/>
            <w:vAlign w:val="bottom"/>
            <w:tcBorders>
              <w:right w:val="single" w:sz="8" w:color="auto"/>
            </w:tcBorders>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tcBorders>
              <w:right w:val="single" w:sz="8" w:color="auto"/>
            </w:tcBorders>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540" w:type="dxa"/>
            <w:vAlign w:val="bottom"/>
            <w:tcBorders>
              <w:right w:val="single" w:sz="8" w:color="auto"/>
            </w:tcBorders>
            <w:shd w:val="clear" w:color="auto" w:fill="CCEEFF"/>
          </w:tcPr>
          <w:p>
            <w:pPr>
              <w:spacing w:after="0"/>
              <w:rPr>
                <w:sz w:val="9"/>
                <w:szCs w:val="9"/>
                <w:color w:val="auto"/>
              </w:rPr>
            </w:pPr>
          </w:p>
        </w:tc>
        <w:tc>
          <w:tcPr>
            <w:tcW w:w="780" w:type="dxa"/>
            <w:vAlign w:val="bottom"/>
            <w:tcBorders>
              <w:right w:val="single" w:sz="8" w:color="auto"/>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tcBorders>
              <w:right w:val="single" w:sz="8" w:color="auto"/>
            </w:tcBorders>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540" w:type="dxa"/>
            <w:vAlign w:val="bottom"/>
            <w:tcBorders>
              <w:bottom w:val="single" w:sz="8" w:color="auto"/>
              <w:right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right w:val="single" w:sz="8" w:color="auto"/>
            </w:tcBorders>
            <w:shd w:val="clear" w:color="auto" w:fill="CCEEFF"/>
          </w:tcPr>
          <w:p>
            <w:pPr>
              <w:spacing w:after="0"/>
              <w:rPr>
                <w:sz w:val="12"/>
                <w:szCs w:val="12"/>
                <w:color w:val="auto"/>
              </w:rPr>
            </w:pPr>
          </w:p>
        </w:tc>
        <w:tc>
          <w:tcPr>
            <w:tcW w:w="700" w:type="dxa"/>
            <w:vAlign w:val="bottom"/>
            <w:tcBorders>
              <w:bottom w:val="single" w:sz="8" w:color="auto"/>
              <w:right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right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right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Fee</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Offset</w:t>
            </w:r>
          </w:p>
        </w:tc>
        <w:tc>
          <w:tcPr>
            <w:tcW w:w="80" w:type="dxa"/>
            <w:vAlign w:val="bottom"/>
          </w:tcPr>
          <w:p>
            <w:pPr>
              <w:spacing w:after="0"/>
              <w:rPr>
                <w:sz w:val="22"/>
                <w:szCs w:val="22"/>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Eos Energy</w:t>
            </w:r>
          </w:p>
        </w:tc>
        <w:tc>
          <w:tcPr>
            <w:tcW w:w="12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$120,795.43</w:t>
            </w:r>
          </w:p>
        </w:tc>
        <w:tc>
          <w:tcPr>
            <w:tcW w:w="0" w:type="dxa"/>
            <w:vAlign w:val="bottom"/>
          </w:tcPr>
          <w:p>
            <w:pPr>
              <w:spacing w:after="0"/>
              <w:rPr>
                <w:sz w:val="1"/>
                <w:szCs w:val="1"/>
                <w:color w:val="auto"/>
              </w:rPr>
            </w:pPr>
          </w:p>
        </w:tc>
      </w:tr>
      <w:tr>
        <w:trPr>
          <w:trHeight w:val="126"/>
        </w:trPr>
        <w:tc>
          <w:tcPr>
            <w:tcW w:w="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Sources</w:t>
            </w:r>
          </w:p>
        </w:tc>
        <w:tc>
          <w:tcPr>
            <w:tcW w:w="80" w:type="dxa"/>
            <w:vAlign w:val="bottom"/>
          </w:tcPr>
          <w:p>
            <w:pPr>
              <w:spacing w:after="0"/>
              <w:rPr>
                <w:sz w:val="10"/>
                <w:szCs w:val="10"/>
                <w:color w:val="auto"/>
              </w:rPr>
            </w:pPr>
          </w:p>
        </w:tc>
        <w:tc>
          <w:tcPr>
            <w:tcW w:w="12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Enterprises, Inc..</w:t>
            </w:r>
          </w:p>
        </w:tc>
        <w:tc>
          <w:tcPr>
            <w:tcW w:w="12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287039</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auto"/>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158,433,112 shares of common stock, par value $0.0001 (the “Common Stock”) issuable to the Selling Securityholder upon (i) exercise of a warrant to purchase 43,276,194 shares of Common Stock, (ii) conversion of 31.940063 shares of non-voting Series B-1 Convertible Preferred Stock, par value $0.0001 per share into an aggregate of 31,940,063 shares of Common Stock, (iii) conversion of 28.806463 shares of non-voting Series B-2 Convertible Preferred Stock, par value $0.0001 per share into an aggregate of 28,806,463 shares of Common Stock, (iv) conversion of 38.259864 shares of non-voting Series B-3 Convertible Preferred Stock, par value $0.0001 per share into an aggregate of 38,259,864 shares of Common Stock and (v) 16.150528 shares of non-voting Series B-4 Convertible Preferred Stock, par value $0.0001 per share into an aggregate of 16,150,528 shares of Common Stock issued in connection with the Purchase Agreement. Pursuant to Rule 416 under the Securities Act of 1933, as amended, the shares of Common Stock being registered hereunder include such indeterminate number of shares of Common Stock as may be issuable with respect to the shares of Common Stock being registered hereunder as a result of stock splits, stock dividends or similar transactions.</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of the Securities Act, on the basis of the average of the high and low prices for a share of the registrant’s common stock as reported on The Nasdaq Stock Market LLC on May 7, 2025, which date is a date within five business days prior to the filing of this registration statement.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457(p) under the Securities Act, the amount of the registration fee payable hereunder has been partially offset by the previously paid filing fee of $120,795.43 related to the securities with an aggregate initial offering price of $788,996,897.76 that were previously registered by Eos Energy Enterprises, Inc. (the “Company”) on the registration statement on Form S-3 filed with the Securities and Exchange Commission on May 7, 2025 (Commission File No. 333-287039) and not sold thereunder. The Company is filing this registration statement on Form S-3 to replace its previously filed registration statement on Form S-3 (Commission File No. 333-287039). The filing of this registration statement will be deemed to terminate such prior registration statement.</w:t>
      </w:r>
    </w:p>
    <w:sectPr>
      <w:pgSz w:w="11900" w:h="16838" w:orient="portrait"/>
      <w:cols w:equalWidth="0" w:num="1">
        <w:col w:w="11240"/>
      </w:cols>
      <w:pgMar w:left="320" w:top="108" w:right="339" w:bottom="85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Roman"/>
      <w:start w:val="1"/>
    </w:lvl>
  </w:abstractNum>
  <w:abstractNum w:abstractNumId="14">
    <w:nsid w:val="25E45D32"/>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8"/>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80" Type="http://schemas.openxmlformats.org/officeDocument/2006/relationships/image" Target="media/image38.png"/><Relationship Id="rId81" Type="http://schemas.openxmlformats.org/officeDocument/2006/relationships/image" Target="media/image39.png"/><Relationship Id="rId82" Type="http://schemas.openxmlformats.org/officeDocument/2006/relationships/image" Target="media/image40.png"/><Relationship Id="rId83" Type="http://schemas.openxmlformats.org/officeDocument/2006/relationships/image" Target="media/image41.png"/><Relationship Id="rId84" Type="http://schemas.openxmlformats.org/officeDocument/2006/relationships/image" Target="media/image42.png"/><Relationship Id="rId85"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jpeg"/><Relationship Id="rId99" Type="http://schemas.openxmlformats.org/officeDocument/2006/relationships/image" Target="media/image57.jpeg"/><Relationship Id="rId100" Type="http://schemas.openxmlformats.org/officeDocument/2006/relationships/image" Target="media/image58.jpeg"/><Relationship Id="rId101" Type="http://schemas.openxmlformats.org/officeDocument/2006/relationships/image" Target="media/image59.jpeg"/><Relationship Id="rId20" Type="http://schemas.openxmlformats.org/officeDocument/2006/relationships/hyperlink" Target="http://www.sec.gov/Archives/edgar/data/1805077/000180507725000015/eose-20241231.htm#i09b02cab68b44461b4f6cb6218d9559a_55" TargetMode="External"/><Relationship Id="rId25" Type="http://schemas.openxmlformats.org/officeDocument/2006/relationships/hyperlink" Target="http://www.sec.gov/Archives/edgar/data/1805077/000180507725000015/eose-20241231.htm" TargetMode="External"/><Relationship Id="rId26" Type="http://schemas.openxmlformats.org/officeDocument/2006/relationships/hyperlink" Target="https://www.sec.gov/Archives/edgar/data/1805077/000180507725000051/eose-20250331.htm" TargetMode="External"/><Relationship Id="rId27" Type="http://schemas.openxmlformats.org/officeDocument/2006/relationships/hyperlink" Target="http://www.sec.gov/Archives/edgar/data/1805077/000180507725000028/eose-20250327.htm" TargetMode="External"/><Relationship Id="rId28" Type="http://schemas.openxmlformats.org/officeDocument/2006/relationships/hyperlink" Target="http://www.sec.gov/Archives/edgar/data/1805077/000121390025006768/ea0228729-8k_eos.htm" TargetMode="External"/><Relationship Id="rId29" Type="http://schemas.openxmlformats.org/officeDocument/2006/relationships/hyperlink" Target="http://www.sec.gov/Archives/edgar/data/1805077/000180507725000019/eose-20250302.htm" TargetMode="External"/><Relationship Id="rId30" Type="http://schemas.openxmlformats.org/officeDocument/2006/relationships/hyperlink" Target="http://www.sec.gov/Archives/edgar/data/1805077/000180507725000027/eose-20250326.htm" TargetMode="External"/><Relationship Id="rId31" Type="http://schemas.openxmlformats.org/officeDocument/2006/relationships/hyperlink" Target="http://www.sec.gov/Archives/edgar/data/1805077/000162828022004017/eos2021descriptionofsecuri.htm" TargetMode="External"/><Relationship Id="rId51" Type="http://schemas.openxmlformats.org/officeDocument/2006/relationships/hyperlink" Target="https://www.sec.gov/Archives/edgar/data/1805077/000121390020025523/ea126529ex2-1_briley.htm" TargetMode="External"/><Relationship Id="rId52" Type="http://schemas.openxmlformats.org/officeDocument/2006/relationships/hyperlink" Target="https://www.sec.gov/Archives/edgar/data/1805077/000162828023005647/ex31-thirdamendedandrestat.htm" TargetMode="External"/><Relationship Id="rId53" Type="http://schemas.openxmlformats.org/officeDocument/2006/relationships/hyperlink" Target="https://www.sec.gov/Archives/edgar/data/1805077/000162828022014885/secondamendedandrestatedby.htm" TargetMode="External"/><Relationship Id="rId54" Type="http://schemas.openxmlformats.org/officeDocument/2006/relationships/hyperlink" Target="https://www.sec.gov/Archives/edgar/data/1805077/000180507724000051/secondcertificateofamend.htm" TargetMode="External"/><Relationship Id="rId55" Type="http://schemas.openxmlformats.org/officeDocument/2006/relationships/hyperlink" Target="https://www.sec.gov/Archives/edgar/data/1805077/000121390024054998/ea020831801ex3-1_eosener.htm" TargetMode="External"/><Relationship Id="rId56" Type="http://schemas.openxmlformats.org/officeDocument/2006/relationships/hyperlink" Target="https://www.sec.gov/Archives/edgar/data/1805077/000121390024074175/ea021300401ex3-1_eosenergy.htm" TargetMode="External"/><Relationship Id="rId57" Type="http://schemas.openxmlformats.org/officeDocument/2006/relationships/hyperlink" Target="https://www.sec.gov/Archives/edgar/data/1805077/000121390024078188/ea021432401ex3-1_eosenergy.htm" TargetMode="External"/><Relationship Id="rId58" Type="http://schemas.openxmlformats.org/officeDocument/2006/relationships/hyperlink" Target="https://www.sec.gov/Archives/edgar/data/1805077/000121390024078188/ea021432401ex3-2_eosenergy.htm" TargetMode="External"/><Relationship Id="rId59" Type="http://schemas.openxmlformats.org/officeDocument/2006/relationships/hyperlink" Target="http://www.sec.gov/Archives/edgar/data/1805077/000121390024094161/ea021975701ex3-1_eosenergy.htm" TargetMode="External"/><Relationship Id="rId60" Type="http://schemas.openxmlformats.org/officeDocument/2006/relationships/hyperlink" Target="https://www.sec.gov/Archives/edgar/data/1805077/000121390025006768/ea022872901ex3-1_eos.htm" TargetMode="External"/><Relationship Id="rId61" Type="http://schemas.openxmlformats.org/officeDocument/2006/relationships/hyperlink" Target="https://www.sec.gov/Archives/edgar/data/1805077/000121390020038551/ea130208ex4-1_eosenergy.htm" TargetMode="External"/><Relationship Id="rId62" Type="http://schemas.openxmlformats.org/officeDocument/2006/relationships/hyperlink" Target="https://www.sec.gov/Archives/edgar/data/1805077/000121390020038551/ea130208ex4-2_eosenergy.htm" TargetMode="External"/><Relationship Id="rId63" Type="http://schemas.openxmlformats.org/officeDocument/2006/relationships/hyperlink" Target="https://www.sec.gov/Archives/edgar/data/0001805077/000162828021013617/ex41eosformofnote.htm" TargetMode="External"/><Relationship Id="rId64" Type="http://schemas.openxmlformats.org/officeDocument/2006/relationships/hyperlink" Target="https://www.sec.gov/Archives/edgar/data/1805077/000121390020013346/ea122222ex4-1_briley.htm" TargetMode="External"/><Relationship Id="rId65" Type="http://schemas.openxmlformats.org/officeDocument/2006/relationships/hyperlink" Target="https://www.sec.gov/Archives/edgar/data/1805077/000162828022004017/eos2021descriptionofsecuri.htm" TargetMode="External"/><Relationship Id="rId66" Type="http://schemas.openxmlformats.org/officeDocument/2006/relationships/hyperlink" Target="https://www.sec.gov/Archives/edgar/data/0001805077/000162828022009094/ex41wilmingtontrustindentu.htm" TargetMode="External"/><Relationship Id="rId69" Type="http://schemas.openxmlformats.org/officeDocument/2006/relationships/hyperlink" Target="https://www.sec.gov/Archives/edgar/data/1805077/000121390023003803/ea171786ex4-1_eosenergy.htm" TargetMode="External"/><Relationship Id="rId70" Type="http://schemas.openxmlformats.org/officeDocument/2006/relationships/hyperlink" Target="https://www.sec.gov/Archives/edgar/data/1805077/000121390023029963/ea176960ex4-1_eosenergy.htm" TargetMode="External"/><Relationship Id="rId71" Type="http://schemas.openxmlformats.org/officeDocument/2006/relationships/hyperlink" Target="https://www.sec.gov/Archives/edgar/data/1805077/000121390023040885/ea178742ex4-1_eosenergy.htm" TargetMode="External"/><Relationship Id="rId72" Type="http://schemas.openxmlformats.org/officeDocument/2006/relationships/hyperlink" Target="https://www.sec.gov/Archives/edgar/data/1805077/000121390023043181/ea179302ex4-1_eosenergy.htm" TargetMode="External"/><Relationship Id="rId73" Type="http://schemas.openxmlformats.org/officeDocument/2006/relationships/hyperlink" Target="https://www.sec.gov/Archives/edgar/data/1805077/000121390023096155/ea190132ex4-1_eosenergy.htm" TargetMode="External"/><Relationship Id="rId74" Type="http://schemas.openxmlformats.org/officeDocument/2006/relationships/hyperlink" Target="https://www.sec.gov/Archives/edgar/data/1805077/000121390024054998/ea020831801ex10-3_eosener.htm" TargetMode="External"/><Relationship Id="rId75" Type="http://schemas.openxmlformats.org/officeDocument/2006/relationships/hyperlink" Target="https://www.sec.gov/Archives/edgar/data/1805077/000121390024054998/ea020831801ex10-1_eosener.htm" TargetMode="External"/><Relationship Id="rId76" Type="http://schemas.openxmlformats.org/officeDocument/2006/relationships/hyperlink" Target="https://www.sec.gov/Archives/edgar/data/1805077/000121390024054998/ea020831801ex10-2_eosener.htm" TargetMode="External"/><Relationship Id="rId77" Type="http://schemas.openxmlformats.org/officeDocument/2006/relationships/hyperlink" Target="https://www.sec.gov/Archives/edgar/data/1805077/000121390024054998/ea020831801ex10-6_eosener.htm" TargetMode="External"/><Relationship Id="rId78" Type="http://schemas.openxmlformats.org/officeDocument/2006/relationships/hyperlink" Target="https://www.sec.gov/Archives/edgar/data/1805077/000121390024104809/ea022332901ex10-4_eos.htm" TargetMode="External"/><Relationship Id="rId79" Type="http://schemas.openxmlformats.org/officeDocument/2006/relationships/hyperlink" Target="https://www.sec.gov/Archives/edgar/data/1805077/000180507725000051/ex105eos-first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2025-05-08T05:22:35Z</dcterms:created>
  <dcterms:modified xsi:type="dcterms:W3CDTF">2025-05-08T05:22:35Z</dcterms:modified>
</cp:coreProperties>
</file>